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164</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178</w:t>
      </w:r>
    </w:p>
    <w:p w:rsidR="005603EC" w:rsidRDefault="00AB61AC">
      <w:pPr>
        <w:tabs>
          <w:tab w:val="right" w:leader="dot" w:pos="9354"/>
        </w:tabs>
        <w:spacing w:after="80" w:line="240" w:lineRule="auto"/>
        <w:ind w:left="454"/>
      </w:pPr>
      <w:r>
        <w:rPr>
          <w:sz w:val="26"/>
        </w:rPr>
        <w:t>III bob bo‘yicha xulosalar</w:t>
      </w:r>
      <w:r>
        <w:rPr>
          <w:sz w:val="26"/>
        </w:rPr>
        <w:tab/>
        <w:t>196</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199</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199</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215</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227</w:t>
      </w:r>
    </w:p>
    <w:p w:rsidR="005603EC" w:rsidRDefault="00AB61AC">
      <w:pPr>
        <w:tabs>
          <w:tab w:val="right" w:leader="dot" w:pos="9354"/>
        </w:tabs>
        <w:spacing w:after="80" w:line="240" w:lineRule="auto"/>
        <w:ind w:left="454"/>
      </w:pPr>
      <w:r>
        <w:rPr>
          <w:sz w:val="26"/>
        </w:rPr>
        <w:t>IV bob bo‘yicha xulosalar</w:t>
      </w:r>
      <w:r>
        <w:rPr>
          <w:sz w:val="26"/>
        </w:rPr>
        <w:tab/>
        <w:t>240</w:t>
      </w:r>
    </w:p>
    <w:p w:rsidR="005603EC" w:rsidRDefault="00AB61AC">
      <w:pPr>
        <w:tabs>
          <w:tab w:val="right" w:leader="dot" w:pos="9354"/>
        </w:tabs>
        <w:spacing w:after="80" w:line="240" w:lineRule="auto"/>
      </w:pPr>
      <w:r>
        <w:rPr>
          <w:b/>
          <w:sz w:val="26"/>
        </w:rPr>
        <w:t>XULOSA</w:t>
      </w:r>
      <w:r>
        <w:rPr>
          <w:b/>
          <w:sz w:val="26"/>
        </w:rPr>
        <w:tab/>
        <w:t>243</w:t>
      </w:r>
    </w:p>
    <w:p w:rsidR="005603EC" w:rsidRDefault="00AB61AC">
      <w:pPr>
        <w:tabs>
          <w:tab w:val="right" w:leader="dot" w:pos="9354"/>
        </w:tabs>
        <w:spacing w:after="80" w:line="240" w:lineRule="auto"/>
      </w:pPr>
      <w:r>
        <w:rPr>
          <w:b/>
          <w:sz w:val="26"/>
        </w:rPr>
        <w:t>FOYDALANILGAN ADABIYOTLAR RO‘YXATI</w:t>
      </w:r>
      <w:r>
        <w:rPr>
          <w:b/>
          <w:sz w:val="26"/>
        </w:rPr>
        <w:tab/>
        <w:t>249</w:t>
      </w:r>
    </w:p>
    <w:p w:rsidR="005603EC" w:rsidRDefault="00AB61AC">
      <w:pPr>
        <w:tabs>
          <w:tab w:val="right" w:leader="dot" w:pos="9354"/>
        </w:tabs>
        <w:spacing w:after="80" w:line="240" w:lineRule="auto"/>
      </w:pPr>
      <w:r>
        <w:rPr>
          <w:b/>
          <w:sz w:val="26"/>
        </w:rPr>
        <w:t>ILOVALAR</w:t>
      </w:r>
      <w:r>
        <w:rPr>
          <w:b/>
          <w:sz w:val="26"/>
        </w:rPr>
        <w:tab/>
        <w:t>270</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xml:space="preserve">. Shu davrda xalqaro standartlarni joriy etish ham davom etdi</w:t>
      </w:r>
      <w:r>
        <w:rPr>
          <w:color w:val="0070C0"/>
        </w:rPr>
        <w:t xml:space="preserve">. Jumladan,</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245</w:t>
      </w:r>
      <w:r>
        <w:rPr/>
        <w:t xml:space="preserve"> betni</w:t>
      </w:r>
      <w:r>
        <w:t xml:space="preserve"> tashkil etadi, unda 60 dan ortiq jadval va rasm keltirilgan, foydalanilgan </w:t>
      </w:r>
      <w:r>
        <w:rPr/>
        <w:t xml:space="preserve">adabiyotlar </w:t>
      </w:r>
      <w:r>
        <w:rPr/>
        <w:t xml:space="preserve">ro‘yxati </w:t>
      </w:r>
      <w:r>
        <w:rPr>
          <w:color w:val="FF000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xml:space="preserve">. J.M. Hendrickson ta’rifida esa asosiy o‘rinni ishonch egallaydi</w:t>
      </w:r>
      <w:r>
        <w:rPr>
          <w:color w:val="0070C0"/>
        </w:rPr>
        <w:t xml:space="preserve">. M</w:t>
      </w:r>
      <w:r>
        <w:t xml:space="preserve">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 xml:space="preserve">Keyingi yillardagi tadqiqotlarda ta’riflarning urg‘usi sezilarli darajada o‘zgargan. I.G. Sadikov ta’rifida bozor mavqei va daromadlilik birinchi o‘ringa chiqadi</w:t>
      </w:r>
      <w:r>
        <w:rPr>
          <w:color w:val="0070C0"/>
        </w:rPr>
        <w:t xml:space="preserve">. M</w:t>
      </w:r>
      <w:r>
        <w:t xml:space="preserve">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r>
      <w:r>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w:t>
      </w:r>
      <w:r>
        <w:rPr>
          <w:color w:val="0070C0"/>
        </w:rPr>
        <w:t xml:space="preserve">, u butun tizimga tarqalishi mumkin. Shu sababli</w:t>
      </w:r>
      <w:r>
        <w:t xml:space="preserve">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r>
      <w:r>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xml:space="preserve">. Koeffitsiyentli yondashuv normativlar bilan bog‘liq bo‘lsa-da, ko‘rsatkichlarni yagona bahoga keltirmaydi</w:t>
      </w:r>
      <w:r>
        <w:rPr>
          <w:color w:val="0070C0"/>
        </w:rPr>
        <w:t xml:space="preserve">. M</w:t>
      </w:r>
      <w:r>
        <w:t xml:space="preserve">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 xml:space="preserve">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w:t>
      </w:r>
      <w:r>
        <w:rPr>
          <w:color w:val="0070C0"/>
        </w:rPr>
        <w:t xml:space="preserve">. Masalan, N.E.</w:t>
      </w:r>
      <w:r>
        <w:t xml:space="preserve"> Sokolinskaya prognoziga ko‘ra, MHXS 9 ga o‘tish natijasida Rossiya banklarida zaxiralar kredit portfelining 19,1 foiziga yetishi mumkin bo‘lgan</w:t>
      </w:r>
      <w:r>
        <w:rPr>
          <w:rStyle w:val="aff8"/>
        </w:rPr>
        <w:footnoteReference w:id="159"/>
      </w:r>
      <w:r>
        <w:t xml:space="preserve">. Ikkinchidan, milliy hisobot va MHXS bo‘yicha hisoblangan ko‘rsatkichlar farqi bankning haqiqiy holatini aniqlashda qo‘shimcha axborot manbai bo‘ladi</w:t>
      </w:r>
      <w:r>
        <w:rPr>
          <w:color w:val="0070C0"/>
        </w:rPr>
        <w:t xml:space="preserve">. Jumladan, N.E. Sokolinskaya</w:t>
      </w:r>
      <w:r>
        <w:t xml:space="preserve">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r>
      <w:r>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color w:val="0070C0"/>
        </w:rPr>
        <w:t xml:space="preserve">. Bunda</w:t>
      </w:r>
      <w:r>
        <w:t xml:space="preserve">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xml:space="preserve">. Nihoyat, 2026-yil martida Bazel III ning yakuniy standartlarini joriy etish bo‘yicha qayta ishlangan takliflar e’lon qilindi</w:t>
      </w:r>
      <w:r>
        <w:rPr>
          <w:color w:val="0070C0"/>
        </w:rPr>
        <w:t xml:space="preserve">. Bu taklif</w:t>
      </w:r>
      <w:r>
        <w:t xml:space="preserve">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color w:val="0070C0"/>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color w:val="0070C0"/>
        </w:rPr>
        <w:t xml:space="preserve">. Bundan tashqari,</w:t>
      </w:r>
      <w:r>
        <w:t xml:space="preserve">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color w:val="0070C0"/>
        </w:rPr>
        <w:t xml:space="preserve">. Biroq</w:t>
      </w:r>
      <w:r>
        <w:rPr/>
        <w:t xml:space="preserve">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color w:val="0070C0"/>
        </w:rPr>
        <w:t xml:space="preserve">. U</w:t>
      </w:r>
      <w:r>
        <w:t xml:space="preserve">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rPr>
          <w:color w:val="0070C0"/>
        </w:rPr>
        <w:t xml:space="preserve">. I</w:t>
      </w:r>
      <w:r>
        <w:t xml:space="preserve">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w:t>
      </w:r>
      <w:r>
        <w:rPr>
          <w:color w:val="0070C0"/>
        </w:rPr>
        <w:t xml:space="preserve">. Ikkala toifa qo‘shilganda es</w:t>
      </w:r>
      <w:r>
        <w:rPr/>
        <w:t xml:space="preserve">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xml:space="preserve">. 2023-yildan boshlab tizimli ahamiyatga molik banklar har yili aniqlanadi</w:t>
      </w:r>
      <w:r>
        <w:rPr>
          <w:color w:val="0070C0"/>
        </w:rPr>
        <w:t xml:space="preserve">. Xususan,</w:t>
      </w:r>
      <w:r>
        <w:t xml:space="preserve">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color w:val="0070C0"/>
        </w:rPr>
        <w:t xml:space="preserve">. B</w:t>
      </w:r>
      <w:r>
        <w:t xml:space="preserve">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color w:val="0070C0"/>
        </w:rPr>
        <w:t xml:space="preserve">. Shu sababli</w:t>
      </w:r>
      <w:r>
        <w:t xml:space="preserve">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w:t>
      </w:r>
      <w:r>
        <w:rPr>
          <w:color w:val="0070C0"/>
        </w:rPr>
        <w:t xml:space="preserve"> bilan bog‘liq. Xususan,</w:t>
      </w:r>
      <w:r>
        <w:rPr/>
        <w:t xml:space="preserve"> bankning xususiy kapitali 2022-yilda 2,3 trln so‘mdan 3,6 trln so‘mga oshgan, holbuki shu yili bank atigi 21,3 mlrd so‘m sof foyda olgan</w:t>
      </w:r>
      <w:r>
        <w:rPr>
          <w:color w:val="0070C0"/>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w:t>
      </w:r>
      <w:r>
        <w:rPr>
          <w:color w:val="0070C0"/>
        </w:rPr>
        <w:t xml:space="preserve">. Unda</w:t>
      </w:r>
      <w:r>
        <w:rPr/>
        <w:t xml:space="preserve">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color w:val="0070C0"/>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w:t>
      </w:r>
      <w:r>
        <w:rPr>
          <w:color w:val="0070C0"/>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w:t>
      </w:r>
      <w:r>
        <w:rPr>
          <w:color w:val="0070C0"/>
        </w:rPr>
        <w:t xml:space="preserve">, chunki</w:t>
      </w:r>
      <w:r>
        <w:t xml:space="preserve">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w:t>
      </w:r>
      <w:r>
        <w:rPr>
          <w:color w:val="0070C0"/>
        </w:rPr>
        <w:t xml:space="preserve">. Bunday davrlar</w:t>
      </w:r>
      <w:r>
        <w:rPr>
          <w:color w:val="FF0000"/>
        </w:rPr>
        <w:t xml:space="preserve">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color w:val="FF0000"/>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 va hisobot turi</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3,14</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3,27</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3,25</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after="0" w:line="360" w:lineRule="auto"/>
        <w:ind w:firstLine="709"/>
        <w:jc w:val="both"/>
      </w:pPr>
      <w:r>
        <w:rPr>
          <w:i/>
          <w:iCs/>
          <w:color w:val="FF0000"/>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color w:val="FF0000"/>
        </w:rPr>
        <w:t xml:space="preserve">3.1.3-rasm. Uch bankda moliyaviy barqarorlikning integral indeksi: milliy hisobot va MHXS asosida, 2021–2025-yillar, ball</w:t>
      </w:r>
      <w:r>
        <w:rPr>
          <w:rStyle w:val="aff8"/>
          <w:color w:val="FF0000"/>
        </w:rPr>
        <w:footnoteReference w:id="412"/>
      </w:r>
    </w:p>
    <w:p w:rsidR="005603EC" w:rsidRDefault="00AB61AC">
      <w:pPr>
        <w:pStyle w:val="af"/>
        <w:spacing w:after="0" w:line="360" w:lineRule="auto"/>
        <w:ind w:firstLine="709"/>
        <w:jc w:val="both"/>
      </w:pPr>
      <w:r>
        <w:rPr>
          <w:color w:val="FF0000"/>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3.1.4</w:t>
      </w:r>
      <w:r>
        <w:rPr>
          <w:b/>
        </w:rPr>
        <w:t xml:space="preserve">-rasm</w:t>
      </w:r>
      <w:r>
        <w:rPr>
          <w:b/>
        </w:rPr>
        <w:t xml:space="preserve">. Moliyaviy barqarorlikning integral indeksi qiymatlarining vaznlar tizimiga sezgirligi, 2025-yil</w:t>
      </w:r>
      <w:r>
        <w:rPr>
          <w:rStyle w:val="aff8"/>
        </w:rPr>
        <w:footnoteReference w:id="413"/>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color w:val="FF0000"/>
                <w:sz w:val="22"/>
              </w:rPr>
              <w:t xml:space="preserve">Taqqoslash mezoni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color w:val="FF0000"/>
                <w:sz w:val="22"/>
              </w:rPr>
              <w:t xml:space="preserve">Bazel III ga yaqin ta’riflar (XVJ qo‘llanmasi, 2019)</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color w:val="FF0000"/>
                <w:sz w:val="22"/>
              </w:rPr>
              <w:t xml:space="preserve">90 kunlik mezon (amalda 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color w:val="FF0000"/>
                <w:sz w:val="22"/>
              </w:rPr>
              <w:t xml:space="preserve">Vaznlar</w:t>
            </w:r>
          </w:p>
        </w:tc>
        <w:tc>
          <w:tcPr>
            <w:tcW w:w="1814" w:type="dxa"/>
          </w:tcPr>
          <w:p w:rsidR="005603EC" w:rsidRDefault="00AB61AC">
            <w:pPr>
              <w:pStyle w:val="Compact"/>
              <w:spacing w:line="240" w:lineRule="auto"/>
            </w:pPr>
            <w:r>
              <w:rPr>
                <w:color w:val="FF0000"/>
                <w:sz w:val="22"/>
              </w:rPr>
              <w:t xml:space="preserve">Qat’iy belgilanmagan, nazoratchi mulohazasi</w:t>
            </w:r>
          </w:p>
        </w:tc>
        <w:tc>
          <w:tcPr>
            <w:tcW w:w="1928" w:type="dxa"/>
          </w:tcPr>
          <w:p w:rsidR="005603EC" w:rsidRDefault="00AB61AC">
            <w:pPr>
              <w:pStyle w:val="Compact"/>
              <w:spacing w:line="240" w:lineRule="auto"/>
            </w:pPr>
            <w:r>
              <w:rPr>
                <w:color w:val="FF0000"/>
                <w:sz w:val="22"/>
              </w:rPr>
              <w:t xml:space="preserve">Har bir ko‘rsatkichga 1–3 vazn</w:t>
            </w:r>
          </w:p>
        </w:tc>
        <w:tc>
          <w:tcPr>
            <w:tcW w:w="1814" w:type="dxa"/>
          </w:tcPr>
          <w:p w:rsidR="005603EC" w:rsidRDefault="00AB61AC">
            <w:pPr>
              <w:pStyle w:val="Compact"/>
              <w:spacing w:line="240" w:lineRule="auto"/>
            </w:pPr>
            <w:r>
              <w:rPr>
                <w:color w:val="FF0000"/>
                <w:sz w:val="22"/>
              </w:rPr>
              <w:t xml:space="preserve">Qo‘llanmaydi</w:t>
            </w:r>
          </w:p>
        </w:tc>
        <w:tc>
          <w:tcPr>
            <w:tcW w:w="2041" w:type="dxa"/>
          </w:tcPr>
          <w:p w:rsidR="005603EC" w:rsidRDefault="00AB61AC">
            <w:pPr>
              <w:pStyle w:val="Compact"/>
              <w:spacing w:line="240" w:lineRule="auto"/>
            </w:pPr>
            <w:r>
              <w:rPr>
                <w:color w:val="FF0000"/>
                <w:sz w:val="22"/>
              </w:rPr>
              <w:t xml:space="preserve">Bloklar vaznlari 0,25/0,30/0,20/0,15/0,10, empirik tekshirilgan (3.2-§)</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color w:val="FF0000"/>
                <w:sz w:val="22"/>
              </w:rPr>
              <w:t xml:space="preserve">Boshqaruv sifati</w:t>
            </w:r>
          </w:p>
        </w:tc>
        <w:tc>
          <w:tcPr>
            <w:tcW w:w="1814" w:type="dxa"/>
          </w:tcPr>
          <w:p w:rsidR="005603EC" w:rsidRDefault="00AB61AC">
            <w:pPr>
              <w:pStyle w:val="Compact"/>
              <w:spacing w:line="240" w:lineRule="auto"/>
            </w:pPr>
            <w:r>
              <w:rPr>
                <w:color w:val="FF0000"/>
                <w:sz w:val="22"/>
              </w:rPr>
              <w:t xml:space="preserve">M komponenti</w:t>
            </w:r>
          </w:p>
        </w:tc>
        <w:tc>
          <w:tcPr>
            <w:tcW w:w="1928" w:type="dxa"/>
          </w:tcPr>
          <w:p w:rsidR="005603EC" w:rsidRDefault="00AB61AC">
            <w:pPr>
              <w:pStyle w:val="Compact"/>
              <w:spacing w:line="240" w:lineRule="auto"/>
            </w:pPr>
            <w:r>
              <w:rPr>
                <w:color w:val="FF0000"/>
                <w:sz w:val="22"/>
              </w:rPr>
              <w:t xml:space="preserve">Boshqaruv sifati va shaffoflik guruhlari</w:t>
            </w:r>
          </w:p>
        </w:tc>
        <w:tc>
          <w:tcPr>
            <w:tcW w:w="1814" w:type="dxa"/>
          </w:tcPr>
          <w:p w:rsidR="005603EC" w:rsidRDefault="00AB61AC">
            <w:pPr>
              <w:pStyle w:val="Compact"/>
              <w:spacing w:line="240" w:lineRule="auto"/>
            </w:pPr>
            <w:r>
              <w:rPr>
                <w:color w:val="FF0000"/>
                <w:sz w:val="22"/>
              </w:rPr>
              <w:t xml:space="preserve">Yo‘q</w:t>
            </w:r>
          </w:p>
        </w:tc>
        <w:tc>
          <w:tcPr>
            <w:tcW w:w="2041" w:type="dxa"/>
          </w:tcPr>
          <w:p w:rsidR="005603EC" w:rsidRDefault="00AB61AC">
            <w:pPr>
              <w:pStyle w:val="Compact"/>
              <w:spacing w:line="240" w:lineRule="auto"/>
            </w:pPr>
            <w:r>
              <w:rPr>
                <w:color w:val="FF0000"/>
                <w:sz w:val="22"/>
              </w:rPr>
              <w:t xml:space="preserve">Yo‘q (ochiq ma’lumotlarda baholanmaydi)</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color w:val="FF0000"/>
                <w:sz w:val="22"/>
              </w:rPr>
              <w:t xml:space="preserve">Sinflar va erta ogohlantirish zonalari bo‘yicha</w:t>
            </w:r>
            <w:r>
              <w:rPr>
                <w:sz w:val="22"/>
              </w:rPr>
              <w:t xml:space="preserve">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xml:space="preserve">. </w:t>
      </w:r>
      <w:r>
        <w:rPr>
          <w:color w:val="FF0000"/>
        </w:rPr>
        <w:t xml:space="preserve">Bu cheklovlar 3.2-paragrafda vaznlar va sinflar chegaralarini empirik tekshirish hamda to‘rtinchi bobda indeksning bashorat kuchini baholash orqali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5"/>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6"/>
      </w:r>
      <w:r>
        <w:t>. Moliyaviy stress indekslarini qurishda ham M. Illing va Y. Liu turli vaznlash usullarini solishtirib, eng yaxshi usulni indeksning haqiqiy stress davrlarini aniqlash qobiliyati bo‘yicha tanlagan</w:t>
      </w:r>
      <w:r>
        <w:rPr>
          <w:rStyle w:val="aff8"/>
        </w:rPr>
        <w:footnoteReference w:id="417"/>
      </w:r>
      <w:r>
        <w:t>. A.M. Karminskiy esa reyting modellarida vaznlar ekspert yo‘li bilan belgilansa ham, ular albatta statistik tekshiruvdan o‘tkazilishi lozimligini ta’kidlaydi</w:t>
      </w:r>
      <w:r>
        <w:rPr>
          <w:rStyle w:val="aff8"/>
        </w:rPr>
        <w:footnoteReference w:id="418"/>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color w:val="FF0000"/>
                <w:sz w:val="22"/>
              </w:rPr>
              <w:t xml:space="preserve">C. Shannon</w:t>
            </w:r>
            <w:r>
              <w:rPr>
                <w:sz w:val="22"/>
              </w:rPr>
              <w:t xml:space="preserve"> entropiyasi asosida har bir ko‘rsatkich</w:t>
            </w:r>
            <w:r>
              <w:rPr>
                <w:color w:val="FF0000"/>
                <w:sz w:val="22"/>
              </w:rPr>
              <w:t xml:space="preserve"> ballarining 25 ta bank-yil kuzatuvi</w:t>
            </w:r>
            <w:r>
              <w:rPr>
                <w:sz w:val="22"/>
              </w:rPr>
              <w:t xml:space="preserve"> o‘rtasidagi tarqoqligi </w:t>
            </w:r>
            <w:r>
              <w:rPr>
                <w:color w:val="FF0000"/>
                <w:sz w:val="22"/>
              </w:rPr>
              <w:t xml:space="preserve">o‘lchanadi; ko‘rsatkichlar vaznlari bloklar bo‘yicha jamlanadi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 xml:space="preserve">Ko‘rsatkich ballarining standart chetlanishi </w:t>
            </w:r>
            <w:r>
              <w:rPr>
                <w:color w:val="FF0000"/>
                <w:sz w:val="22"/>
              </w:rPr>
              <w:t xml:space="preserve">o‘rtacha qiymatga nisbati; ko‘rsatkichlar vaznlari bloklar bo‘yicha jamlanadi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 xml:space="preserve">Bloklar ballarining korrelyatsiya tuzilmasi asosida </w:t>
            </w:r>
            <w:r>
              <w:rPr>
                <w:color w:val="FF0000"/>
                <w:sz w:val="22"/>
              </w:rPr>
              <w:t xml:space="preserve">umumiy omillar ajratiladi; blok vazni o‘z qiymati birdan katta komponentlar (Kayzer mezoni) yuklamalari kvadratlarining izohlangan dispersiya ulushi bilan tortilgan yig‘indisi sifatida aniqlanadi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r>
              <w:rPr>
                <w:color w:val="FF0000"/>
                <w:sz w:val="22"/>
              </w:rPr>
              <w:t xml:space="preserve"> (koeffitsiyentlar modulining ulushi; kutilganiga teskari ishorali koeffitsiyentga ega </w:t>
            </w:r>
            <w:r>
              <w:rPr>
                <w:color w:val="FF0000"/>
                <w:sz w:val="22"/>
              </w:rPr>
              <w:t xml:space="preserve">blok vazni – 0; kapital va valyuta bloklari uchun tayanch vaznlar saqlanadi)</w:t>
            </w:r>
          </w:p>
        </w:tc>
        <w:tc>
          <w:tcPr>
            <w:tcW w:w="2381" w:type="dxa"/>
          </w:tcPr>
          <w:p w:rsidR="005603EC" w:rsidRDefault="00AB61AC">
            <w:pPr>
              <w:pStyle w:val="Compact"/>
              <w:spacing w:line="240" w:lineRule="auto"/>
            </w:pPr>
            <w:r>
              <w:rPr>
                <w:sz w:val="22"/>
              </w:rPr>
              <w:t xml:space="preserve">25 bank, 2021–2024-yillar choraklik ma’lumotlari</w:t>
            </w:r>
            <w:r>
              <w:rPr>
                <w:color w:val="FF0000"/>
                <w:sz w:val="22"/>
              </w:rPr>
              <w:t xml:space="preserve"> (308 kuzatuv), 8 ko‘rsatkichli panel indeksining 3 bloki (aktivlar sifati, likvidlik, daromadlilik)</w:t>
            </w:r>
            <w:r>
              <w:rPr>
                <w:sz w:val="22"/>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0"/>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1"/>
      </w:r>
      <w:r>
        <w:rPr>
          <w:rStyle w:val="aff8"/>
        </w:rPr>
        <w:footnoteReference w:id="422"/>
      </w:r>
      <w:r>
        <w:rPr>
          <w:rStyle w:val="aff8"/>
        </w:rPr>
        <w:footnoteReference w:id="423"/>
      </w:r>
      <w:r>
        <w:rPr>
          <w:rStyle w:val="aff8"/>
        </w:rPr>
        <w:footnoteReference w:id="424"/>
      </w:r>
      <w:r>
        <w:rPr>
          <w:rStyle w:val="aff8"/>
        </w:rPr>
        <w:footnoteReference w:id="425"/>
      </w:r>
      <w:r>
        <w:t>. Yuqori likvid aktivlar ulushi esa “SNS” reyting agentligi bazasidan olindi</w:t>
      </w:r>
      <w:r>
        <w:rPr>
          <w:rStyle w:val="aff8"/>
        </w:rPr>
        <w:footnoteReference w:id="426"/>
      </w:r>
      <w:r>
        <w:t>. Logit usuli uchun 3.3-paragrafda shakllantirilgan 25 ta bank paneli qo‘llandi</w:t>
      </w:r>
      <w:r>
        <w:rPr>
          <w:color w:val="FF0000"/>
        </w:rPr>
        <w:t xml:space="preserve"> (panelning tarkibi 3.3-paragrafda, muammo hodisasining ta’rifi esa 4.1-paragrafda batafsil yoritiladi</w:t>
      </w:r>
      <w:r>
        <w:rPr>
          <w:color w:val="FF0000"/>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7"/>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color w:val="FF0000"/>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color w:val="FF0000"/>
        </w:rPr>
        <w:t xml:space="preserve">(0,30)</w:t>
      </w:r>
      <w:r>
        <w:rPr/>
        <w:t xml:space="preserve"> deyarli teng. Biroq tarqoqlikka asoslangan usullarda eng yuqori vazn daromadlilik blokiga (0,30–0,46) berilgan, ya’ni ularda aktivlar sifati bloki ikkinchi o‘rinda turadi</w:t>
      </w:r>
      <w:r>
        <w:rPr>
          <w:color w:val="0070C0"/>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color w:val="FF0000"/>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color w:val="FF0000"/>
        </w:rPr>
        <w:t xml:space="preserve">Jadval ma’lumotlaridan</w:t>
      </w:r>
      <w:r>
        <w:t xml:space="preserve"> ko‘rinib turibdiki, usullar o‘rtasidagi farq asosan </w:t>
      </w:r>
      <w:r>
        <w:rPr>
          <w:color w:val="FF0000"/>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color w:val="FF0000"/>
        </w:rPr>
        <w:t xml:space="preserve">Tanlangan banklarning</w:t>
      </w:r>
      <w:r>
        <w:rPr>
          <w:b/>
          <w:bCs/>
        </w:rPr>
        <w:t xml:space="preserve">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color w:val="FF0000"/>
                <w:sz w:val="22"/>
              </w:rPr>
              <w:t xml:space="preserve">Bank / 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color w:val="FF0000"/>
                <w:sz w:val="22"/>
              </w:rPr>
              <w:t xml:space="preserve">“Aloqabank” ATB (tanlanmadan tashqari)</w:t>
            </w:r>
          </w:p>
        </w:tc>
        <w:tc>
          <w:tcPr>
            <w:tcW w:w="1176" w:type="dxa"/>
          </w:tcPr>
          <w:p w:rsidR="005603EC" w:rsidRDefault="00AB61AC">
            <w:pPr>
              <w:pStyle w:val="Compact"/>
              <w:spacing w:line="240" w:lineRule="auto"/>
              <w:jc w:val="center"/>
            </w:pPr>
            <w:r>
              <w:rPr>
                <w:color w:val="FF0000"/>
                <w:sz w:val="22"/>
              </w:rPr>
              <w:t xml:space="preserve">2,78</w:t>
            </w:r>
          </w:p>
        </w:tc>
        <w:tc>
          <w:tcPr>
            <w:tcW w:w="1176" w:type="dxa"/>
          </w:tcPr>
          <w:p w:rsidR="005603EC" w:rsidRDefault="00AB61AC">
            <w:pPr>
              <w:pStyle w:val="Compact"/>
              <w:spacing w:line="240" w:lineRule="auto"/>
              <w:jc w:val="center"/>
            </w:pPr>
            <w:r>
              <w:rPr>
                <w:color w:val="FF0000"/>
                <w:sz w:val="22"/>
              </w:rPr>
              <w:t xml:space="preserve">2,23</w:t>
            </w:r>
          </w:p>
        </w:tc>
        <w:tc>
          <w:tcPr>
            <w:tcW w:w="1176" w:type="dxa"/>
          </w:tcPr>
          <w:p w:rsidR="005603EC" w:rsidRDefault="00AB61AC">
            <w:pPr>
              <w:pStyle w:val="Compact"/>
              <w:spacing w:line="240" w:lineRule="auto"/>
              <w:jc w:val="center"/>
            </w:pPr>
            <w:r>
              <w:rPr>
                <w:color w:val="FF0000"/>
                <w:sz w:val="22"/>
              </w:rPr>
              <w:t xml:space="preserve">2,41</w:t>
            </w:r>
          </w:p>
        </w:tc>
        <w:tc>
          <w:tcPr>
            <w:tcW w:w="1176" w:type="dxa"/>
          </w:tcPr>
          <w:p w:rsidR="005603EC" w:rsidRDefault="00AB61AC">
            <w:pPr>
              <w:pStyle w:val="Compact"/>
              <w:spacing w:line="240" w:lineRule="auto"/>
              <w:jc w:val="center"/>
            </w:pPr>
            <w:r>
              <w:rPr>
                <w:color w:val="FF0000"/>
                <w:sz w:val="22"/>
              </w:rPr>
              <w:t xml:space="preserve">2,49</w:t>
            </w:r>
          </w:p>
        </w:tc>
        <w:tc>
          <w:tcPr>
            <w:tcW w:w="1126" w:type="dxa"/>
          </w:tcPr>
          <w:p w:rsidR="005603EC" w:rsidRDefault="00AB61AC">
            <w:pPr>
              <w:pStyle w:val="Compact"/>
              <w:spacing w:line="240" w:lineRule="auto"/>
              <w:jc w:val="center"/>
            </w:pPr>
            <w:r>
              <w:rPr>
                <w:color w:val="FF0000"/>
                <w:sz w:val="22"/>
              </w:rPr>
              <w:t xml:space="preserve">3,01</w:t>
            </w:r>
          </w:p>
        </w:tc>
        <w:tc>
          <w:tcPr>
            <w:tcW w:w="1176" w:type="dxa"/>
          </w:tcPr>
          <w:p w:rsidR="005603EC" w:rsidRDefault="00AB61AC">
            <w:pPr>
              <w:pStyle w:val="Compact"/>
              <w:spacing w:line="240" w:lineRule="auto"/>
              <w:jc w:val="center"/>
            </w:pPr>
            <w:r>
              <w:rPr>
                <w:color w:val="FF0000"/>
                <w:sz w:val="22"/>
              </w:rPr>
              <w:t xml:space="preserve">2,38</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line="240" w:lineRule="auto"/>
        <w:jc w:val="both"/>
      </w:pPr>
      <w:r>
        <w:rPr>
          <w:color w:val="FF0000"/>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w:t>
      </w:r>
      <w:r>
        <w:rPr>
          <w:color w:val="FF0000"/>
        </w:rPr>
        <w:t xml:space="preserve"> Tanlanmadan tashqari “Aloqabank” ATB da esa manzara boshqacha: tayanch vaznlarda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color w:val="FF0000"/>
        </w:rPr>
        <w:t xml:space="preserve">AUC 0,865–0,907, tayanch vaznlarda – 0,864)</w:t>
      </w:r>
      <w:r>
        <w:t xml:space="preserve">, biroq farq katta emas, </w:t>
      </w:r>
      <w:r>
        <w:rPr/>
        <w:t xml:space="preserve">tayanch vaznlar</w:t>
      </w:r>
      <w:r>
        <w:t xml:space="preserve">ning bashorat kuchi esa bosh komponentlar usuli bilan </w:t>
      </w:r>
      <w:r>
        <w:rPr>
          <w:color w:val="FF0000"/>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color w:val="FF0000"/>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color w:val="FF0000"/>
        </w:rPr>
        <w:t xml:space="preserve"> (Dirixle taqsimotining parametri α = 20·w, bu yerda w – blokning tayanch vazni)</w:t>
      </w:r>
      <w:r>
        <w:t xml:space="preserve"> va vaznlar to‘liq tasodifiy, ya’ni hech qanday dastlabki farazsiz tanlangan holatda </w:t>
      </w:r>
      <w:r>
        <w:rPr>
          <w:color w:val="FF0000"/>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color w:val="FF0000"/>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color w:val="FF0000"/>
        </w:rPr>
        <w:t xml:space="preserve">3.2.1-rasm</w:t>
      </w:r>
      <w:r>
        <w:rPr>
          <w:b/>
        </w:rPr>
        <w:t xml:space="preserve">.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color w:val="FF0000"/>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w:t>
      </w:r>
      <w:r>
        <w:rPr>
          <w:color w:val="FF0000"/>
        </w:rPr>
        <w:t xml:space="preserve">Ular 3.1-paragrafda 1–4 ballik shkalani teng to‘rt oraliqqa bo‘lish yo‘li bilan oldindan belgilangan edi.</w:t>
      </w:r>
      <w:r>
        <w:t xml:space="preserve"> Ularni empirik tekshirish uchun 25 ta bank panelida</w:t>
      </w:r>
      <w:r>
        <w:rPr>
          <w:color w:val="FF0000"/>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color w:val="FF0000"/>
        </w:rPr>
        <w:t xml:space="preserve">2021–2024-yillar kuzatuvlari</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color w:val="FF0000"/>
          <w:sz w:val="24"/>
        </w:rPr>
        <w:t xml:space="preserve">Izoh: 25 ta bank paneli, milliy hisobot asosidagi 8 ko‘rsatkichli choraklik indeks</w:t>
      </w:r>
      <w:r>
        <w:rPr>
          <w:color w:val="FF0000"/>
          <w:sz w:val="24"/>
        </w:rPr>
        <w:t xml:space="preserve"> (MBII-8)</w:t>
      </w:r>
      <w:r>
        <w:rPr>
          <w:color w:val="FF0000"/>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color w:val="FF0000"/>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color w:val="FF0000"/>
        </w:rPr>
        <w:t xml:space="preserve">Shundan so‘ng </w:t>
      </w:r>
      <w:r>
        <w:rPr>
          <w:color w:val="FF0000"/>
        </w:rPr>
        <w:t xml:space="preserve">empirik tekshiruvdan o‘tgan, tayanch vaznli indeks</w:t>
      </w:r>
      <w:r>
        <w:t xml:space="preserve"> beshta bankning 2021–2025-yillardagi moliyaviy barqarorligi dinamikasini baholash uchun qo‘llandi </w:t>
      </w:r>
      <w:r>
        <w:rPr>
          <w:color w:val="FF0000"/>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70AD47"/>
                <w:sz w:val="20"/>
              </w:rPr>
              <w:t xml:space="preserve">━━ </w:t>
            </w:r>
            <w:r>
              <w:rPr>
                <w:rFonts w:ascii="Times New Roman" w:hAnsi="Times New Roman" w:eastAsia="Times New Roman" w:cs="Times New Roman"/>
                <w:b w:val="0"/>
                <w:color w:val="FF0000"/>
                <w:sz w:val="22"/>
              </w:rPr>
              <w:t>“Xalq banki”</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2,66</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2,96</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3,38</w:t>
            </w:r>
          </w:p>
        </w:tc>
      </w:tr>
      <w:tr>
        <w:tc>
          <w:tcPr>
            <w:tcW w:type="dxa" w:w="3685"/>
          </w:tcPr>
          <w:p>
            <w:pPr>
              <w:spacing w:before="0" w:after="0" w:line="240" w:lineRule="auto"/>
              <w:ind w:firstLine="0"/>
              <w:jc w:val="left"/>
            </w:pPr>
            <w:r>
              <w:rPr>
                <w:rFonts w:ascii="Times New Roman" w:hAnsi="Times New Roman" w:eastAsia="Times New Roman" w:cs="Times New Roman"/>
                <w:b/>
                <w:color w:val="FFC000"/>
                <w:sz w:val="20"/>
              </w:rPr>
              <w:t xml:space="preserve">━━ </w:t>
            </w:r>
            <w:r>
              <w:rPr>
                <w:rFonts w:ascii="Times New Roman" w:hAnsi="Times New Roman" w:eastAsia="Times New Roman" w:cs="Times New Roman"/>
                <w:b w:val="0"/>
                <w:color w:val="FF0000"/>
                <w:sz w:val="22"/>
              </w:rPr>
              <w:t>“Biznesni rivojlantirish banki”</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2,51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2,03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3,23</w:t>
            </w:r>
          </w:p>
        </w:tc>
      </w:tr>
      <w:tr>
        <w:tc>
          <w:tcPr>
            <w:tcW w:type="dxa" w:w="3685"/>
          </w:tcPr>
          <w:p>
            <w:pPr>
              <w:spacing w:before="0" w:after="0" w:line="240" w:lineRule="auto"/>
              <w:ind w:firstLine="0"/>
              <w:jc w:val="left"/>
            </w:pPr>
            <w:r>
              <w:rPr>
                <w:rFonts w:ascii="Times New Roman" w:hAnsi="Times New Roman" w:eastAsia="Times New Roman" w:cs="Times New Roman"/>
                <w:b/>
                <w:color w:val="7030A0"/>
                <w:sz w:val="20"/>
              </w:rPr>
              <w:t xml:space="preserve">━━ </w:t>
            </w:r>
            <w:r>
              <w:rPr>
                <w:rFonts w:ascii="Times New Roman" w:hAnsi="Times New Roman" w:eastAsia="Times New Roman" w:cs="Times New Roman"/>
                <w:b w:val="0"/>
                <w:color w:val="FF0000"/>
                <w:sz w:val="22"/>
              </w:rPr>
              <w:t>“Ipoteka-bank”</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3,11</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00A3A3"/>
                <w:sz w:val="20"/>
              </w:rPr>
              <w:t xml:space="preserve">╍╍ </w:t>
            </w:r>
            <w:r>
              <w:rPr>
                <w:rFonts w:ascii="Times New Roman" w:hAnsi="Times New Roman" w:eastAsia="Times New Roman" w:cs="Times New Roman"/>
                <w:b w:val="0"/>
                <w:color w:val="FF0000"/>
                <w:sz w:val="22"/>
              </w:rPr>
              <w:t>“Aloqabank” (tanlanmadan tashqari)</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line="240" w:lineRule="auto"/>
        <w:jc w:val="both"/>
      </w:pPr>
      <w:r>
        <w:rPr>
          <w:color w:val="FF0000"/>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color w:val="FF0000"/>
        </w:rPr>
        <w:t xml:space="preserve">3.2.2-rasm</w:t>
      </w:r>
      <w:r>
        <w:rPr>
          <w:b/>
        </w:rPr>
        <w:t xml:space="preserve">.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w:t>
      </w:r>
      <w:r>
        <w:rPr>
          <w:color w:val="FF0000"/>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color w:val="FF0000"/>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w:t>
      </w:r>
      <w:r>
        <w:rPr>
          <w:color w:val="0070C0"/>
        </w:rPr>
        <w:t xml:space="preserve">. Jumladan,</w:t>
      </w:r>
      <w:r>
        <w:t xml:space="preserve">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 xml:space="preserve">Jadvalda keltirilgan gipotezalarning har biri xalqaro tadqiqotlarda tasdiqlangan mexanizmga tayanadi. Birinchi gipoteza davlat banklarining siyosiy maqsadlarda kreditlash va yumshoq byudjet cheklovi sharoitida faoliyat yuritishi bilan izohlanadi</w:t>
      </w:r>
      <w:r>
        <w:rPr>
          <w:color w:val="0070C0"/>
        </w:rPr>
        <w:t xml:space="preserve">. Xususan,</w:t>
      </w:r>
      <w:r>
        <w:t xml:space="preserve">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w:t>
      </w:r>
      <w:r>
        <w:rPr>
          <w:color w:val="0070C0"/>
        </w:rPr>
        <w:t xml:space="preserve">. Jumladan,</w:t>
      </w:r>
      <w:r>
        <w:t xml:space="preserve">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color w:val="FF0000"/>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r>
      <w:r>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color w:val="FF0000"/>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r>
      <w:r>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w:t>
      </w:r>
      <w:r>
        <w:rPr>
          <w:color w:val="0070C0"/>
        </w:rPr>
        <w:t xml:space="preserve">.</w:t>
      </w:r>
      <w:r>
        <w:t xml:space="preserve">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w:t>
      </w:r>
      <w:r>
        <w:rPr>
          <w:color w:val="0070C0"/>
        </w:rPr>
        <w:t xml:space="preserve">. O‘sha paytda</w:t>
      </w:r>
      <w:r>
        <w:t xml:space="preserve">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color w:val="FF0000"/>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w:t>
      </w:r>
      <w:r>
        <w:rPr>
          <w:color w:val="0070C0"/>
        </w:rPr>
        <w:t xml:space="preserve">. To‘liq,</w:t>
      </w:r>
      <w:r>
        <w:rPr/>
        <w:t xml:space="preserve">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color w:val="FF0000"/>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color w:val="FF0000"/>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color w:val="FF0000"/>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color w:val="FF0000"/>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color w:val="FF0000"/>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color w:val="FF0000"/>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color w:val="FF0000"/>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color w:val="FF0000"/>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color w:val="FF0000"/>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w:t>
      </w:r>
      <w:r>
        <w:rPr>
          <w:color w:val="FF0000"/>
        </w:rPr>
        <w:t xml:space="preserve">2.3.2- va 2.3.4-jadvallar ma’lumotlari</w:t>
      </w:r>
      <w:r>
        <w:t xml:space="preserve">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rPr>
          <w:color w:val="FF0000"/>
        </w:rPr>
        <w:t xml:space="preserve"> Tadqiqot natijasida muallif tomonidan banklarning Markaziy bankka taqdim etilgan prudensial hisobot shakllari va MHXS bo‘yicha moliyaviy hisobotlari asosida hisoblandi.</w:t>
      </w:r>
    </w:p>
  </w:footnote>
  <w:footnote w:id="413">
    <w:p w:rsidR="00AB61AC" w:rsidRDefault="00AB61AC">
      <w:pPr>
        <w:pStyle w:val="aff9"/>
      </w:pPr>
      <w:r>
        <w:rPr>
          <w:rStyle w:val="aff8"/>
        </w:rPr>
        <w:footnoteRef/>
      </w:r>
      <w:r>
        <w:t xml:space="preserve"> Tadqiqot natijasida muallif tomonidan 3.1.3 va 3.1.5-jadvallar ma’lumotlari asosida hisoblandi.</w:t>
      </w:r>
    </w:p>
  </w:footnote>
  <w:footnote w:id="414">
    <w:p w:rsidR="00AB61AC" w:rsidRDefault="00AB61AC">
      <w:pPr>
        <w:pStyle w:val="aff9"/>
      </w:pPr>
      <w:r>
        <w:rPr>
          <w:rStyle w:val="aff8"/>
        </w:rPr>
        <w:footnoteRef/>
      </w:r>
      <w:r>
        <w:t xml:space="preserve"> Tadqiqot natijasida muallif tomonidan quyidagi manbalar asosida ishlab chiqildi: </w:t>
      </w:r>
      <w:r>
        <w:rPr>
          <w:color w:val="FF0000"/>
        </w:rPr>
        <w:t xml:space="preserve">Указание Банка России от 03.04.2017 № 4336-У “Об оценке экономического положения банков”. – https://www.cbr.ru;</w:t>
      </w:r>
      <w:r>
        <w:t xml:space="preserve">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5">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6">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7">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8">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3">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4">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5">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6">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va “SNS” reyting agentligi bazasi asosida hisoblandi.</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