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Fond</w:t>
      </w:r>
      <w:r>
        <w:t xml:space="preserve"> </w:t>
      </w:r>
      <w:r>
        <w:t xml:space="preserve">bozori</w:t>
      </w:r>
      <w:r>
        <w:t xml:space="preserve"> </w:t>
      </w:r>
      <w:r>
        <w:t xml:space="preserve">risklarini</w:t>
      </w:r>
      <w:r>
        <w:t xml:space="preserve"> </w:t>
      </w:r>
      <w:r>
        <w:t xml:space="preserve">boshqarish</w:t>
      </w:r>
    </w:p>
    <w:p>
      <w:pPr>
        <w:pStyle w:val="Subtitle"/>
      </w:pPr>
      <w:r>
        <w:t xml:space="preserve">Slaydlar</w:t>
      </w:r>
      <w:r>
        <w:t xml:space="preserve"> </w:t>
      </w:r>
      <w:r>
        <w:t xml:space="preserve">bo‘yicha</w:t>
      </w:r>
      <w:r>
        <w:t xml:space="preserve"> </w:t>
      </w:r>
      <w:r>
        <w:t xml:space="preserve">o‘qituvchi</w:t>
      </w:r>
      <w:r>
        <w:t xml:space="preserve"> </w:t>
      </w:r>
      <w:r>
        <w:t xml:space="preserve">nutqi,</w:t>
      </w:r>
      <w:r>
        <w:t xml:space="preserve"> </w:t>
      </w:r>
      <w:r>
        <w:t xml:space="preserve">misollar</w:t>
      </w:r>
      <w:r>
        <w:t xml:space="preserve"> </w:t>
      </w:r>
      <w:r>
        <w:t xml:space="preserve">yechimi,</w:t>
      </w:r>
      <w:r>
        <w:t xml:space="preserve"> </w:t>
      </w:r>
      <w:r>
        <w:t xml:space="preserve">asoslar</w:t>
      </w:r>
      <w:r>
        <w:t xml:space="preserve"> </w:t>
      </w:r>
      <w:r>
        <w:t xml:space="preserve">va</w:t>
      </w:r>
      <w:r>
        <w:t xml:space="preserve"> </w:t>
      </w:r>
      <w:r>
        <w:t xml:space="preserve">sabab-oqibatlar</w:t>
      </w:r>
      <w:r>
        <w:t xml:space="preserve"> </w:t>
      </w:r>
      <w:r>
        <w:t xml:space="preserve">(2</w:t>
      </w:r>
      <w:r>
        <w:t xml:space="preserve"> </w:t>
      </w:r>
      <w:r>
        <w:t xml:space="preserve">soatlik</w:t>
      </w:r>
      <w:r>
        <w:t xml:space="preserve"> </w:t>
      </w:r>
      <w:r>
        <w:t xml:space="preserve">amaliy</w:t>
      </w:r>
      <w:r>
        <w:t xml:space="preserve"> </w:t>
      </w:r>
      <w:r>
        <w:t xml:space="preserve">mashg‘ulot)</w:t>
      </w:r>
    </w:p>
    <w:bookmarkStart w:id="20" w:name="qollanmadan-foydalanish"/>
    <w:p>
      <w:pPr>
        <w:pStyle w:val="Heading1"/>
      </w:pPr>
      <w:r>
        <w:t xml:space="preserve">Qo‘llanmadan foydalanish</w:t>
      </w:r>
    </w:p>
    <w:p>
      <w:pPr>
        <w:pStyle w:val="FirstParagraph"/>
      </w:pPr>
      <w:r>
        <w:t xml:space="preserve">Ushbu hujjat 24 ta slayddan iborat taqdimotga ilova. Har bir slayd uchun alohida bo‘lim berilgan va u quyidagi qismlardan iborat:</w:t>
      </w:r>
    </w:p>
    <w:p>
      <w:pPr>
        <w:numPr>
          <w:ilvl w:val="0"/>
          <w:numId w:val="1001"/>
        </w:numPr>
        <w:pStyle w:val="Compact"/>
      </w:pPr>
      <w:r>
        <w:rPr>
          <w:bCs/>
          <w:b/>
        </w:rPr>
        <w:t xml:space="preserve">Nutq</w:t>
      </w:r>
      <w:r>
        <w:t xml:space="preserve"> </w:t>
      </w:r>
      <w:r>
        <w:t xml:space="preserve">— o‘qituvchi slayd paytida aytadigan matn. Uni so‘zma-so‘z o‘qish shart emas, asosiy fikrlar shu yerda.</w:t>
      </w:r>
    </w:p>
    <w:p>
      <w:pPr>
        <w:numPr>
          <w:ilvl w:val="0"/>
          <w:numId w:val="1001"/>
        </w:numPr>
        <w:pStyle w:val="Compact"/>
      </w:pPr>
      <w:r>
        <w:rPr>
          <w:bCs/>
          <w:b/>
        </w:rPr>
        <w:t xml:space="preserve">Misol va batafsil yechim</w:t>
      </w:r>
      <w:r>
        <w:t xml:space="preserve"> </w:t>
      </w:r>
      <w:r>
        <w:t xml:space="preserve">— slaydda hisob-kitob bo‘lsa, uning bosqichma-bosqich yechimi.</w:t>
      </w:r>
    </w:p>
    <w:p>
      <w:pPr>
        <w:numPr>
          <w:ilvl w:val="0"/>
          <w:numId w:val="1001"/>
        </w:numPr>
        <w:pStyle w:val="Compact"/>
      </w:pPr>
      <w:r>
        <w:rPr>
          <w:bCs/>
          <w:b/>
        </w:rPr>
        <w:t xml:space="preserve">Asos</w:t>
      </w:r>
      <w:r>
        <w:t xml:space="preserve"> </w:t>
      </w:r>
      <w:r>
        <w:t xml:space="preserve">— slayddagi isbot talab qiladigan har bir da’vo uchun dalil va manba.</w:t>
      </w:r>
    </w:p>
    <w:p>
      <w:pPr>
        <w:numPr>
          <w:ilvl w:val="0"/>
          <w:numId w:val="1001"/>
        </w:numPr>
        <w:pStyle w:val="Compact"/>
      </w:pPr>
      <w:r>
        <w:rPr>
          <w:bCs/>
          <w:b/>
        </w:rPr>
        <w:t xml:space="preserve">Sabab va oqibat</w:t>
      </w:r>
      <w:r>
        <w:t xml:space="preserve"> </w:t>
      </w:r>
      <w:r>
        <w:t xml:space="preserve">— keys va voqealar uchun: nima sabab bo‘ldi, qanday oqibatlarga olib keldi.</w:t>
      </w:r>
    </w:p>
    <w:p>
      <w:pPr>
        <w:numPr>
          <w:ilvl w:val="0"/>
          <w:numId w:val="1001"/>
        </w:numPr>
        <w:pStyle w:val="Compact"/>
      </w:pPr>
      <w:r>
        <w:rPr>
          <w:bCs/>
          <w:b/>
        </w:rPr>
        <w:t xml:space="preserve">Talabalarga savollar</w:t>
      </w:r>
      <w:r>
        <w:t xml:space="preserve"> </w:t>
      </w:r>
      <w:r>
        <w:t xml:space="preserve">— kutilayotgan javoblari bilan.</w:t>
      </w:r>
    </w:p>
    <w:p>
      <w:pPr>
        <w:pStyle w:val="FirstParagraph"/>
      </w:pPr>
      <w:r>
        <w:t xml:space="preserve">Raqamlar ikki xil manbadan olingan. Birinchisi — FRED (AQSh Federal rezerv tizimining Sent-Luis banki) ma’lumotlar bazasidagi S&amp;P 500, VIX va Nikkei 225 indekslarining kunlik qiymatlari bo‘yicha muallif hisob-kitobi. Ikkinchisi — har bir bo‘limda ko‘rsatilgan rasmiy hisobotlar va nashrlar.</w:t>
      </w:r>
    </w:p>
    <w:bookmarkEnd w:id="20"/>
    <w:bookmarkStart w:id="24" w:name="X90b9fb53f43f705ae01603eaccb64496e90f80e"/>
    <w:p>
      <w:pPr>
        <w:pStyle w:val="Heading1"/>
      </w:pPr>
      <w:r>
        <w:t xml:space="preserve">1-slayd uchun: Muqova —</w:t>
      </w:r>
      <w:r>
        <w:t xml:space="preserve"> </w:t>
      </w:r>
      <w:r>
        <w:t xml:space="preserve">“</w:t>
      </w:r>
      <w:r>
        <w:t xml:space="preserve">Fond bozori risklarini boshqarish</w:t>
      </w:r>
      <w:r>
        <w:t xml:space="preserve">”</w:t>
      </w:r>
    </w:p>
    <w:p>
      <w:pPr>
        <w:pStyle w:val="FirstParagraph"/>
      </w:pPr>
      <w:r>
        <w:rPr>
          <w:bCs/>
          <w:b/>
        </w:rPr>
        <w:t xml:space="preserve">Slayd maqsadi:</w:t>
      </w:r>
      <w:r>
        <w:t xml:space="preserve"> </w:t>
      </w:r>
      <w:r>
        <w:t xml:space="preserve">mavzuni e’lon qilish va talabalar e’tiborini real raqam bilan jalb qilish.</w:t>
      </w:r>
      <w:r>
        <w:t xml:space="preserve"> </w:t>
      </w:r>
      <w:r>
        <w:rPr>
          <w:bCs/>
          <w:b/>
        </w:rPr>
        <w:t xml:space="preserve">Vaqt:</w:t>
      </w:r>
      <w:r>
        <w:t xml:space="preserve"> </w:t>
      </w:r>
      <w:r>
        <w:t xml:space="preserve">2 daqiqa.</w:t>
      </w:r>
    </w:p>
    <w:bookmarkStart w:id="21" w:name="nutq"/>
    <w:p>
      <w:pPr>
        <w:pStyle w:val="Heading2"/>
      </w:pPr>
      <w:r>
        <w:t xml:space="preserve">Nutq</w:t>
      </w:r>
    </w:p>
    <w:p>
      <w:pPr>
        <w:pStyle w:val="FirstParagraph"/>
      </w:pPr>
      <w:r>
        <w:t xml:space="preserve">“Assalomu alaykum. Bugungi mavzuimiz — fond bozori risklarini boshqarish. Darsni bitta raqam bilan boshlaymiz: minus 34 foiz. 2020-yil fevral oyining o‘rtasidan mart oyining oxirigacha, ya’ni atigi 23 savdo kunida AQShning eng yirik 500 kompaniyasi aksiyalaridan tashkil topgan S&amp;P 500 indeksi o‘z qiymatining uchdan bir qismini yo‘qotdi.</w:t>
      </w:r>
    </w:p>
    <w:p>
      <w:pPr>
        <w:pStyle w:val="BodyText"/>
      </w:pPr>
      <w:r>
        <w:t xml:space="preserve">Tasavvur qiling: siz 100 mln so‘mni shu indeksga investitsiya qilgansiz. Bir oydan keyin hisobingizda qancha qoladi? Taxminan 66 mln so‘m. 34 mln so‘m bir oyda yo‘qoldi. Bunday holat yana takrorlanishi mumkinmi? Undan himoyalanish mumkinmi? Agar mumkin bo‘lsa — qanday? Bugun aynan shu savollarga javob izlaymiz: avval risk nima ekanini aniqlaymiz, keyin uni o‘lchashni o‘rganamiz, so‘ng real tarixiy keyslarni tahlil qilamiz va oxirida riskni boshqarish usullarini ko‘rib chiqamiz.”</w:t>
      </w:r>
    </w:p>
    <w:bookmarkEnd w:id="21"/>
    <w:bookmarkStart w:id="22" w:name="misol-va-batafsil-yechim"/>
    <w:p>
      <w:pPr>
        <w:pStyle w:val="Heading2"/>
      </w:pPr>
      <w:r>
        <w:t xml:space="preserve">Misol va batafsil yechim</w:t>
      </w:r>
    </w:p>
    <w:p>
      <w:pPr>
        <w:numPr>
          <w:ilvl w:val="0"/>
          <w:numId w:val="1002"/>
        </w:numPr>
        <w:pStyle w:val="Compact"/>
      </w:pPr>
      <w:r>
        <w:t xml:space="preserve">Indeks qiymati: 2020-yil 19-fevralda 3 386,15 punkt, 23-martda 2 237,40 punkt.</w:t>
      </w:r>
    </w:p>
    <w:p>
      <w:pPr>
        <w:numPr>
          <w:ilvl w:val="0"/>
          <w:numId w:val="1002"/>
        </w:numPr>
        <w:pStyle w:val="Compact"/>
      </w:pPr>
      <w:r>
        <w:t xml:space="preserve">O‘zgarish: 2 237,40 / 3 386,15 − 1 = 0,6608 − 1 = −0,3392, ya’ni</w:t>
      </w:r>
      <w:r>
        <w:t xml:space="preserve"> </w:t>
      </w:r>
      <w:r>
        <w:rPr>
          <w:bCs/>
          <w:b/>
        </w:rPr>
        <w:t xml:space="preserve">−33,9%</w:t>
      </w:r>
      <w:r>
        <w:t xml:space="preserve"> </w:t>
      </w:r>
      <w:r>
        <w:t xml:space="preserve">(slaydda yaxlitlab −34%).</w:t>
      </w:r>
    </w:p>
    <w:p>
      <w:pPr>
        <w:numPr>
          <w:ilvl w:val="0"/>
          <w:numId w:val="1002"/>
        </w:numPr>
        <w:pStyle w:val="Compact"/>
      </w:pPr>
      <w:r>
        <w:t xml:space="preserve">100 mln so‘mlik investitsiya: 100 × 0,6608 =</w:t>
      </w:r>
      <w:r>
        <w:t xml:space="preserve"> </w:t>
      </w:r>
      <w:r>
        <w:rPr>
          <w:bCs/>
          <w:b/>
        </w:rPr>
        <w:t xml:space="preserve">66,1 mln so‘m</w:t>
      </w:r>
      <w:r>
        <w:t xml:space="preserve">; zarar ≈ 33,9 mln so‘m.</w:t>
      </w:r>
    </w:p>
    <w:bookmarkEnd w:id="22"/>
    <w:bookmarkStart w:id="23" w:name="asos"/>
    <w:p>
      <w:pPr>
        <w:pStyle w:val="Heading2"/>
      </w:pPr>
      <w:r>
        <w:t xml:space="preserve">Asos</w:t>
      </w:r>
    </w:p>
    <w:p>
      <w:pPr>
        <w:pStyle w:val="FirstParagraph"/>
      </w:pPr>
      <w:r>
        <w:t xml:space="preserve">S&amp;P 500 indeksining kunlik yopilish qiymatlari — FRED, SP500 qatori (fred.stlouisfed.org/series/SP500). 19.02.2020 dan 23.03.2020 gacha 23 ta savdo kuni bor (20-fevraldan 23-martgacha bo‘lgan savdo kunlari).</w:t>
      </w:r>
    </w:p>
    <w:bookmarkEnd w:id="23"/>
    <w:bookmarkEnd w:id="24"/>
    <w:bookmarkStart w:id="26" w:name="slayd-uchun-dars-rejasi"/>
    <w:p>
      <w:pPr>
        <w:pStyle w:val="Heading1"/>
      </w:pPr>
      <w:r>
        <w:t xml:space="preserve">2-slayd uchun: Dars rejasi</w:t>
      </w:r>
    </w:p>
    <w:p>
      <w:pPr>
        <w:pStyle w:val="FirstParagraph"/>
      </w:pPr>
      <w:r>
        <w:rPr>
          <w:bCs/>
          <w:b/>
        </w:rPr>
        <w:t xml:space="preserve">Slayd maqsadi:</w:t>
      </w:r>
      <w:r>
        <w:t xml:space="preserve"> </w:t>
      </w:r>
      <w:r>
        <w:t xml:space="preserve">dars tuzilishini va talabalardan kutiladigan natijalarni tanishtirish.</w:t>
      </w:r>
      <w:r>
        <w:t xml:space="preserve"> </w:t>
      </w:r>
      <w:r>
        <w:rPr>
          <w:bCs/>
          <w:b/>
        </w:rPr>
        <w:t xml:space="preserve">Vaqt:</w:t>
      </w:r>
      <w:r>
        <w:t xml:space="preserve"> </w:t>
      </w:r>
      <w:r>
        <w:t xml:space="preserve">1–2 daqiqa.</w:t>
      </w:r>
    </w:p>
    <w:bookmarkStart w:id="25" w:name="nutq-1"/>
    <w:p>
      <w:pPr>
        <w:pStyle w:val="Heading2"/>
      </w:pPr>
      <w:r>
        <w:t xml:space="preserve">Nutq</w:t>
      </w:r>
    </w:p>
    <w:p>
      <w:pPr>
        <w:pStyle w:val="FirstParagraph"/>
      </w:pPr>
      <w:r>
        <w:t xml:space="preserve">“</w:t>
      </w:r>
      <w:r>
        <w:t xml:space="preserve">Darsimiz 80 daqiqa davom etadi va yetti bosqichdan iborat. Dastlabki 10 daqiqada risk tushunchasi va uning turlarini aniqlaymiz. Keyingi 15 daqiqada riskni o‘lchashning to‘rtta oddiy ko‘rsatkichini o‘rganamiz va ular bo‘yicha amaliy misollar yechamiz. So‘ng 10 daqiqa davomida haqiqiy bozor ma’lumotlarini — AQSh indeksi va “qo‘rquv indeksi</w:t>
      </w:r>
      <w:r>
        <w:t xml:space="preserve">”</w:t>
      </w:r>
      <w:r>
        <w:t xml:space="preserve"> </w:t>
      </w:r>
      <w:r>
        <w:t xml:space="preserve">grafiklarini tahlil qilamiz. Darsning eng katta qismi — 20 daqiqa — real keyslarga ajratilgan: 1987, 2008, 2020, 2021 va 2024–2025-yillardagi voqealar. Keyin O‘zbekiston fond bozorining xususiyatlarini ko‘ramiz. Darsning oxirida riskni boshqarish usullarini o‘rganamiz, guruhlarda ishlaymiz va xulosa qilamiz.</w:t>
      </w:r>
    </w:p>
    <w:p>
      <w:pPr>
        <w:pStyle w:val="BodyText"/>
      </w:pPr>
      <w:r>
        <w:t xml:space="preserve">Dars oxirida har biringiz to‘rtta narsani bajara olishingiz kerak: risklarni turlarga ajratish, volatillik, beta va VaRni oddiy misolda hisoblash, real inqirozlardan saboq chiqarish va riskni kamaytirish usulini tanlash. Guruh ishida aynan shu ko‘nikmalar tekshiriladi.”</w:t>
      </w:r>
    </w:p>
    <w:bookmarkEnd w:id="25"/>
    <w:bookmarkEnd w:id="26"/>
    <w:bookmarkStart w:id="31" w:name="slayd-uchun-fond-bozori-riski-nima"/>
    <w:p>
      <w:pPr>
        <w:pStyle w:val="Heading1"/>
      </w:pPr>
      <w:r>
        <w:t xml:space="preserve">3-slayd uchun: Fond bozori riski nima?</w:t>
      </w:r>
    </w:p>
    <w:p>
      <w:pPr>
        <w:pStyle w:val="FirstParagraph"/>
      </w:pPr>
      <w:r>
        <w:rPr>
          <w:bCs/>
          <w:b/>
        </w:rPr>
        <w:t xml:space="preserve">Slayd maqsadi:</w:t>
      </w:r>
      <w:r>
        <w:t xml:space="preserve"> </w:t>
      </w:r>
      <w:r>
        <w:t xml:space="preserve">risk tushunchasini oddiy misolda tushuntirish.</w:t>
      </w:r>
      <w:r>
        <w:t xml:space="preserve"> </w:t>
      </w:r>
      <w:r>
        <w:rPr>
          <w:bCs/>
          <w:b/>
        </w:rPr>
        <w:t xml:space="preserve">Vaqt:</w:t>
      </w:r>
      <w:r>
        <w:t xml:space="preserve"> </w:t>
      </w:r>
      <w:r>
        <w:t xml:space="preserve">3 daqiqa.</w:t>
      </w:r>
    </w:p>
    <w:bookmarkStart w:id="27" w:name="nutq-2"/>
    <w:p>
      <w:pPr>
        <w:pStyle w:val="Heading2"/>
      </w:pPr>
      <w:r>
        <w:t xml:space="preserve">Nutq</w:t>
      </w:r>
    </w:p>
    <w:p>
      <w:pPr>
        <w:pStyle w:val="FirstParagraph"/>
      </w:pPr>
      <w:r>
        <w:t xml:space="preserve">“</w:t>
      </w:r>
      <w:r>
        <w:t xml:space="preserve">Avval sizdan so‘rayman: risk nima? (Talabalar javobini tinglang.) Kundalik hayotda biz riskni “xavf</w:t>
      </w:r>
      <w:r>
        <w:t xml:space="preserve">”</w:t>
      </w:r>
      <w:r>
        <w:t xml:space="preserve">,</w:t>
      </w:r>
      <w:r>
        <w:t xml:space="preserve"> </w:t>
      </w:r>
      <w:r>
        <w:t xml:space="preserve">“</w:t>
      </w:r>
      <w:r>
        <w:t xml:space="preserve">zarar ko‘rish ehtimoli</w:t>
      </w:r>
      <w:r>
        <w:t xml:space="preserve">”</w:t>
      </w:r>
      <w:r>
        <w:t xml:space="preserve"> </w:t>
      </w:r>
      <w:r>
        <w:t xml:space="preserve">deb tushunamiz. Fond bozorida risk — bu aksiya narxining kutilmaganda o‘zgarishi va shu sababli investorning zarar ko‘rishi ehtimoli.</w:t>
      </w:r>
    </w:p>
    <w:p>
      <w:pPr>
        <w:pStyle w:val="BodyText"/>
      </w:pPr>
      <w:r>
        <w:t xml:space="preserve">Oddiy misol: investor 1 000 dona aksiyani 20 000 so‘mdan sotib oldi va 20 mln so‘m to‘ladi. Bir oydan keyin aksiya narxi 17 000 so‘mga tushdi. Endi uning aksiyalari 17 mln so‘m turadi. Zarar — 3 mln so‘m, ya’ni 15 foiz.</w:t>
      </w:r>
    </w:p>
    <w:p>
      <w:pPr>
        <w:pStyle w:val="BodyText"/>
      </w:pPr>
      <w:r>
        <w:t xml:space="preserve">E’tibor bering: aksiya sotib olgan investor daromad kutadi, lekin u kafolatlanmagan. Narx kutilgandan yuqori ham, past ham bo‘lishi mumkin. Moliyada risk deganda aynan natijaning kutilgandan farq qilish ehtimoli tushuniladi. Bundan tashqari, risk va noaniqlikni farqlash kerak: riskning ehtimolini baholash mumkin, noaniqlikni esa baholab bo‘lmaydi. Masalan, aksiya narxining kunlik tebranishi — risk, pandemiyaning qachon boshlanishi esa — noaniqlik.”</w:t>
      </w:r>
    </w:p>
    <w:bookmarkEnd w:id="27"/>
    <w:bookmarkStart w:id="28" w:name="misol-va-batafsil-yechim-1"/>
    <w:p>
      <w:pPr>
        <w:pStyle w:val="Heading2"/>
      </w:pPr>
      <w:r>
        <w:t xml:space="preserve">Misol va batafsil yechim</w:t>
      </w:r>
    </w:p>
    <w:p>
      <w:pPr>
        <w:pStyle w:val="FirstParagraph"/>
      </w:pPr>
      <w:r>
        <w:rPr>
          <w:bCs/>
          <w:b/>
        </w:rPr>
        <w:t xml:space="preserve">Shart:</w:t>
      </w:r>
      <w:r>
        <w:t xml:space="preserve"> </w:t>
      </w:r>
      <w:r>
        <w:t xml:space="preserve">1 000 dona aksiya 20 000 so‘mdan sotib olindi; bir oydan keyin narx 17 000 so‘m.</w:t>
      </w:r>
    </w:p>
    <w:p>
      <w:pPr>
        <w:numPr>
          <w:ilvl w:val="0"/>
          <w:numId w:val="1003"/>
        </w:numPr>
        <w:pStyle w:val="Compact"/>
      </w:pPr>
      <w:r>
        <w:t xml:space="preserve">Sotib olish qiymati: 1 000 × 20 000 =</w:t>
      </w:r>
      <w:r>
        <w:t xml:space="preserve"> </w:t>
      </w:r>
      <w:r>
        <w:rPr>
          <w:bCs/>
          <w:b/>
        </w:rPr>
        <w:t xml:space="preserve">20 000 000 so‘m</w:t>
      </w:r>
      <w:r>
        <w:t xml:space="preserve">.</w:t>
      </w:r>
    </w:p>
    <w:p>
      <w:pPr>
        <w:numPr>
          <w:ilvl w:val="0"/>
          <w:numId w:val="1003"/>
        </w:numPr>
        <w:pStyle w:val="Compact"/>
      </w:pPr>
      <w:r>
        <w:t xml:space="preserve">Bir oydan keyingi qiymat: 1 000 × 17 000 =</w:t>
      </w:r>
      <w:r>
        <w:t xml:space="preserve"> </w:t>
      </w:r>
      <w:r>
        <w:rPr>
          <w:bCs/>
          <w:b/>
        </w:rPr>
        <w:t xml:space="preserve">17 000 000 so‘m</w:t>
      </w:r>
      <w:r>
        <w:t xml:space="preserve">.</w:t>
      </w:r>
    </w:p>
    <w:p>
      <w:pPr>
        <w:numPr>
          <w:ilvl w:val="0"/>
          <w:numId w:val="1003"/>
        </w:numPr>
        <w:pStyle w:val="Compact"/>
      </w:pPr>
      <w:r>
        <w:t xml:space="preserve">Zarar so‘mda: 17 000 000 − 20 000 000 =</w:t>
      </w:r>
      <w:r>
        <w:t xml:space="preserve"> </w:t>
      </w:r>
      <w:r>
        <w:rPr>
          <w:bCs/>
          <w:b/>
        </w:rPr>
        <w:t xml:space="preserve">−3 000 000 so‘m</w:t>
      </w:r>
      <w:r>
        <w:t xml:space="preserve">.</w:t>
      </w:r>
    </w:p>
    <w:p>
      <w:pPr>
        <w:numPr>
          <w:ilvl w:val="0"/>
          <w:numId w:val="1003"/>
        </w:numPr>
        <w:pStyle w:val="Compact"/>
      </w:pPr>
      <w:r>
        <w:t xml:space="preserve">Zarar foizda: −3 000 000 / 20 000 000 = −0,15, ya’ni</w:t>
      </w:r>
      <w:r>
        <w:t xml:space="preserve"> </w:t>
      </w:r>
      <w:r>
        <w:rPr>
          <w:bCs/>
          <w:b/>
        </w:rPr>
        <w:t xml:space="preserve">−15%</w:t>
      </w:r>
      <w:r>
        <w:t xml:space="preserve">. Boshqacha usul: 17 000 / 20 000 − 1 = −15%.</w:t>
      </w:r>
    </w:p>
    <w:p>
      <w:pPr>
        <w:pStyle w:val="FirstParagraph"/>
      </w:pPr>
      <w:r>
        <w:rPr>
          <w:bCs/>
          <w:b/>
        </w:rPr>
        <w:t xml:space="preserve">Qo‘shimcha savol:</w:t>
      </w:r>
      <w:r>
        <w:t xml:space="preserve"> </w:t>
      </w:r>
      <w:r>
        <w:t xml:space="preserve">narx 23 000 so‘mga ko‘tarilsa-chi? Yechim: 1 000 × (23 000 − 20 000) = +3 mln so‘m (+15%). Bu riskning ikkinchi tomoni — narx kutilgandan yaxshi ham bo‘lishi mumkin.</w:t>
      </w:r>
    </w:p>
    <w:bookmarkEnd w:id="28"/>
    <w:bookmarkStart w:id="29" w:name="asos-1"/>
    <w:p>
      <w:pPr>
        <w:pStyle w:val="Heading2"/>
      </w:pPr>
      <w:r>
        <w:t xml:space="preserve">Asos</w:t>
      </w:r>
    </w:p>
    <w:p>
      <w:pPr>
        <w:numPr>
          <w:ilvl w:val="0"/>
          <w:numId w:val="1004"/>
        </w:numPr>
        <w:pStyle w:val="Compact"/>
      </w:pPr>
      <w:r>
        <w:t xml:space="preserve">Risk va noaniqlik farqi: F. Knight,</w:t>
      </w:r>
      <w:r>
        <w:t xml:space="preserve"> </w:t>
      </w:r>
      <w:r>
        <w:t xml:space="preserve">“</w:t>
      </w:r>
      <w:r>
        <w:t xml:space="preserve">Risk, Uncertainty and Profit</w:t>
      </w:r>
      <w:r>
        <w:t xml:space="preserve">”</w:t>
      </w:r>
      <w:r>
        <w:t xml:space="preserve"> </w:t>
      </w:r>
      <w:r>
        <w:t xml:space="preserve">(1921) — risk ehtimoli o‘lchanadigan noaniqlik, noaniqlik esa ehtimoli o‘lchanmaydigan holat sifatida ta’riflangan.</w:t>
      </w:r>
    </w:p>
    <w:p>
      <w:pPr>
        <w:numPr>
          <w:ilvl w:val="0"/>
          <w:numId w:val="1004"/>
        </w:numPr>
        <w:pStyle w:val="Compact"/>
      </w:pPr>
      <w:r>
        <w:t xml:space="preserve">Moliyada riskni natijaning kutilgan qiymatdan og‘ishi sifatida o‘lchash — H. Markowitz,</w:t>
      </w:r>
      <w:r>
        <w:t xml:space="preserve"> </w:t>
      </w:r>
      <w:r>
        <w:t xml:space="preserve">“</w:t>
      </w:r>
      <w:r>
        <w:t xml:space="preserve">Portfolio Selection</w:t>
      </w:r>
      <w:r>
        <w:t xml:space="preserve">”</w:t>
      </w:r>
      <w:r>
        <w:t xml:space="preserve">, The Journal of Finance, 1952.</w:t>
      </w:r>
    </w:p>
    <w:bookmarkEnd w:id="29"/>
    <w:bookmarkStart w:id="30" w:name="talabalarga-savollar"/>
    <w:p>
      <w:pPr>
        <w:pStyle w:val="Heading2"/>
      </w:pPr>
      <w:r>
        <w:t xml:space="preserve">Talabalarga savollar</w:t>
      </w:r>
    </w:p>
    <w:p>
      <w:pPr>
        <w:numPr>
          <w:ilvl w:val="0"/>
          <w:numId w:val="1005"/>
        </w:numPr>
        <w:pStyle w:val="Compact"/>
      </w:pPr>
      <w:r>
        <w:rPr>
          <w:iCs/>
          <w:i/>
        </w:rPr>
        <w:t xml:space="preserve">Bank depoziti va aksiya: qaysi birida risk ko‘proq va nima uchun?</w:t>
      </w:r>
      <w:r>
        <w:t xml:space="preserve"> </w:t>
      </w:r>
      <w:r>
        <w:t xml:space="preserve">— Aksiyada. Depozitda daromad (foiz) oldindan ma’lum va kafolatlangan, aksiyada esa narx har kuni o‘zgaradi.</w:t>
      </w:r>
    </w:p>
    <w:bookmarkEnd w:id="30"/>
    <w:bookmarkEnd w:id="31"/>
    <w:bookmarkStart w:id="36" w:name="slayd-uchun-tizimli-va-notizimli-risk"/>
    <w:p>
      <w:pPr>
        <w:pStyle w:val="Heading1"/>
      </w:pPr>
      <w:r>
        <w:t xml:space="preserve">4-slayd uchun: Tizimli va notizimli risk</w:t>
      </w:r>
    </w:p>
    <w:p>
      <w:pPr>
        <w:pStyle w:val="FirstParagraph"/>
      </w:pPr>
      <w:r>
        <w:rPr>
          <w:bCs/>
          <w:b/>
        </w:rPr>
        <w:t xml:space="preserve">Slayd maqsadi:</w:t>
      </w:r>
      <w:r>
        <w:t xml:space="preserve"> </w:t>
      </w:r>
      <w:r>
        <w:t xml:space="preserve">riskning ikki asosiy turini va har biridan himoyalanish usulini tushuntirish.</w:t>
      </w:r>
      <w:r>
        <w:t xml:space="preserve"> </w:t>
      </w:r>
      <w:r>
        <w:rPr>
          <w:bCs/>
          <w:b/>
        </w:rPr>
        <w:t xml:space="preserve">Vaqt:</w:t>
      </w:r>
      <w:r>
        <w:t xml:space="preserve"> </w:t>
      </w:r>
      <w:r>
        <w:t xml:space="preserve">3 daqiqa.</w:t>
      </w:r>
    </w:p>
    <w:bookmarkStart w:id="32" w:name="nutq-3"/>
    <w:p>
      <w:pPr>
        <w:pStyle w:val="Heading2"/>
      </w:pPr>
      <w:r>
        <w:t xml:space="preserve">Nutq</w:t>
      </w:r>
    </w:p>
    <w:p>
      <w:pPr>
        <w:pStyle w:val="FirstParagraph"/>
      </w:pPr>
      <w:r>
        <w:t xml:space="preserve">“Fond bozoridagi barcha risklarni ikki katta guruhga ajratish mumkin.</w:t>
      </w:r>
    </w:p>
    <w:p>
      <w:pPr>
        <w:pStyle w:val="BodyText"/>
      </w:pPr>
      <w:r>
        <w:t xml:space="preserve">Birinchisi — tizimli, ya’ni bozor riski. U butun bozorga, deyarli barcha kompaniyalarga birdaniga ta’sir qiladi. Uning manbalari: markaziy bank foiz stavkasini oshirishi, inflyatsiya, iqtisodiy inqiroz, pandemiya, siyosiy qarorlar. Masalan, 2020-yilda pandemiya boshlanganda deyarli barcha aksiyalar birga tushdi — yaxshi kompaniyalar ham, yomonlari ham.</w:t>
      </w:r>
    </w:p>
    <w:p>
      <w:pPr>
        <w:pStyle w:val="BodyText"/>
      </w:pPr>
      <w:r>
        <w:t xml:space="preserve">Ikkinchisi — notizimli, ya’ni spetsifik risk. U faqat bitta kompaniya yoki tarmoqqa tegishli: rahbariyatning xatosi, yomon moliyaviy natija, mahsulotga talabning tushishi.</w:t>
      </w:r>
    </w:p>
    <w:p>
      <w:pPr>
        <w:pStyle w:val="BodyText"/>
      </w:pPr>
      <w:r>
        <w:t xml:space="preserve">Bu farq nima uchun muhim? Chunki ulardan himoyalanish usullari turlicha. Notizimli riskni diversifikatsiya, ya’ni mablag‘ni ko‘plab turli kompaniyalarga taqsimlash orqali kamaytirish mumkin: bitta kompaniyaning muammosi butun portfelga katta ta’sir qilmaydi. Tizimli riskni esa diversifikatsiya yo‘qotmaydi — 20 xil aksiyangiz bo‘lsa ham, pandemiyada ularning barchasi tushadi. Undan himoyalanish uchun hejlash, ya’ni fyuchers va opsionlar bilan sug‘urtalash, yoki mablag‘ning bir qismini obligatsiya va depozit kabi boshqa aktivlarga o‘tkazish kerak.”</w:t>
      </w:r>
    </w:p>
    <w:bookmarkEnd w:id="32"/>
    <w:bookmarkStart w:id="33" w:name="misol-va-batafsil-yechim-2"/>
    <w:p>
      <w:pPr>
        <w:pStyle w:val="Heading2"/>
      </w:pPr>
      <w:r>
        <w:t xml:space="preserve">Misol va batafsil yechim</w:t>
      </w:r>
    </w:p>
    <w:p>
      <w:pPr>
        <w:pStyle w:val="FirstParagraph"/>
      </w:pPr>
      <w:r>
        <w:rPr>
          <w:bCs/>
          <w:b/>
        </w:rPr>
        <w:t xml:space="preserve">Shart:</w:t>
      </w:r>
      <w:r>
        <w:t xml:space="preserve"> </w:t>
      </w:r>
      <w:r>
        <w:t xml:space="preserve">aksiyaning yillik umumiy riski (volatilligi) 35%. Bozor bilan o‘rtacha korrelyatsiyasi 0,3 bo‘lgan shunday aksiyalardan teng ulushda portfel tuziladi. Aksiyalar soni ortgani sari portfel riski qanday o‘zgaradi?</w:t>
      </w:r>
    </w:p>
    <w:p>
      <w:pPr>
        <w:pStyle w:val="BodyText"/>
      </w:pPr>
      <w:r>
        <w:t xml:space="preserve">Hisob formulasi (teng ulushli portfel): σp² = σ²/N + (1 − 1/N) × ρ × σ². Natijalar:</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3960"/>
        <w:gridCol w:w="3960"/>
      </w:tblGrid>
      <w:tr>
        <w:trPr>
          <w:tblHeader w:val="true"/>
        </w:trPr>
        <w:tc>
          <w:tcPr>
            <w:shd w:val="clear" w:color="auto" w:fill="DDEBF7"/>
          </w:tcPr>
          <w:p>
            <w:pPr>
              <w:pStyle w:val="Compact"/>
              <w:spacing w:after="20" w:before="20" w:line="240" w:lineRule="auto"/>
              <w:jc w:val="center"/>
            </w:pPr>
            <w:r>
              <w:rPr>
                <w:b/>
                <w:sz w:val="21"/>
              </w:rPr>
              <w:t xml:space="preserve">Aksiyalar soni N</w:t>
            </w:r>
          </w:p>
        </w:tc>
        <w:tc>
          <w:tcPr>
            <w:shd w:val="clear" w:color="auto" w:fill="DDEBF7"/>
          </w:tcPr>
          <w:p>
            <w:pPr>
              <w:pStyle w:val="Compact"/>
              <w:spacing w:after="20" w:before="20" w:line="240" w:lineRule="auto"/>
              <w:jc w:val="center"/>
            </w:pPr>
            <w:r>
              <w:rPr>
                <w:b/>
                <w:sz w:val="21"/>
              </w:rPr>
              <w:t xml:space="preserve">Portfel riski σp</w:t>
            </w:r>
          </w:p>
        </w:tc>
      </w:tr>
      <w:tr>
        <w:tc>
          <w:tcPr/>
          <w:p>
            <w:pPr>
              <w:pStyle w:val="Compact"/>
              <w:spacing w:after="20" w:before="20" w:line="240" w:lineRule="auto"/>
              <w:jc w:val="center"/>
            </w:pPr>
            <w:r>
              <w:rPr>
                <w:sz w:val="21"/>
              </w:rPr>
              <w:t xml:space="preserve">1</w:t>
            </w:r>
          </w:p>
        </w:tc>
        <w:tc>
          <w:tcPr/>
          <w:p>
            <w:pPr>
              <w:pStyle w:val="Compact"/>
              <w:spacing w:after="20" w:before="20" w:line="240" w:lineRule="auto"/>
              <w:jc w:val="center"/>
            </w:pPr>
            <w:r>
              <w:rPr>
                <w:sz w:val="21"/>
              </w:rPr>
              <w:t xml:space="preserve">35,0%</w:t>
            </w:r>
          </w:p>
        </w:tc>
      </w:tr>
      <w:tr>
        <w:tc>
          <w:tcPr/>
          <w:p>
            <w:pPr>
              <w:pStyle w:val="Compact"/>
              <w:spacing w:after="20" w:before="20" w:line="240" w:lineRule="auto"/>
              <w:jc w:val="center"/>
            </w:pPr>
            <w:r>
              <w:rPr>
                <w:sz w:val="21"/>
              </w:rPr>
              <w:t xml:space="preserve">2</w:t>
            </w:r>
          </w:p>
        </w:tc>
        <w:tc>
          <w:tcPr/>
          <w:p>
            <w:pPr>
              <w:pStyle w:val="Compact"/>
              <w:spacing w:after="20" w:before="20" w:line="240" w:lineRule="auto"/>
              <w:jc w:val="center"/>
            </w:pPr>
            <w:r>
              <w:rPr>
                <w:sz w:val="21"/>
              </w:rPr>
              <w:t xml:space="preserve">28,2%</w:t>
            </w:r>
          </w:p>
        </w:tc>
      </w:tr>
      <w:tr>
        <w:tc>
          <w:tcPr/>
          <w:p>
            <w:pPr>
              <w:pStyle w:val="Compact"/>
              <w:spacing w:after="20" w:before="20" w:line="240" w:lineRule="auto"/>
              <w:jc w:val="center"/>
            </w:pPr>
            <w:r>
              <w:rPr>
                <w:sz w:val="21"/>
              </w:rPr>
              <w:t xml:space="preserve">5</w:t>
            </w:r>
          </w:p>
        </w:tc>
        <w:tc>
          <w:tcPr/>
          <w:p>
            <w:pPr>
              <w:pStyle w:val="Compact"/>
              <w:spacing w:after="20" w:before="20" w:line="240" w:lineRule="auto"/>
              <w:jc w:val="center"/>
            </w:pPr>
            <w:r>
              <w:rPr>
                <w:sz w:val="21"/>
              </w:rPr>
              <w:t xml:space="preserve">23,2%</w:t>
            </w:r>
          </w:p>
        </w:tc>
      </w:tr>
      <w:tr>
        <w:tc>
          <w:tcPr/>
          <w:p>
            <w:pPr>
              <w:pStyle w:val="Compact"/>
              <w:spacing w:after="20" w:before="20" w:line="240" w:lineRule="auto"/>
              <w:jc w:val="center"/>
            </w:pPr>
            <w:r>
              <w:rPr>
                <w:sz w:val="21"/>
              </w:rPr>
              <w:t xml:space="preserve">10</w:t>
            </w:r>
          </w:p>
        </w:tc>
        <w:tc>
          <w:tcPr/>
          <w:p>
            <w:pPr>
              <w:pStyle w:val="Compact"/>
              <w:spacing w:after="20" w:before="20" w:line="240" w:lineRule="auto"/>
              <w:jc w:val="center"/>
            </w:pPr>
            <w:r>
              <w:rPr>
                <w:sz w:val="21"/>
              </w:rPr>
              <w:t xml:space="preserve">21,3%</w:t>
            </w:r>
          </w:p>
        </w:tc>
      </w:tr>
      <w:tr>
        <w:tc>
          <w:tcPr/>
          <w:p>
            <w:pPr>
              <w:pStyle w:val="Compact"/>
              <w:spacing w:after="20" w:before="20" w:line="240" w:lineRule="auto"/>
              <w:jc w:val="center"/>
            </w:pPr>
            <w:r>
              <w:rPr>
                <w:sz w:val="21"/>
              </w:rPr>
              <w:t xml:space="preserve">20</w:t>
            </w:r>
          </w:p>
        </w:tc>
        <w:tc>
          <w:tcPr/>
          <w:p>
            <w:pPr>
              <w:pStyle w:val="Compact"/>
              <w:spacing w:after="20" w:before="20" w:line="240" w:lineRule="auto"/>
              <w:jc w:val="center"/>
            </w:pPr>
            <w:r>
              <w:rPr>
                <w:sz w:val="21"/>
              </w:rPr>
              <w:t xml:space="preserve">20,3%</w:t>
            </w:r>
          </w:p>
        </w:tc>
      </w:tr>
      <w:tr>
        <w:tc>
          <w:tcPr/>
          <w:p>
            <w:pPr>
              <w:pStyle w:val="Compact"/>
              <w:spacing w:after="20" w:before="20" w:line="240" w:lineRule="auto"/>
              <w:jc w:val="center"/>
            </w:pPr>
            <w:r>
              <w:rPr>
                <w:sz w:val="21"/>
              </w:rPr>
              <w:t xml:space="preserve">50</w:t>
            </w:r>
          </w:p>
        </w:tc>
        <w:tc>
          <w:tcPr/>
          <w:p>
            <w:pPr>
              <w:pStyle w:val="Compact"/>
              <w:spacing w:after="20" w:before="20" w:line="240" w:lineRule="auto"/>
              <w:jc w:val="center"/>
            </w:pPr>
            <w:r>
              <w:rPr>
                <w:sz w:val="21"/>
              </w:rPr>
              <w:t xml:space="preserve">19,6%</w:t>
            </w:r>
          </w:p>
        </w:tc>
      </w:tr>
      <w:tr>
        <w:tc>
          <w:tcPr/>
          <w:p>
            <w:pPr>
              <w:pStyle w:val="Compact"/>
              <w:spacing w:after="20" w:before="20" w:line="240" w:lineRule="auto"/>
              <w:jc w:val="center"/>
            </w:pPr>
            <w:r>
              <w:rPr>
                <w:sz w:val="21"/>
              </w:rPr>
              <w:t xml:space="preserve">cheksiz</w:t>
            </w:r>
          </w:p>
        </w:tc>
        <w:tc>
          <w:tcPr/>
          <w:p>
            <w:pPr>
              <w:pStyle w:val="Compact"/>
              <w:spacing w:after="20" w:before="20" w:line="240" w:lineRule="auto"/>
              <w:jc w:val="center"/>
            </w:pPr>
            <w:r>
              <w:rPr>
                <w:sz w:val="21"/>
              </w:rPr>
              <w:t xml:space="preserve">19,2%</w:t>
            </w:r>
          </w:p>
        </w:tc>
      </w:tr>
    </w:tbl>
    <w:p>
      <w:pPr>
        <w:pStyle w:val="BodyText"/>
      </w:pPr>
      <w:r>
        <w:rPr>
          <w:bCs/>
          <w:b/>
        </w:rPr>
        <w:t xml:space="preserve">Izoh:</w:t>
      </w:r>
      <w:r>
        <w:t xml:space="preserve"> </w:t>
      </w:r>
      <w:r>
        <w:t xml:space="preserve">aksiyalar sonini ko‘paytirish riskni 35% dan 19,2% gacha kamaytiradi — bu notizimli qismning yo‘qolishi. Ammo 19,2% dan pastga tushmaydi: bu tizimli risk (√0,3 × 35% = 19,2%), uni diversifikatsiya bilan yo‘qotib bo‘lmaydi.</w:t>
      </w:r>
    </w:p>
    <w:bookmarkEnd w:id="33"/>
    <w:bookmarkStart w:id="34" w:name="asos-2"/>
    <w:p>
      <w:pPr>
        <w:pStyle w:val="Heading2"/>
      </w:pPr>
      <w:r>
        <w:t xml:space="preserve">Asos</w:t>
      </w:r>
    </w:p>
    <w:p>
      <w:pPr>
        <w:numPr>
          <w:ilvl w:val="0"/>
          <w:numId w:val="1006"/>
        </w:numPr>
        <w:pStyle w:val="Compact"/>
      </w:pPr>
      <w:r>
        <w:t xml:space="preserve">Diversifikatsiya riskni kamaytirishi va kovariatsiya (tizimli qism) qolishi: H. Markowitz,</w:t>
      </w:r>
      <w:r>
        <w:t xml:space="preserve"> </w:t>
      </w:r>
      <w:r>
        <w:t xml:space="preserve">“</w:t>
      </w:r>
      <w:r>
        <w:t xml:space="preserve">Portfolio Selection</w:t>
      </w:r>
      <w:r>
        <w:t xml:space="preserve">”</w:t>
      </w:r>
      <w:r>
        <w:t xml:space="preserve">, The Journal of Finance, 1952.</w:t>
      </w:r>
    </w:p>
    <w:p>
      <w:pPr>
        <w:numPr>
          <w:ilvl w:val="0"/>
          <w:numId w:val="1006"/>
        </w:numPr>
        <w:pStyle w:val="Compact"/>
      </w:pPr>
      <w:r>
        <w:t xml:space="preserve">Aksiyalar soni ortishi bilan riskning tez kamayib, keyin sekinlashishi empirik tasdiqlangan: J. Evans, S. Archer,</w:t>
      </w:r>
      <w:r>
        <w:t xml:space="preserve"> </w:t>
      </w:r>
      <w:r>
        <w:t xml:space="preserve">“</w:t>
      </w:r>
      <w:r>
        <w:t xml:space="preserve">Diversification and the Reduction of Dispersion</w:t>
      </w:r>
      <w:r>
        <w:t xml:space="preserve">”</w:t>
      </w:r>
      <w:r>
        <w:t xml:space="preserve">, The Journal of Finance, 1968; M. Statman,</w:t>
      </w:r>
      <w:r>
        <w:t xml:space="preserve"> </w:t>
      </w:r>
      <w:r>
        <w:t xml:space="preserve">“</w:t>
      </w:r>
      <w:r>
        <w:t xml:space="preserve">How Many Stocks Make a Diversified Portfolio?</w:t>
      </w:r>
      <w:r>
        <w:t xml:space="preserve">”</w:t>
      </w:r>
      <w:r>
        <w:t xml:space="preserve">, Journal of Financial and Quantitative Analysis, 1987.</w:t>
      </w:r>
    </w:p>
    <w:p>
      <w:pPr>
        <w:numPr>
          <w:ilvl w:val="0"/>
          <w:numId w:val="1006"/>
        </w:numPr>
        <w:pStyle w:val="Compact"/>
      </w:pPr>
      <w:r>
        <w:t xml:space="preserve">Tizimli riskni beta orqali o‘lchash: W. Sharpe,</w:t>
      </w:r>
      <w:r>
        <w:t xml:space="preserve"> </w:t>
      </w:r>
      <w:r>
        <w:t xml:space="preserve">“</w:t>
      </w:r>
      <w:r>
        <w:t xml:space="preserve">Capital Asset Prices</w:t>
      </w:r>
      <w:r>
        <w:t xml:space="preserve">”</w:t>
      </w:r>
      <w:r>
        <w:t xml:space="preserve">, The Journal of Finance, 1964 (CAPM modeli).</w:t>
      </w:r>
    </w:p>
    <w:bookmarkEnd w:id="34"/>
    <w:bookmarkStart w:id="35" w:name="talabalarga-savollar-1"/>
    <w:p>
      <w:pPr>
        <w:pStyle w:val="Heading2"/>
      </w:pPr>
      <w:r>
        <w:t xml:space="preserve">Talabalarga savollar</w:t>
      </w:r>
    </w:p>
    <w:p>
      <w:pPr>
        <w:numPr>
          <w:ilvl w:val="0"/>
          <w:numId w:val="1007"/>
        </w:numPr>
        <w:pStyle w:val="Compact"/>
      </w:pPr>
      <w:r>
        <w:rPr>
          <w:iCs/>
          <w:i/>
        </w:rPr>
        <w:t xml:space="preserve">Agar sizda 20 xil kompaniya aksiyasi bo‘lsa, pandemiyadan himoyalanasizmi?</w:t>
      </w:r>
      <w:r>
        <w:t xml:space="preserve"> </w:t>
      </w:r>
      <w:r>
        <w:t xml:space="preserve">— Yo‘q, chunki pandemiya tizimli risk: u barcha kompaniyalarga birdaniga ta’sir qiladi.</w:t>
      </w:r>
    </w:p>
    <w:bookmarkEnd w:id="35"/>
    <w:bookmarkEnd w:id="36"/>
    <w:bookmarkStart w:id="40" w:name="slayd-uchun-oltita-asosiy-risk"/>
    <w:p>
      <w:pPr>
        <w:pStyle w:val="Heading1"/>
      </w:pPr>
      <w:r>
        <w:t xml:space="preserve">5-slayd uchun: Oltita asosiy risk</w:t>
      </w:r>
    </w:p>
    <w:p>
      <w:pPr>
        <w:pStyle w:val="FirstParagraph"/>
      </w:pPr>
      <w:r>
        <w:rPr>
          <w:bCs/>
          <w:b/>
        </w:rPr>
        <w:t xml:space="preserve">Slayd maqsadi:</w:t>
      </w:r>
      <w:r>
        <w:t xml:space="preserve"> </w:t>
      </w:r>
      <w:r>
        <w:t xml:space="preserve">fond bozoriga xos risklarni misollar bilan tanishtirish.</w:t>
      </w:r>
      <w:r>
        <w:t xml:space="preserve"> </w:t>
      </w:r>
      <w:r>
        <w:rPr>
          <w:bCs/>
          <w:b/>
        </w:rPr>
        <w:t xml:space="preserve">Vaqt:</w:t>
      </w:r>
      <w:r>
        <w:t xml:space="preserve"> </w:t>
      </w:r>
      <w:r>
        <w:t xml:space="preserve">3 daqiqa.</w:t>
      </w:r>
    </w:p>
    <w:bookmarkStart w:id="37" w:name="nutq-4"/>
    <w:p>
      <w:pPr>
        <w:pStyle w:val="Heading2"/>
      </w:pPr>
      <w:r>
        <w:t xml:space="preserve">Nutq</w:t>
      </w:r>
    </w:p>
    <w:p>
      <w:pPr>
        <w:pStyle w:val="FirstParagraph"/>
      </w:pPr>
      <w:r>
        <w:t xml:space="preserve">“Endi investor amalda duch keladigan oltita riskni ko‘raylik.</w:t>
      </w:r>
    </w:p>
    <w:p>
      <w:pPr>
        <w:pStyle w:val="BodyText"/>
      </w:pPr>
      <w:r>
        <w:t xml:space="preserve">Birinchisi — narx riski: aksiya narxining tushishi. Bu eng asosiy va eng ko‘p uchraydigan risk.</w:t>
      </w:r>
    </w:p>
    <w:p>
      <w:pPr>
        <w:pStyle w:val="BodyText"/>
      </w:pPr>
      <w:r>
        <w:t xml:space="preserve">Ikkinchisi — likvidlik riski: aksiyani kerakli paytda adolatli narxda sotib bo‘lmaslik. Savdo kam bo‘lgan bozorda sotmoqchi bo‘lsangiz, xaridor topilmasligi yoki narxni ancha tushirishga to‘g‘ri kelishi mumkin.</w:t>
      </w:r>
    </w:p>
    <w:p>
      <w:pPr>
        <w:pStyle w:val="BodyText"/>
      </w:pPr>
      <w:r>
        <w:t xml:space="preserve">Uchinchisi — konsentratsiya riski: barcha pulni bir-ikkita aksiyaga qo‘yish. O‘sha kompaniyada muammo bo‘lsa, butun kapital xavf ostida qoladi.</w:t>
      </w:r>
    </w:p>
    <w:p>
      <w:pPr>
        <w:pStyle w:val="BodyText"/>
      </w:pPr>
      <w:r>
        <w:t xml:space="preserve">To‘rtinchisi — leveraj, ya’ni qarz riski. Qarz pul bilan savdo qilinganda kichik pasayish ham katta zararga aylanadi. Buni 22-slaydda hisoblab ko‘ramiz.</w:t>
      </w:r>
    </w:p>
    <w:p>
      <w:pPr>
        <w:pStyle w:val="BodyText"/>
      </w:pPr>
      <w:r>
        <w:t xml:space="preserve">Beshinchisi — operatsion risk: savdo tizimining nosozligi, xato buyurtma, kiberhujum. Masalan, 2012-yil 1-avgustda AQShning Knight Capital kompaniyasi dasturiy xato tufayli 45 daqiqa ichida 440 mln dollar yo‘qotdi.</w:t>
      </w:r>
    </w:p>
    <w:p>
      <w:pPr>
        <w:pStyle w:val="BodyText"/>
      </w:pPr>
      <w:r>
        <w:t xml:space="preserve">Oltinchisi — axborot riski: kompaniya o‘zi haqida to‘liq ma’lumot bermasa yoki kimdir yopiq axborot bilan savdo qilsa, oddiy investor riskni to‘g‘ri baholay olmaydi.</w:t>
      </w:r>
    </w:p>
    <w:p>
      <w:pPr>
        <w:pStyle w:val="BodyText"/>
      </w:pPr>
      <w:r>
        <w:t xml:space="preserve">Keyingi keyslarda bu risklarning har birini real hayotda uchratamiz.”</w:t>
      </w:r>
    </w:p>
    <w:bookmarkEnd w:id="37"/>
    <w:bookmarkStart w:id="38" w:name="asos-3"/>
    <w:p>
      <w:pPr>
        <w:pStyle w:val="Heading2"/>
      </w:pPr>
      <w:r>
        <w:t xml:space="preserve">Asos</w:t>
      </w:r>
    </w:p>
    <w:p>
      <w:pPr>
        <w:numPr>
          <w:ilvl w:val="0"/>
          <w:numId w:val="1008"/>
        </w:numPr>
        <w:pStyle w:val="Compact"/>
      </w:pPr>
      <w:r>
        <w:t xml:space="preserve">Knight Capital hodisasi: AQSh Qimmatli qog‘ozlar va birjalar komissiyasi (SEC) qarori, 2013-yil 16-oktabr — kompaniya taxminan 45 daqiqada 460 mln dollardan ortiq zarar ko‘rgan (turli manbalarda 440–460 mln dollar).</w:t>
      </w:r>
    </w:p>
    <w:p>
      <w:pPr>
        <w:numPr>
          <w:ilvl w:val="0"/>
          <w:numId w:val="1008"/>
        </w:numPr>
        <w:pStyle w:val="Compact"/>
      </w:pPr>
      <w:r>
        <w:t xml:space="preserve">2010-yil 6-maydagi</w:t>
      </w:r>
      <w:r>
        <w:t xml:space="preserve"> </w:t>
      </w:r>
      <w:r>
        <w:t xml:space="preserve">“</w:t>
      </w:r>
      <w:r>
        <w:t xml:space="preserve">Flash Crash</w:t>
      </w:r>
      <w:r>
        <w:t xml:space="preserve">”</w:t>
      </w:r>
      <w:r>
        <w:t xml:space="preserve"> </w:t>
      </w:r>
      <w:r>
        <w:t xml:space="preserve">(operatsion va likvidlik riski): SEC va CFTC qo‘shma hisoboti, 2010-yil 30-sentabr — AQSh indekslari bir necha daqiqada taxminan 9% ga tushib, tez orada tiklangan.</w:t>
      </w:r>
    </w:p>
    <w:p>
      <w:pPr>
        <w:numPr>
          <w:ilvl w:val="0"/>
          <w:numId w:val="1008"/>
        </w:numPr>
        <w:pStyle w:val="Compact"/>
      </w:pPr>
      <w:r>
        <w:t xml:space="preserve">Leveraj va konsentratsiya — Archegos keysi (16-slayd), likvidlik — O‘zbekiston bozori (18–19-slaydlar).</w:t>
      </w:r>
    </w:p>
    <w:bookmarkEnd w:id="38"/>
    <w:bookmarkStart w:id="39" w:name="talabalarga-savollar-2"/>
    <w:p>
      <w:pPr>
        <w:pStyle w:val="Heading2"/>
      </w:pPr>
      <w:r>
        <w:t xml:space="preserve">Talabalarga savollar</w:t>
      </w:r>
    </w:p>
    <w:p>
      <w:pPr>
        <w:numPr>
          <w:ilvl w:val="0"/>
          <w:numId w:val="1009"/>
        </w:numPr>
        <w:pStyle w:val="Compact"/>
      </w:pPr>
      <w:r>
        <w:rPr>
          <w:iCs/>
          <w:i/>
        </w:rPr>
        <w:t xml:space="preserve">Qaysi risk O‘zbekiston fond bozori uchun eng dolzarb?</w:t>
      </w:r>
      <w:r>
        <w:t xml:space="preserve"> </w:t>
      </w:r>
      <w:r>
        <w:t xml:space="preserve">— Likvidlik riski (18-slaydda ma’lumotlar bilan ko‘ramiz), shuningdek axborot riski.</w:t>
      </w:r>
    </w:p>
    <w:bookmarkEnd w:id="39"/>
    <w:bookmarkEnd w:id="40"/>
    <w:bookmarkStart w:id="44" w:name="slayd-uchun-tortta-oddiy-korsatkich"/>
    <w:p>
      <w:pPr>
        <w:pStyle w:val="Heading1"/>
      </w:pPr>
      <w:r>
        <w:t xml:space="preserve">6-slayd uchun: To‘rtta oddiy ko‘rsatkich</w:t>
      </w:r>
    </w:p>
    <w:p>
      <w:pPr>
        <w:pStyle w:val="FirstParagraph"/>
      </w:pPr>
      <w:r>
        <w:rPr>
          <w:bCs/>
          <w:b/>
        </w:rPr>
        <w:t xml:space="preserve">Slayd maqsadi:</w:t>
      </w:r>
      <w:r>
        <w:t xml:space="preserve"> </w:t>
      </w:r>
      <w:r>
        <w:t xml:space="preserve">riskni o‘lchashning asosiy ko‘rsatkichlarini oddiy tilda tushuntirish.</w:t>
      </w:r>
      <w:r>
        <w:t xml:space="preserve"> </w:t>
      </w:r>
      <w:r>
        <w:rPr>
          <w:bCs/>
          <w:b/>
        </w:rPr>
        <w:t xml:space="preserve">Vaqt:</w:t>
      </w:r>
      <w:r>
        <w:t xml:space="preserve"> </w:t>
      </w:r>
      <w:r>
        <w:t xml:space="preserve">3 daqiqa.</w:t>
      </w:r>
    </w:p>
    <w:bookmarkStart w:id="41" w:name="nutq-5"/>
    <w:p>
      <w:pPr>
        <w:pStyle w:val="Heading2"/>
      </w:pPr>
      <w:r>
        <w:t xml:space="preserve">Nutq</w:t>
      </w:r>
    </w:p>
    <w:p>
      <w:pPr>
        <w:pStyle w:val="FirstParagraph"/>
      </w:pPr>
      <w:r>
        <w:t xml:space="preserve">“Riskni boshqarish uchun avval uni o‘lchash kerak. Biz to‘rtta oddiy ko‘rsatkich bilan tanishamiz.</w:t>
      </w:r>
    </w:p>
    <w:p>
      <w:pPr>
        <w:pStyle w:val="BodyText"/>
      </w:pPr>
      <w:r>
        <w:t xml:space="preserve">Birinchisi — volatillik, grekcha</w:t>
      </w:r>
      <w:r>
        <w:t xml:space="preserve"> </w:t>
      </w:r>
      <w:r>
        <w:t xml:space="preserve">“</w:t>
      </w:r>
      <w:r>
        <w:t xml:space="preserve">sigma</w:t>
      </w:r>
      <w:r>
        <w:t xml:space="preserve">”</w:t>
      </w:r>
      <w:r>
        <w:t xml:space="preserve"> </w:t>
      </w:r>
      <w:r>
        <w:t xml:space="preserve">harfi bilan belgilanadi. U narx qanchalik kuchli tebranishini ko‘rsatadi va daromadlilikning standart og‘ishi sifatida hisoblanadi. Yillik volatillik 15% bo‘lsa — bu o‘rtacha, 35% dan yuqori bo‘lsa — juda tebranuvchan aksiya.</w:t>
      </w:r>
    </w:p>
    <w:p>
      <w:pPr>
        <w:pStyle w:val="BodyText"/>
      </w:pPr>
      <w:r>
        <w:t xml:space="preserve">Ikkinchisi — beta. U bozor 1% o‘zgarganda aksiya o‘rtacha necha foiz o‘zgarishini ko‘rsatadi. Beta 1 dan katta bo‘lsa, aksiya bozordan kuchliroq tebranadi, 1 dan kichik bo‘lsa — kuchsizroq. Beta tizimli riskning o‘lchovi.</w:t>
      </w:r>
    </w:p>
    <w:p>
      <w:pPr>
        <w:pStyle w:val="BodyText"/>
      </w:pPr>
      <w:r>
        <w:t xml:space="preserve">Uchinchisi — maksimal pasayish: narxning eng yuqori nuqtasidan keyingi eng past nuqtasigacha bo‘lgan yo‘qotish. Investor amalda his qiladigan eng katta</w:t>
      </w:r>
      <w:r>
        <w:t xml:space="preserve"> </w:t>
      </w:r>
      <w:r>
        <w:t xml:space="preserve">“</w:t>
      </w:r>
      <w:r>
        <w:t xml:space="preserve">og‘riq</w:t>
      </w:r>
      <w:r>
        <w:t xml:space="preserve">”</w:t>
      </w:r>
      <w:r>
        <w:t xml:space="preserve"> </w:t>
      </w:r>
      <w:r>
        <w:t xml:space="preserve">aynan shu.</w:t>
      </w:r>
    </w:p>
    <w:p>
      <w:pPr>
        <w:pStyle w:val="BodyText"/>
      </w:pPr>
      <w:r>
        <w:t xml:space="preserve">To‘rtinchisi — VaR, ya’ni</w:t>
      </w:r>
      <w:r>
        <w:t xml:space="preserve"> </w:t>
      </w:r>
      <w:r>
        <w:t xml:space="preserve">“</w:t>
      </w:r>
      <w:r>
        <w:t xml:space="preserve">riskdagi qiymat</w:t>
      </w:r>
      <w:r>
        <w:t xml:space="preserve">”</w:t>
      </w:r>
      <w:r>
        <w:t xml:space="preserve">. U odatiy kunda ma’lum ehtimol bilan, masalan 95% ehtimol bilan, oshib ketmaydigan zararni ko‘rsatadi. Banklar va investitsiya fondlari uchun bu asosiy risk ko‘rsatkichi.”</w:t>
      </w:r>
    </w:p>
    <w:bookmarkEnd w:id="41"/>
    <w:bookmarkStart w:id="42" w:name="asos-4"/>
    <w:p>
      <w:pPr>
        <w:pStyle w:val="Heading2"/>
      </w:pPr>
      <w:r>
        <w:t xml:space="preserve">Asos</w:t>
      </w:r>
    </w:p>
    <w:p>
      <w:pPr>
        <w:numPr>
          <w:ilvl w:val="0"/>
          <w:numId w:val="1010"/>
        </w:numPr>
        <w:pStyle w:val="Compact"/>
      </w:pPr>
      <w:r>
        <w:t xml:space="preserve">Volatillik riskning o‘lchovi sifatida: H. Markowitz (1952).</w:t>
      </w:r>
    </w:p>
    <w:p>
      <w:pPr>
        <w:numPr>
          <w:ilvl w:val="0"/>
          <w:numId w:val="1010"/>
        </w:numPr>
        <w:pStyle w:val="Compact"/>
      </w:pPr>
      <w:r>
        <w:t xml:space="preserve">Beta: W. Sharpe (1964), CAPM modeli; beta = aksiya va bozor daromadliliklari kovariatsiyasi / bozor dispersiyasi.</w:t>
      </w:r>
    </w:p>
    <w:p>
      <w:pPr>
        <w:numPr>
          <w:ilvl w:val="0"/>
          <w:numId w:val="1010"/>
        </w:numPr>
        <w:pStyle w:val="Compact"/>
      </w:pPr>
      <w:r>
        <w:t xml:space="preserve">VaR: J.P. Morgan RiskMetrics texnik hujjati (1994, 1996); Bazel qo‘mitasi 1996-yilda banklarning bozor riski uchun kapitalini VaR modeli asosida hisoblashga ruxsat bergan (Amendment to the Capital Accord to Incorporate Market Risks, 1996).</w:t>
      </w:r>
    </w:p>
    <w:bookmarkEnd w:id="42"/>
    <w:bookmarkStart w:id="43" w:name="talabalarga-savollar-3"/>
    <w:p>
      <w:pPr>
        <w:pStyle w:val="Heading2"/>
      </w:pPr>
      <w:r>
        <w:t xml:space="preserve">Talabalarga savollar</w:t>
      </w:r>
    </w:p>
    <w:p>
      <w:pPr>
        <w:numPr>
          <w:ilvl w:val="0"/>
          <w:numId w:val="1011"/>
        </w:numPr>
        <w:pStyle w:val="Compact"/>
      </w:pPr>
      <w:r>
        <w:rPr>
          <w:iCs/>
          <w:i/>
        </w:rPr>
        <w:t xml:space="preserve">Beta 0 ga teng aktivga misol keltiring.</w:t>
      </w:r>
      <w:r>
        <w:t xml:space="preserve"> </w:t>
      </w:r>
      <w:r>
        <w:t xml:space="preserve">— Bank depoziti yoki qisqa muddatli davlat obligatsiyasi: ularning daromadi fond bozoriga bog‘liq emas.</w:t>
      </w:r>
    </w:p>
    <w:bookmarkEnd w:id="43"/>
    <w:bookmarkEnd w:id="44"/>
    <w:bookmarkStart w:id="48" w:name="Xe64f5191f77c423d83c40338e7faa5f874ed985"/>
    <w:p>
      <w:pPr>
        <w:pStyle w:val="Heading1"/>
      </w:pPr>
      <w:r>
        <w:t xml:space="preserve">7-slayd uchun: Amaliy misol 1 — Qaysi aksiya xavfliroq?</w:t>
      </w:r>
    </w:p>
    <w:p>
      <w:pPr>
        <w:pStyle w:val="FirstParagraph"/>
      </w:pPr>
      <w:r>
        <w:rPr>
          <w:bCs/>
          <w:b/>
        </w:rPr>
        <w:t xml:space="preserve">Slayd maqsadi:</w:t>
      </w:r>
      <w:r>
        <w:t xml:space="preserve"> </w:t>
      </w:r>
      <w:r>
        <w:t xml:space="preserve">volatillik va betani oddiy misolda hisoblash.</w:t>
      </w:r>
      <w:r>
        <w:t xml:space="preserve"> </w:t>
      </w:r>
      <w:r>
        <w:rPr>
          <w:bCs/>
          <w:b/>
        </w:rPr>
        <w:t xml:space="preserve">Vaqt:</w:t>
      </w:r>
      <w:r>
        <w:t xml:space="preserve"> </w:t>
      </w:r>
      <w:r>
        <w:t xml:space="preserve">5 daqiqa.</w:t>
      </w:r>
    </w:p>
    <w:bookmarkStart w:id="45" w:name="nutq-6"/>
    <w:p>
      <w:pPr>
        <w:pStyle w:val="Heading2"/>
      </w:pPr>
      <w:r>
        <w:t xml:space="preserve">Nutq</w:t>
      </w:r>
    </w:p>
    <w:p>
      <w:pPr>
        <w:pStyle w:val="FirstParagraph"/>
      </w:pPr>
      <w:r>
        <w:t xml:space="preserve">“Ikki aksiya bor: A va B. Ikkalasi ham 100 so‘mdan boshlandi va 5 kundan keyin deyarli bir xil darajada — 101 va 98 so‘mda tugadi. Qaysi biri xavfliroq? (Talabalar javobini tinglang.)</w:t>
      </w:r>
    </w:p>
    <w:p>
      <w:pPr>
        <w:pStyle w:val="BodyText"/>
      </w:pPr>
      <w:r>
        <w:t xml:space="preserve">Faqat boshlang‘ich va oxirgi narxga qarasak, farq yo‘qdek. Lekin oraliqda A kuniga 2–4 foiz o‘zgargan, B esa 8–16 foiz. Agar investor 3-kuni pulga muhtoj bo‘lib qolsa, B aksiyasini 95 so‘mdan sotishga majbur bo‘ladi. Demak, B xavfliroq. Buni raqam bilan, ya’ni volatillik orqali isbotlaymiz.</w:t>
      </w:r>
    </w:p>
    <w:p>
      <w:pPr>
        <w:pStyle w:val="BodyText"/>
      </w:pPr>
      <w:r>
        <w:t xml:space="preserve">Ikkinchi qism — beta. Portfelimiz 500 mln so‘m, betasi 1,4. Bozor 10% tushdi. Portfel o‘rtacha 1,4 × 10 = 14% tushadi, ya’ni 70 mln so‘m yo‘qotamiz. Agar beta 0,7 bo‘lganida, zarar ikki barobar kam — 35 mln so‘m bo‘lardi. Lekin unutmang: bozor 10% o‘sganda beta 1,4 bo‘lgan portfel 14% o‘sadi. Yuqori beta — yuqori risk va yuqori kutilayotgan daromad.”</w:t>
      </w:r>
    </w:p>
    <w:bookmarkEnd w:id="45"/>
    <w:bookmarkStart w:id="46" w:name="misol-va-batafsil-yechim-3"/>
    <w:p>
      <w:pPr>
        <w:pStyle w:val="Heading2"/>
      </w:pPr>
      <w:r>
        <w:t xml:space="preserve">Misol va batafsil yechim</w:t>
      </w:r>
    </w:p>
    <w:p>
      <w:pPr>
        <w:pStyle w:val="FirstParagraph"/>
      </w:pPr>
      <w:r>
        <w:rPr>
          <w:bCs/>
          <w:b/>
        </w:rPr>
        <w:t xml:space="preserve">1-qism. Volatillik.</w:t>
      </w:r>
      <w:r>
        <w:t xml:space="preserve"> </w:t>
      </w:r>
      <w:r>
        <w:t xml:space="preserve">Narxlar: A — 100; 102; 99; 103; 101. B — 100; 108; 95; 110; 98.</w:t>
      </w:r>
    </w:p>
    <w:p>
      <w:pPr>
        <w:pStyle w:val="BodyText"/>
      </w:pPr>
      <w:r>
        <w:t xml:space="preserve">1-qadam. Kunlik daromadlilik: R = (bugungi narx − kechagi narx) / kechagi narx.</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2640"/>
        <w:gridCol w:w="2640"/>
        <w:gridCol w:w="2640"/>
      </w:tblGrid>
      <w:tr>
        <w:trPr>
          <w:tblHeader w:val="true"/>
        </w:trPr>
        <w:tc>
          <w:tcPr>
            <w:shd w:val="clear" w:color="auto" w:fill="DDEBF7"/>
          </w:tcPr>
          <w:p>
            <w:pPr>
              <w:pStyle w:val="Compact"/>
              <w:spacing w:after="20" w:before="20" w:line="240" w:lineRule="auto"/>
              <w:jc w:val="center"/>
            </w:pPr>
            <w:r>
              <w:rPr>
                <w:b/>
                <w:sz w:val="21"/>
              </w:rPr>
              <w:t xml:space="preserve">Kun</w:t>
            </w:r>
          </w:p>
        </w:tc>
        <w:tc>
          <w:tcPr>
            <w:shd w:val="clear" w:color="auto" w:fill="DDEBF7"/>
          </w:tcPr>
          <w:p>
            <w:pPr>
              <w:pStyle w:val="Compact"/>
              <w:spacing w:after="20" w:before="20" w:line="240" w:lineRule="auto"/>
              <w:jc w:val="right"/>
            </w:pPr>
            <w:r>
              <w:rPr>
                <w:b/>
                <w:sz w:val="21"/>
              </w:rPr>
              <w:t xml:space="preserve">A daromadlilik</w:t>
            </w:r>
          </w:p>
        </w:tc>
        <w:tc>
          <w:tcPr>
            <w:shd w:val="clear" w:color="auto" w:fill="DDEBF7"/>
          </w:tcPr>
          <w:p>
            <w:pPr>
              <w:pStyle w:val="Compact"/>
              <w:spacing w:after="20" w:before="20" w:line="240" w:lineRule="auto"/>
              <w:jc w:val="right"/>
            </w:pPr>
            <w:r>
              <w:rPr>
                <w:b/>
                <w:sz w:val="21"/>
              </w:rPr>
              <w:t xml:space="preserve">B daromadlilik</w:t>
            </w:r>
          </w:p>
        </w:tc>
      </w:tr>
      <w:tr>
        <w:tc>
          <w:tcPr/>
          <w:p>
            <w:pPr>
              <w:pStyle w:val="Compact"/>
              <w:spacing w:after="20" w:before="20" w:line="240" w:lineRule="auto"/>
              <w:jc w:val="center"/>
            </w:pPr>
            <w:r>
              <w:rPr>
                <w:sz w:val="21"/>
              </w:rPr>
              <w:t xml:space="preserve">2</w:t>
            </w:r>
          </w:p>
        </w:tc>
        <w:tc>
          <w:tcPr/>
          <w:p>
            <w:pPr>
              <w:pStyle w:val="Compact"/>
              <w:spacing w:after="20" w:before="20" w:line="240" w:lineRule="auto"/>
              <w:jc w:val="right"/>
            </w:pPr>
            <w:r>
              <w:rPr>
                <w:sz w:val="21"/>
              </w:rPr>
              <w:t xml:space="preserve">(102 − 100)/100 = +2,00%</w:t>
            </w:r>
          </w:p>
        </w:tc>
        <w:tc>
          <w:tcPr/>
          <w:p>
            <w:pPr>
              <w:pStyle w:val="Compact"/>
              <w:spacing w:after="20" w:before="20" w:line="240" w:lineRule="auto"/>
              <w:jc w:val="right"/>
            </w:pPr>
            <w:r>
              <w:rPr>
                <w:sz w:val="21"/>
              </w:rPr>
              <w:t xml:space="preserve">(108 − 100)/100 = +8,00%</w:t>
            </w:r>
          </w:p>
        </w:tc>
      </w:tr>
      <w:tr>
        <w:tc>
          <w:tcPr/>
          <w:p>
            <w:pPr>
              <w:pStyle w:val="Compact"/>
              <w:spacing w:after="20" w:before="20" w:line="240" w:lineRule="auto"/>
              <w:jc w:val="center"/>
            </w:pPr>
            <w:r>
              <w:rPr>
                <w:sz w:val="21"/>
              </w:rPr>
              <w:t xml:space="preserve">3</w:t>
            </w:r>
          </w:p>
        </w:tc>
        <w:tc>
          <w:tcPr/>
          <w:p>
            <w:pPr>
              <w:pStyle w:val="Compact"/>
              <w:spacing w:after="20" w:before="20" w:line="240" w:lineRule="auto"/>
              <w:jc w:val="right"/>
            </w:pPr>
            <w:r>
              <w:rPr>
                <w:sz w:val="21"/>
              </w:rPr>
              <w:t xml:space="preserve">(99 − 102)/102 = −2,94%</w:t>
            </w:r>
          </w:p>
        </w:tc>
        <w:tc>
          <w:tcPr/>
          <w:p>
            <w:pPr>
              <w:pStyle w:val="Compact"/>
              <w:spacing w:after="20" w:before="20" w:line="240" w:lineRule="auto"/>
              <w:jc w:val="right"/>
            </w:pPr>
            <w:r>
              <w:rPr>
                <w:sz w:val="21"/>
              </w:rPr>
              <w:t xml:space="preserve">(95 − 108)/108 = −12,04%</w:t>
            </w:r>
          </w:p>
        </w:tc>
      </w:tr>
      <w:tr>
        <w:tc>
          <w:tcPr/>
          <w:p>
            <w:pPr>
              <w:pStyle w:val="Compact"/>
              <w:spacing w:after="20" w:before="20" w:line="240" w:lineRule="auto"/>
              <w:jc w:val="center"/>
            </w:pPr>
            <w:r>
              <w:rPr>
                <w:sz w:val="21"/>
              </w:rPr>
              <w:t xml:space="preserve">4</w:t>
            </w:r>
          </w:p>
        </w:tc>
        <w:tc>
          <w:tcPr/>
          <w:p>
            <w:pPr>
              <w:pStyle w:val="Compact"/>
              <w:spacing w:after="20" w:before="20" w:line="240" w:lineRule="auto"/>
              <w:jc w:val="right"/>
            </w:pPr>
            <w:r>
              <w:rPr>
                <w:sz w:val="21"/>
              </w:rPr>
              <w:t xml:space="preserve">(103 − 99)/99 = +4,04%</w:t>
            </w:r>
          </w:p>
        </w:tc>
        <w:tc>
          <w:tcPr/>
          <w:p>
            <w:pPr>
              <w:pStyle w:val="Compact"/>
              <w:spacing w:after="20" w:before="20" w:line="240" w:lineRule="auto"/>
              <w:jc w:val="right"/>
            </w:pPr>
            <w:r>
              <w:rPr>
                <w:sz w:val="21"/>
              </w:rPr>
              <w:t xml:space="preserve">(110 − 95)/95 = +15,79%</w:t>
            </w:r>
          </w:p>
        </w:tc>
      </w:tr>
      <w:tr>
        <w:tc>
          <w:tcPr/>
          <w:p>
            <w:pPr>
              <w:pStyle w:val="Compact"/>
              <w:spacing w:after="20" w:before="20" w:line="240" w:lineRule="auto"/>
              <w:jc w:val="center"/>
            </w:pPr>
            <w:r>
              <w:rPr>
                <w:sz w:val="21"/>
              </w:rPr>
              <w:t xml:space="preserve">5</w:t>
            </w:r>
          </w:p>
        </w:tc>
        <w:tc>
          <w:tcPr/>
          <w:p>
            <w:pPr>
              <w:pStyle w:val="Compact"/>
              <w:spacing w:after="20" w:before="20" w:line="240" w:lineRule="auto"/>
              <w:jc w:val="right"/>
            </w:pPr>
            <w:r>
              <w:rPr>
                <w:sz w:val="21"/>
              </w:rPr>
              <w:t xml:space="preserve">(101 − 103)/103 = −1,94%</w:t>
            </w:r>
          </w:p>
        </w:tc>
        <w:tc>
          <w:tcPr/>
          <w:p>
            <w:pPr>
              <w:pStyle w:val="Compact"/>
              <w:spacing w:after="20" w:before="20" w:line="240" w:lineRule="auto"/>
              <w:jc w:val="right"/>
            </w:pPr>
            <w:r>
              <w:rPr>
                <w:sz w:val="21"/>
              </w:rPr>
              <w:t xml:space="preserve">(98 − 110)/110 = −10,91%</w:t>
            </w:r>
          </w:p>
        </w:tc>
      </w:tr>
    </w:tbl>
    <w:p>
      <w:pPr>
        <w:pStyle w:val="BodyText"/>
      </w:pPr>
      <w:r>
        <w:t xml:space="preserve">2-qadam. O‘rtacha daromadlilik: A: (2,00 − 2,94 + 4,04 − 1,94)/4 =</w:t>
      </w:r>
      <w:r>
        <w:t xml:space="preserve"> </w:t>
      </w:r>
      <w:r>
        <w:rPr>
          <w:bCs/>
          <w:b/>
        </w:rPr>
        <w:t xml:space="preserve">0,29%</w:t>
      </w:r>
      <w:r>
        <w:t xml:space="preserve">; B: (8,00 − 12,04 + 15,79 − 10,91)/4 =</w:t>
      </w:r>
      <w:r>
        <w:t xml:space="preserve"> </w:t>
      </w:r>
      <w:r>
        <w:rPr>
          <w:bCs/>
          <w:b/>
        </w:rPr>
        <w:t xml:space="preserve">0,21%</w:t>
      </w:r>
      <w:r>
        <w:t xml:space="preserve">.</w:t>
      </w:r>
    </w:p>
    <w:p>
      <w:pPr>
        <w:pStyle w:val="BodyText"/>
      </w:pPr>
      <w:r>
        <w:t xml:space="preserve">3-qadam. O‘rtachadan og‘ishlar kvadrati:</w:t>
      </w:r>
    </w:p>
    <w:p>
      <w:pPr>
        <w:numPr>
          <w:ilvl w:val="0"/>
          <w:numId w:val="1012"/>
        </w:numPr>
        <w:pStyle w:val="Compact"/>
      </w:pPr>
      <w:r>
        <w:t xml:space="preserve">A: (1,71)² + (−3,23)² + (3,75)² + (−2,23)² = 2,93 + 10,44 + 14,07 + 4,98 = 32,41.</w:t>
      </w:r>
    </w:p>
    <w:p>
      <w:pPr>
        <w:numPr>
          <w:ilvl w:val="0"/>
          <w:numId w:val="1012"/>
        </w:numPr>
        <w:pStyle w:val="Compact"/>
      </w:pPr>
      <w:r>
        <w:t xml:space="preserve">B: (7,79)² + (−12,25)² + (15,58)² + (−11,12)² = 60,67 + 150,01 + 242,69 + 123,65 = 577,03.</w:t>
      </w:r>
    </w:p>
    <w:p>
      <w:pPr>
        <w:pStyle w:val="FirstParagraph"/>
      </w:pPr>
      <w:r>
        <w:t xml:space="preserve">4-qadam. Dispersiya (kuzatuvlar soni − 1 = 3 ga bo‘lamiz): A: 32,41 / 3 = 10,80; B: 577,03 / 3 = 192,34.</w:t>
      </w:r>
    </w:p>
    <w:p>
      <w:pPr>
        <w:pStyle w:val="BodyText"/>
      </w:pPr>
      <w:r>
        <w:t xml:space="preserve">5-qadam. Standart og‘ish (volatillik) = √dispersiya: A: √10,80 =</w:t>
      </w:r>
      <w:r>
        <w:t xml:space="preserve"> </w:t>
      </w:r>
      <w:r>
        <w:rPr>
          <w:bCs/>
          <w:b/>
        </w:rPr>
        <w:t xml:space="preserve">3,29%</w:t>
      </w:r>
      <w:r>
        <w:t xml:space="preserve">; B: √192,34 =</w:t>
      </w:r>
      <w:r>
        <w:t xml:space="preserve"> </w:t>
      </w:r>
      <w:r>
        <w:rPr>
          <w:bCs/>
          <w:b/>
        </w:rPr>
        <w:t xml:space="preserve">13,87%</w:t>
      </w:r>
      <w:r>
        <w:t xml:space="preserve">.</w:t>
      </w:r>
    </w:p>
    <w:p>
      <w:pPr>
        <w:pStyle w:val="BodyText"/>
      </w:pPr>
      <w:r>
        <w:rPr>
          <w:bCs/>
          <w:b/>
        </w:rPr>
        <w:t xml:space="preserve">Xulosa:</w:t>
      </w:r>
      <w:r>
        <w:t xml:space="preserve"> </w:t>
      </w:r>
      <w:r>
        <w:t xml:space="preserve">B aksiyasining volatilligi A nikidan taxminan 4,2 barobar yuqori (13,87 / 3,29), demak B xavfliroq. (Yillik ko‘rsatkichga o‘tkazish uchun kunlik volatillik √252 ga ko‘paytiriladi; 4 kunlik misol faqat usulni ko‘rsatish uchun, amalda kamida bir necha oylik ma’lumot olinadi.)</w:t>
      </w:r>
    </w:p>
    <w:p>
      <w:pPr>
        <w:pStyle w:val="BodyText"/>
      </w:pPr>
      <w:r>
        <w:rPr>
          <w:bCs/>
          <w:b/>
        </w:rPr>
        <w:t xml:space="preserve">2-qism. Beta.</w:t>
      </w:r>
    </w:p>
    <w:p>
      <w:pPr>
        <w:numPr>
          <w:ilvl w:val="0"/>
          <w:numId w:val="1013"/>
        </w:numPr>
        <w:pStyle w:val="Compact"/>
      </w:pPr>
      <w:r>
        <w:t xml:space="preserve">Portfelning kutilayotgan o‘zgarishi = β × bozor o‘zgarishi = 1,4 × (−10%) =</w:t>
      </w:r>
      <w:r>
        <w:t xml:space="preserve"> </w:t>
      </w:r>
      <w:r>
        <w:rPr>
          <w:bCs/>
          <w:b/>
        </w:rPr>
        <w:t xml:space="preserve">−14%</w:t>
      </w:r>
      <w:r>
        <w:t xml:space="preserve">.</w:t>
      </w:r>
    </w:p>
    <w:p>
      <w:pPr>
        <w:numPr>
          <w:ilvl w:val="0"/>
          <w:numId w:val="1013"/>
        </w:numPr>
        <w:pStyle w:val="Compact"/>
      </w:pPr>
      <w:r>
        <w:t xml:space="preserve">So‘mda: 500 mln × (−0,14) =</w:t>
      </w:r>
      <w:r>
        <w:t xml:space="preserve"> </w:t>
      </w:r>
      <w:r>
        <w:rPr>
          <w:bCs/>
          <w:b/>
        </w:rPr>
        <w:t xml:space="preserve">−70 mln so‘m</w:t>
      </w:r>
      <w:r>
        <w:t xml:space="preserve">.</w:t>
      </w:r>
    </w:p>
    <w:p>
      <w:pPr>
        <w:numPr>
          <w:ilvl w:val="0"/>
          <w:numId w:val="1013"/>
        </w:numPr>
        <w:pStyle w:val="Compact"/>
      </w:pPr>
      <w:r>
        <w:t xml:space="preserve">β = 0,7 bo‘lsa: 0,7 × (−10%) = −7%; 500 × 0,07 = −35 mln so‘m.</w:t>
      </w:r>
    </w:p>
    <w:p>
      <w:pPr>
        <w:numPr>
          <w:ilvl w:val="0"/>
          <w:numId w:val="1013"/>
        </w:numPr>
        <w:pStyle w:val="Compact"/>
      </w:pPr>
      <w:r>
        <w:t xml:space="preserve">Bozor +10% bo‘lsa (β = 1,4): +14%, ya’ni +70 mln so‘m.</w:t>
      </w:r>
    </w:p>
    <w:bookmarkEnd w:id="46"/>
    <w:bookmarkStart w:id="47" w:name="asos-5"/>
    <w:p>
      <w:pPr>
        <w:pStyle w:val="Heading2"/>
      </w:pPr>
      <w:r>
        <w:t xml:space="preserve">Asos</w:t>
      </w:r>
    </w:p>
    <w:p>
      <w:pPr>
        <w:numPr>
          <w:ilvl w:val="0"/>
          <w:numId w:val="1014"/>
        </w:numPr>
        <w:pStyle w:val="Compact"/>
      </w:pPr>
      <w:r>
        <w:t xml:space="preserve">Standart og‘ish formulasi va uning risk o‘lchovi sifatida ishlatilishi: H. Markowitz (1952); statistika darsliklari (tanlanma standart og‘ishi, n − 1 ga bo‘lish).</w:t>
      </w:r>
    </w:p>
    <w:p>
      <w:pPr>
        <w:numPr>
          <w:ilvl w:val="0"/>
          <w:numId w:val="1014"/>
        </w:numPr>
        <w:pStyle w:val="Compact"/>
      </w:pPr>
      <w:r>
        <w:t xml:space="preserve">Portfel o‘zgarishini beta orqali baholash: CAPM, W. Sharpe (1964). Bu o‘rtacha kutilayotgan o‘zgarish; haqiqiy natija notizimli risk tufayli farq qilishi mumkin.</w:t>
      </w:r>
    </w:p>
    <w:bookmarkEnd w:id="47"/>
    <w:bookmarkEnd w:id="48"/>
    <w:bookmarkStart w:id="52" w:name="X006dc66bb961357ff07be8605fa892e75f1f2eb"/>
    <w:p>
      <w:pPr>
        <w:pStyle w:val="Heading1"/>
      </w:pPr>
      <w:r>
        <w:t xml:space="preserve">8-slayd uchun: Amaliy misol 2 — Qancha yo‘qotishimiz mumkin?</w:t>
      </w:r>
    </w:p>
    <w:p>
      <w:pPr>
        <w:pStyle w:val="FirstParagraph"/>
      </w:pPr>
      <w:r>
        <w:rPr>
          <w:bCs/>
          <w:b/>
        </w:rPr>
        <w:t xml:space="preserve">Slayd maqsadi:</w:t>
      </w:r>
      <w:r>
        <w:t xml:space="preserve"> </w:t>
      </w:r>
      <w:r>
        <w:t xml:space="preserve">VaR ni hisoblash va katta zararni qoplash qiyinligini ko‘rsatish.</w:t>
      </w:r>
      <w:r>
        <w:t xml:space="preserve"> </w:t>
      </w:r>
      <w:r>
        <w:rPr>
          <w:bCs/>
          <w:b/>
        </w:rPr>
        <w:t xml:space="preserve">Vaqt:</w:t>
      </w:r>
      <w:r>
        <w:t xml:space="preserve"> </w:t>
      </w:r>
      <w:r>
        <w:t xml:space="preserve">5 daqiqa.</w:t>
      </w:r>
    </w:p>
    <w:bookmarkStart w:id="49" w:name="nutq-7"/>
    <w:p>
      <w:pPr>
        <w:pStyle w:val="Heading2"/>
      </w:pPr>
      <w:r>
        <w:t xml:space="preserve">Nutq</w:t>
      </w:r>
    </w:p>
    <w:p>
      <w:pPr>
        <w:pStyle w:val="FirstParagraph"/>
      </w:pPr>
      <w:r>
        <w:t xml:space="preserve">“Risk menejerdan bank rahbari so‘raydi:</w:t>
      </w:r>
      <w:r>
        <w:t xml:space="preserve"> </w:t>
      </w:r>
      <w:r>
        <w:t xml:space="preserve">‘</w:t>
      </w:r>
      <w:r>
        <w:t xml:space="preserve">Ertaga eng yomon holatda qancha yo‘qotishimiz mumkin?</w:t>
      </w:r>
      <w:r>
        <w:t xml:space="preserve">’</w:t>
      </w:r>
      <w:r>
        <w:t xml:space="preserve"> </w:t>
      </w:r>
      <w:r>
        <w:t xml:space="preserve">Bu savolga VaR javob beradi.</w:t>
      </w:r>
    </w:p>
    <w:p>
      <w:pPr>
        <w:pStyle w:val="BodyText"/>
      </w:pPr>
      <w:r>
        <w:t xml:space="preserve">Portfelimiz 1 mlrd so‘m, kunlik volatillik 2%. 95% ishonch darajasida VaR = 1,65 × 2% × 1 mlrd = 33 mln so‘m. Bu nimani anglatadi? 20 kunning 19 tasida bir kunlik zararimiz 33 mln so‘mdan oshmaydi. Lekin 20 kunda bir marta oshishi mumkin — va VaR qanchaga oshishini aytmaydi. Bu VaRning asosiy kamchiligi. Shuning uchun keyinchalik stress-testlar haqida gapiramiz.</w:t>
      </w:r>
    </w:p>
    <w:p>
      <w:pPr>
        <w:pStyle w:val="BodyText"/>
      </w:pPr>
      <w:r>
        <w:t xml:space="preserve">Slaydning o‘ng tomonida juda muhim jadval bor. Aksiya 50% tushsa, avvalgi narxga qaytish uchun qancha o‘sish kerak? Ko‘pchilik</w:t>
      </w:r>
      <w:r>
        <w:t xml:space="preserve"> </w:t>
      </w:r>
      <w:r>
        <w:t xml:space="preserve">‘</w:t>
      </w:r>
      <w:r>
        <w:t xml:space="preserve">50%</w:t>
      </w:r>
      <w:r>
        <w:t xml:space="preserve">’</w:t>
      </w:r>
      <w:r>
        <w:t xml:space="preserve"> </w:t>
      </w:r>
      <w:r>
        <w:t xml:space="preserve">deydi. Aslida 100%! 100 so‘mlik aksiya 50 so‘mga tushdi; 50 dan 100 ga qaytish uchun narx ikki barobar oshishi kerak. 2008-yilgi inqirozda S&amp;P 500 57% tushdi — tiklanish uchun 133% o‘sish kerak bo‘ldi va bu deyarli 4 yil davom etdi. Xulosa: katta zararni qoplash juda qiyin, shuning uchun riskni oldindan cheklash kerak.”</w:t>
      </w:r>
    </w:p>
    <w:bookmarkEnd w:id="49"/>
    <w:bookmarkStart w:id="50" w:name="misol-va-batafsil-yechim-4"/>
    <w:p>
      <w:pPr>
        <w:pStyle w:val="Heading2"/>
      </w:pPr>
      <w:r>
        <w:t xml:space="preserve">Misol va batafsil yechim</w:t>
      </w:r>
    </w:p>
    <w:p>
      <w:pPr>
        <w:pStyle w:val="FirstParagraph"/>
      </w:pPr>
      <w:r>
        <w:rPr>
          <w:bCs/>
          <w:b/>
        </w:rPr>
        <w:t xml:space="preserve">1-qism. VaR (parametrik usul, normal taqsimot farazi bilan).</w:t>
      </w:r>
    </w:p>
    <w:p>
      <w:pPr>
        <w:pStyle w:val="BodyText"/>
      </w:pPr>
      <w:r>
        <w:t xml:space="preserve">Formula: VaR = z × σ × V. Bu yerda z — ishonch darajasiga mos koeffitsient (95% uchun 1,65; 99% uchun 2,33), σ — kunlik volatillik, V — portfel qiymati.</w:t>
      </w:r>
    </w:p>
    <w:p>
      <w:pPr>
        <w:numPr>
          <w:ilvl w:val="0"/>
          <w:numId w:val="1015"/>
        </w:numPr>
        <w:pStyle w:val="Compact"/>
      </w:pPr>
      <w:r>
        <w:t xml:space="preserve">95%: VaR = 1,65 × 0,02 × 1 000 000 000 =</w:t>
      </w:r>
      <w:r>
        <w:t xml:space="preserve"> </w:t>
      </w:r>
      <w:r>
        <w:rPr>
          <w:bCs/>
          <w:b/>
        </w:rPr>
        <w:t xml:space="preserve">33 000 000 so‘m</w:t>
      </w:r>
      <w:r>
        <w:t xml:space="preserve">.</w:t>
      </w:r>
    </w:p>
    <w:p>
      <w:pPr>
        <w:numPr>
          <w:ilvl w:val="0"/>
          <w:numId w:val="1015"/>
        </w:numPr>
        <w:pStyle w:val="Compact"/>
      </w:pPr>
      <w:r>
        <w:t xml:space="preserve">99%: VaR = 2,33 × 0,02 × 1 000 000 000 =</w:t>
      </w:r>
      <w:r>
        <w:t xml:space="preserve"> </w:t>
      </w:r>
      <w:r>
        <w:rPr>
          <w:bCs/>
          <w:b/>
        </w:rPr>
        <w:t xml:space="preserve">46 600 000 so‘m</w:t>
      </w:r>
      <w:r>
        <w:t xml:space="preserve">.</w:t>
      </w:r>
    </w:p>
    <w:p>
      <w:pPr>
        <w:numPr>
          <w:ilvl w:val="0"/>
          <w:numId w:val="1015"/>
        </w:numPr>
        <w:pStyle w:val="Compact"/>
      </w:pPr>
      <w:r>
        <w:t xml:space="preserve">10 kunlik 99% VaR (</w:t>
      </w:r>
      <w:r>
        <w:t xml:space="preserve">“</w:t>
      </w:r>
      <w:r>
        <w:t xml:space="preserve">kvadrat ildiz qoidasi</w:t>
      </w:r>
      <w:r>
        <w:t xml:space="preserve">”</w:t>
      </w:r>
      <w:r>
        <w:t xml:space="preserve">): 46,6 × √10 = 46,6 × 3,162 =</w:t>
      </w:r>
      <w:r>
        <w:t xml:space="preserve"> </w:t>
      </w:r>
      <w:r>
        <w:rPr>
          <w:bCs/>
          <w:b/>
        </w:rPr>
        <w:t xml:space="preserve">147,4 mln so‘m</w:t>
      </w:r>
      <w:r>
        <w:t xml:space="preserve">.</w:t>
      </w:r>
    </w:p>
    <w:p>
      <w:pPr>
        <w:pStyle w:val="FirstParagraph"/>
      </w:pPr>
      <w:r>
        <w:t xml:space="preserve">Talqin: 95% VaR = 33 mln so‘m → 100 kundan taxminan 95 tasida kunlik zarar 33 mln so‘mdan oshmaydi, 5 kunda esa oshishi mumkin.</w:t>
      </w:r>
    </w:p>
    <w:p>
      <w:pPr>
        <w:pStyle w:val="BodyText"/>
      </w:pPr>
      <w:r>
        <w:rPr>
          <w:bCs/>
          <w:b/>
        </w:rPr>
        <w:t xml:space="preserve">2-qism. Tiklanish uchun kerakli o‘sish.</w:t>
      </w:r>
    </w:p>
    <w:p>
      <w:pPr>
        <w:pStyle w:val="BodyText"/>
      </w:pPr>
      <w:r>
        <w:t xml:space="preserve">Narx P dan d foizga tushsa, yangi narx P × (1 − d). Avvalgi P ga qaytish uchun kerakli o‘sish g: P × (1 − d) × (1 + g) = P →</w:t>
      </w:r>
      <w:r>
        <w:t xml:space="preserve"> </w:t>
      </w:r>
      <w:r>
        <w:rPr>
          <w:bCs/>
          <w:b/>
        </w:rPr>
        <w:t xml:space="preserve">g = 1 / (1 − d) − 1</w:t>
      </w:r>
      <w:r>
        <w:t xml:space="preserve">.</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2640"/>
        <w:gridCol w:w="2640"/>
        <w:gridCol w:w="2640"/>
      </w:tblGrid>
      <w:tr>
        <w:trPr>
          <w:tblHeader w:val="true"/>
        </w:trPr>
        <w:tc>
          <w:tcPr>
            <w:shd w:val="clear" w:color="auto" w:fill="DDEBF7"/>
          </w:tcPr>
          <w:p>
            <w:pPr>
              <w:pStyle w:val="Compact"/>
              <w:spacing w:after="20" w:before="20" w:line="240" w:lineRule="auto"/>
              <w:jc w:val="center"/>
            </w:pPr>
            <w:r>
              <w:rPr>
                <w:b/>
                <w:sz w:val="21"/>
              </w:rPr>
              <w:t xml:space="preserve">Pasayish d</w:t>
            </w:r>
          </w:p>
        </w:tc>
        <w:tc>
          <w:tcPr>
            <w:shd w:val="clear" w:color="auto" w:fill="DDEBF7"/>
          </w:tcPr>
          <w:p>
            <w:pPr>
              <w:pStyle w:val="Compact"/>
              <w:spacing w:after="20" w:before="20" w:line="240" w:lineRule="auto"/>
              <w:jc w:val="left"/>
            </w:pPr>
            <w:r>
              <w:rPr>
                <w:b/>
                <w:sz w:val="21"/>
              </w:rPr>
              <w:t xml:space="preserve">Hisob</w:t>
            </w:r>
          </w:p>
        </w:tc>
        <w:tc>
          <w:tcPr>
            <w:shd w:val="clear" w:color="auto" w:fill="DDEBF7"/>
          </w:tcPr>
          <w:p>
            <w:pPr>
              <w:pStyle w:val="Compact"/>
              <w:spacing w:after="20" w:before="20" w:line="240" w:lineRule="auto"/>
              <w:jc w:val="center"/>
            </w:pPr>
            <w:r>
              <w:rPr>
                <w:b/>
                <w:sz w:val="21"/>
              </w:rPr>
              <w:t xml:space="preserve">Kerakli o‘sish g</w:t>
            </w:r>
          </w:p>
        </w:tc>
      </w:tr>
      <w:tr>
        <w:tc>
          <w:tcPr/>
          <w:p>
            <w:pPr>
              <w:pStyle w:val="Compact"/>
              <w:spacing w:after="20" w:before="20" w:line="240" w:lineRule="auto"/>
              <w:jc w:val="center"/>
            </w:pPr>
            <w:r>
              <w:rPr>
                <w:sz w:val="21"/>
              </w:rPr>
              <w:t xml:space="preserve">10%</w:t>
            </w:r>
          </w:p>
        </w:tc>
        <w:tc>
          <w:tcPr/>
          <w:p>
            <w:pPr>
              <w:pStyle w:val="Compact"/>
              <w:spacing w:after="20" w:before="20" w:line="240" w:lineRule="auto"/>
              <w:jc w:val="left"/>
            </w:pPr>
            <w:r>
              <w:rPr>
                <w:sz w:val="21"/>
              </w:rPr>
              <w:t xml:space="preserve">1 / 0,90 − 1</w:t>
            </w:r>
          </w:p>
        </w:tc>
        <w:tc>
          <w:tcPr/>
          <w:p>
            <w:pPr>
              <w:pStyle w:val="Compact"/>
              <w:spacing w:after="20" w:before="20" w:line="240" w:lineRule="auto"/>
              <w:jc w:val="center"/>
            </w:pPr>
            <w:r>
              <w:rPr>
                <w:sz w:val="21"/>
              </w:rPr>
              <w:t xml:space="preserve">+11,1%</w:t>
            </w:r>
          </w:p>
        </w:tc>
      </w:tr>
      <w:tr>
        <w:tc>
          <w:tcPr/>
          <w:p>
            <w:pPr>
              <w:pStyle w:val="Compact"/>
              <w:spacing w:after="20" w:before="20" w:line="240" w:lineRule="auto"/>
              <w:jc w:val="center"/>
            </w:pPr>
            <w:r>
              <w:rPr>
                <w:sz w:val="21"/>
              </w:rPr>
              <w:t xml:space="preserve">20%</w:t>
            </w:r>
          </w:p>
        </w:tc>
        <w:tc>
          <w:tcPr/>
          <w:p>
            <w:pPr>
              <w:pStyle w:val="Compact"/>
              <w:spacing w:after="20" w:before="20" w:line="240" w:lineRule="auto"/>
              <w:jc w:val="left"/>
            </w:pPr>
            <w:r>
              <w:rPr>
                <w:sz w:val="21"/>
              </w:rPr>
              <w:t xml:space="preserve">1 / 0,80 − 1</w:t>
            </w:r>
          </w:p>
        </w:tc>
        <w:tc>
          <w:tcPr/>
          <w:p>
            <w:pPr>
              <w:pStyle w:val="Compact"/>
              <w:spacing w:after="20" w:before="20" w:line="240" w:lineRule="auto"/>
              <w:jc w:val="center"/>
            </w:pPr>
            <w:r>
              <w:rPr>
                <w:sz w:val="21"/>
              </w:rPr>
              <w:t xml:space="preserve">+25,0%</w:t>
            </w:r>
          </w:p>
        </w:tc>
      </w:tr>
      <w:tr>
        <w:tc>
          <w:tcPr/>
          <w:p>
            <w:pPr>
              <w:pStyle w:val="Compact"/>
              <w:spacing w:after="20" w:before="20" w:line="240" w:lineRule="auto"/>
              <w:jc w:val="center"/>
            </w:pPr>
            <w:r>
              <w:rPr>
                <w:sz w:val="21"/>
              </w:rPr>
              <w:t xml:space="preserve">33,9% (2020)</w:t>
            </w:r>
          </w:p>
        </w:tc>
        <w:tc>
          <w:tcPr/>
          <w:p>
            <w:pPr>
              <w:pStyle w:val="Compact"/>
              <w:spacing w:after="20" w:before="20" w:line="240" w:lineRule="auto"/>
              <w:jc w:val="left"/>
            </w:pPr>
            <w:r>
              <w:rPr>
                <w:sz w:val="21"/>
              </w:rPr>
              <w:t xml:space="preserve">1 / 0,661 − 1</w:t>
            </w:r>
          </w:p>
        </w:tc>
        <w:tc>
          <w:tcPr/>
          <w:p>
            <w:pPr>
              <w:pStyle w:val="Compact"/>
              <w:spacing w:after="20" w:before="20" w:line="240" w:lineRule="auto"/>
              <w:jc w:val="center"/>
            </w:pPr>
            <w:r>
              <w:rPr>
                <w:sz w:val="21"/>
              </w:rPr>
              <w:t xml:space="preserve">+51,3%</w:t>
            </w:r>
          </w:p>
        </w:tc>
      </w:tr>
      <w:tr>
        <w:tc>
          <w:tcPr/>
          <w:p>
            <w:pPr>
              <w:pStyle w:val="Compact"/>
              <w:spacing w:after="20" w:before="20" w:line="240" w:lineRule="auto"/>
              <w:jc w:val="center"/>
            </w:pPr>
            <w:r>
              <w:rPr>
                <w:sz w:val="21"/>
              </w:rPr>
              <w:t xml:space="preserve">50%</w:t>
            </w:r>
          </w:p>
        </w:tc>
        <w:tc>
          <w:tcPr/>
          <w:p>
            <w:pPr>
              <w:pStyle w:val="Compact"/>
              <w:spacing w:after="20" w:before="20" w:line="240" w:lineRule="auto"/>
              <w:jc w:val="left"/>
            </w:pPr>
            <w:r>
              <w:rPr>
                <w:sz w:val="21"/>
              </w:rPr>
              <w:t xml:space="preserve">1 / 0,50 − 1</w:t>
            </w:r>
          </w:p>
        </w:tc>
        <w:tc>
          <w:tcPr/>
          <w:p>
            <w:pPr>
              <w:pStyle w:val="Compact"/>
              <w:spacing w:after="20" w:before="20" w:line="240" w:lineRule="auto"/>
              <w:jc w:val="center"/>
            </w:pPr>
            <w:r>
              <w:rPr>
                <w:sz w:val="21"/>
              </w:rPr>
              <w:t xml:space="preserve">+100%</w:t>
            </w:r>
          </w:p>
        </w:tc>
      </w:tr>
      <w:tr>
        <w:tc>
          <w:tcPr/>
          <w:p>
            <w:pPr>
              <w:pStyle w:val="Compact"/>
              <w:spacing w:after="20" w:before="20" w:line="240" w:lineRule="auto"/>
              <w:jc w:val="center"/>
            </w:pPr>
            <w:r>
              <w:rPr>
                <w:sz w:val="21"/>
              </w:rPr>
              <w:t xml:space="preserve">57% (2007–2009)</w:t>
            </w:r>
          </w:p>
        </w:tc>
        <w:tc>
          <w:tcPr/>
          <w:p>
            <w:pPr>
              <w:pStyle w:val="Compact"/>
              <w:spacing w:after="20" w:before="20" w:line="240" w:lineRule="auto"/>
              <w:jc w:val="left"/>
            </w:pPr>
            <w:r>
              <w:rPr>
                <w:sz w:val="21"/>
              </w:rPr>
              <w:t xml:space="preserve">1 / 0,43 − 1</w:t>
            </w:r>
          </w:p>
        </w:tc>
        <w:tc>
          <w:tcPr/>
          <w:p>
            <w:pPr>
              <w:pStyle w:val="Compact"/>
              <w:spacing w:after="20" w:before="20" w:line="240" w:lineRule="auto"/>
              <w:jc w:val="center"/>
            </w:pPr>
            <w:r>
              <w:rPr>
                <w:sz w:val="21"/>
              </w:rPr>
              <w:t xml:space="preserve">+132,6%</w:t>
            </w:r>
          </w:p>
        </w:tc>
      </w:tr>
    </w:tbl>
    <w:bookmarkEnd w:id="50"/>
    <w:bookmarkStart w:id="51" w:name="asos-6"/>
    <w:p>
      <w:pPr>
        <w:pStyle w:val="Heading2"/>
      </w:pPr>
      <w:r>
        <w:t xml:space="preserve">Asos</w:t>
      </w:r>
    </w:p>
    <w:p>
      <w:pPr>
        <w:numPr>
          <w:ilvl w:val="0"/>
          <w:numId w:val="1016"/>
        </w:numPr>
        <w:pStyle w:val="Compact"/>
      </w:pPr>
      <w:r>
        <w:t xml:space="preserve">z koeffitsientlari: standart normal taqsimotning 95% kvantili = 1,645, 99% kvantili = 2,326.</w:t>
      </w:r>
    </w:p>
    <w:p>
      <w:pPr>
        <w:numPr>
          <w:ilvl w:val="0"/>
          <w:numId w:val="1016"/>
        </w:numPr>
        <w:pStyle w:val="Compact"/>
      </w:pPr>
      <w:r>
        <w:t xml:space="preserve">VaR usuli: J.P. Morgan RiskMetrics (1996); P. Jorion,</w:t>
      </w:r>
      <w:r>
        <w:t xml:space="preserve"> </w:t>
      </w:r>
      <w:r>
        <w:t xml:space="preserve">“</w:t>
      </w:r>
      <w:r>
        <w:t xml:space="preserve">Value at Risk</w:t>
      </w:r>
      <w:r>
        <w:t xml:space="preserve">”</w:t>
      </w:r>
      <w:r>
        <w:t xml:space="preserve"> </w:t>
      </w:r>
      <w:r>
        <w:t xml:space="preserve">(3-nashr, 2007). √T qoidasi kunlik daromadliliklar mustaqil deb faraz qilinganda o‘rinli.</w:t>
      </w:r>
    </w:p>
    <w:p>
      <w:pPr>
        <w:numPr>
          <w:ilvl w:val="0"/>
          <w:numId w:val="1016"/>
        </w:numPr>
        <w:pStyle w:val="Compact"/>
      </w:pPr>
      <w:r>
        <w:t xml:space="preserve">VaR zararning hajmini ko‘rsatmasligi sababli Bazel qo‘mitasi bozor riski standartida 97,5% Expected Shortfall ko‘rsatkichiga o‘tgan (Minimum capital requirements for market risk, 2019).</w:t>
      </w:r>
    </w:p>
    <w:p>
      <w:pPr>
        <w:numPr>
          <w:ilvl w:val="0"/>
          <w:numId w:val="1016"/>
        </w:numPr>
        <w:pStyle w:val="Compact"/>
      </w:pPr>
      <w:r>
        <w:t xml:space="preserve">S&amp;P 500: 2007-yil 9-oktabr — 1 565,15; 2009-yil 9-mart — 676,53 (S&amp;P Dow Jones Indices). Indeks 2007-yilgi cho‘qqisiga 2013-yil martida qaytgan.</w:t>
      </w:r>
    </w:p>
    <w:bookmarkEnd w:id="51"/>
    <w:bookmarkEnd w:id="52"/>
    <w:bookmarkStart w:id="58" w:name="X57e6db0571a101ca7186f718002fa8bb50f269a"/>
    <w:p>
      <w:pPr>
        <w:pStyle w:val="Heading1"/>
      </w:pPr>
      <w:r>
        <w:t xml:space="preserve">9-slayd uchun: Risk har yili bir xil emas (S&amp;P 500, 2017–2025)</w:t>
      </w:r>
    </w:p>
    <w:p>
      <w:pPr>
        <w:pStyle w:val="FirstParagraph"/>
      </w:pPr>
      <w:r>
        <w:rPr>
          <w:bCs/>
          <w:b/>
        </w:rPr>
        <w:t xml:space="preserve">Slayd maqsadi:</w:t>
      </w:r>
      <w:r>
        <w:t xml:space="preserve"> </w:t>
      </w:r>
      <w:r>
        <w:t xml:space="preserve">haqiqiy ma’lumotlar asosida riskning vaqt bo‘yicha o‘zgarishini ko‘rsatish.</w:t>
      </w:r>
      <w:r>
        <w:t xml:space="preserve"> </w:t>
      </w:r>
      <w:r>
        <w:rPr>
          <w:bCs/>
          <w:b/>
        </w:rPr>
        <w:t xml:space="preserve">Vaqt:</w:t>
      </w:r>
      <w:r>
        <w:t xml:space="preserve"> </w:t>
      </w:r>
      <w:r>
        <w:t xml:space="preserve">4 daqiqa.</w:t>
      </w:r>
    </w:p>
    <w:bookmarkStart w:id="53" w:name="nutq-8"/>
    <w:p>
      <w:pPr>
        <w:pStyle w:val="Heading2"/>
      </w:pPr>
      <w:r>
        <w:t xml:space="preserve">Nutq</w:t>
      </w:r>
    </w:p>
    <w:p>
      <w:pPr>
        <w:pStyle w:val="FirstParagraph"/>
      </w:pPr>
      <w:r>
        <w:t xml:space="preserve">“Bu slayddagi raqamlar o‘ylab topilmagan — bu AQShning eng yirik 500 kompaniyasi indeksining haqiqiy ma’lumotlari. Ustunlar har yilgi volatillikni, ya’ni riskni ko‘rsatadi, pastdagi raqamlar esa yillik daromadlilikni.</w:t>
      </w:r>
    </w:p>
    <w:p>
      <w:pPr>
        <w:pStyle w:val="BodyText"/>
      </w:pPr>
      <w:r>
        <w:t xml:space="preserve">Nimani ko‘ramiz? Birinchidan, risk har yili turlicha. 2017-yilda volatillik atigi 6,7% edi — bozor juda tinch bo‘lgan. 2020-yilda esa 34,7% — besh barobar ko‘p. Ikkinchidan, ikki yil to‘q sariq rangda: 2020 — pandemiya, 2022 — inflyatsiya va foiz stavkalarining keskin oshishi. Uchinchidan, qiziq fakt: 2020-yilda risk rekord darajada bo‘lsa ham, yil +16,3% bilan yopildi. Demak, yuqori risk har doim zarar degani emas. Muhimi — pasayish paytida vahimaga tushib sotmaslik. 2022-yilda esa yuqori risk haqiqiy zararga (−19,4%) olib keldi.</w:t>
      </w:r>
    </w:p>
    <w:p>
      <w:pPr>
        <w:pStyle w:val="BodyText"/>
      </w:pPr>
      <w:r>
        <w:t xml:space="preserve">Risk menejerlar uchun xulosa: tinch yillarda, masalan 2017-yilda, risk kam ko‘rinadi va investorlar ehtiyotkorlikni yo‘qotadi. Aynan shunday paytda keyingi shokka tayyorgarlik ko‘rish kerak.”</w:t>
      </w:r>
    </w:p>
    <w:bookmarkEnd w:id="53"/>
    <w:bookmarkStart w:id="54" w:name="misol-va-batafsil-yechim-5"/>
    <w:p>
      <w:pPr>
        <w:pStyle w:val="Heading2"/>
      </w:pPr>
      <w:r>
        <w:t xml:space="preserve">Misol va batafsil yechim</w:t>
      </w:r>
    </w:p>
    <w:p>
      <w:pPr>
        <w:pStyle w:val="FirstParagraph"/>
      </w:pPr>
      <w:r>
        <w:rPr>
          <w:bCs/>
          <w:b/>
        </w:rPr>
        <w:t xml:space="preserve">Yillik volatillik qanday hisoblangan (2020-yil misolida):</w:t>
      </w:r>
    </w:p>
    <w:p>
      <w:pPr>
        <w:numPr>
          <w:ilvl w:val="0"/>
          <w:numId w:val="1017"/>
        </w:numPr>
        <w:pStyle w:val="Compact"/>
      </w:pPr>
      <w:r>
        <w:t xml:space="preserve">Har bir savdo kuni uchun logarifmik daromadlilik: r = ln(bugungi narx / kechagi narx). 2020-yilda 253 ta savdo kuni bo‘lgan.</w:t>
      </w:r>
    </w:p>
    <w:p>
      <w:pPr>
        <w:numPr>
          <w:ilvl w:val="0"/>
          <w:numId w:val="1017"/>
        </w:numPr>
        <w:pStyle w:val="Compact"/>
      </w:pPr>
      <w:r>
        <w:t xml:space="preserve">Bu 253 ta qiymatning standart og‘ishi: kunlik volatillik =</w:t>
      </w:r>
      <w:r>
        <w:t xml:space="preserve"> </w:t>
      </w:r>
      <w:r>
        <w:rPr>
          <w:bCs/>
          <w:b/>
        </w:rPr>
        <w:t xml:space="preserve">2,19%</w:t>
      </w:r>
      <w:r>
        <w:t xml:space="preserve">.</w:t>
      </w:r>
    </w:p>
    <w:p>
      <w:pPr>
        <w:numPr>
          <w:ilvl w:val="0"/>
          <w:numId w:val="1017"/>
        </w:numPr>
        <w:pStyle w:val="Compact"/>
      </w:pPr>
      <w:r>
        <w:t xml:space="preserve">Yillik volatillik = kunlik × √252 = 2,19% × 15,87 =</w:t>
      </w:r>
      <w:r>
        <w:t xml:space="preserve"> </w:t>
      </w:r>
      <w:r>
        <w:rPr>
          <w:bCs/>
          <w:b/>
        </w:rPr>
        <w:t xml:space="preserve">34,7%</w:t>
      </w:r>
      <w:r>
        <w:t xml:space="preserve">.</w:t>
      </w:r>
    </w:p>
    <w:p>
      <w:pPr>
        <w:pStyle w:val="FirstParagraph"/>
      </w:pPr>
      <w:r>
        <w:t xml:space="preserve">Taqqoslash uchun 2017-yil: kunlik 0,42% × 15,87 = 6,7%.</w:t>
      </w:r>
    </w:p>
    <w:p>
      <w:pPr>
        <w:pStyle w:val="BodyText"/>
      </w:pPr>
      <w:r>
        <w:rPr>
          <w:bCs/>
          <w:b/>
        </w:rPr>
        <w:t xml:space="preserve">Yillik daromadlilik (2020):</w:t>
      </w:r>
      <w:r>
        <w:t xml:space="preserve"> </w:t>
      </w:r>
      <w:r>
        <w:t xml:space="preserve">yil oxiridagi qiymat / o‘tgan yil oxiridagi qiymat − 1 = 3 756,07 / 3 230,78 − 1 =</w:t>
      </w:r>
      <w:r>
        <w:t xml:space="preserve"> </w:t>
      </w:r>
      <w:r>
        <w:rPr>
          <w:bCs/>
          <w:b/>
        </w:rPr>
        <w:t xml:space="preserve">+16,3%</w:t>
      </w:r>
      <w:r>
        <w:t xml:space="preserve">.</w:t>
      </w:r>
    </w:p>
    <w:bookmarkEnd w:id="54"/>
    <w:bookmarkStart w:id="55" w:name="asos-7"/>
    <w:p>
      <w:pPr>
        <w:pStyle w:val="Heading2"/>
      </w:pPr>
      <w:r>
        <w:t xml:space="preserve">Asos</w:t>
      </w:r>
    </w:p>
    <w:p>
      <w:pPr>
        <w:numPr>
          <w:ilvl w:val="0"/>
          <w:numId w:val="1018"/>
        </w:numPr>
        <w:pStyle w:val="Compact"/>
      </w:pPr>
      <w:r>
        <w:t xml:space="preserve">Ma’lumot manbai: FRED, SP500 qatori (S&amp;P Dow Jones Indices litsenziyasi asosida), kunlik yopilish qiymatlari; hisob-kitob muallifniki.</w:t>
      </w:r>
    </w:p>
    <w:p>
      <w:pPr>
        <w:numPr>
          <w:ilvl w:val="0"/>
          <w:numId w:val="1018"/>
        </w:numPr>
        <w:pStyle w:val="Compact"/>
      </w:pPr>
      <w:r>
        <w:t xml:space="preserve">2020-yildagi yuqori volatillik sababi — COVID-19 pandemiyasi (14-slayd); 2022-yildagi pasayish sababi — AQSh Federal rezerv tizimi inflyatsiyaga qarshi kurashda stavkani 2022-yil mart oyidan boshlab 0–0,25% dan yil oxirigacha 4,25–4,5% gacha oshirgani (Federal rezerv tizimi qarorlari).</w:t>
      </w:r>
    </w:p>
    <w:p>
      <w:pPr>
        <w:numPr>
          <w:ilvl w:val="0"/>
          <w:numId w:val="1018"/>
        </w:numPr>
        <w:pStyle w:val="Compact"/>
      </w:pPr>
      <w:r>
        <w:t xml:space="preserve">√252 qoidasi: yilda taxminan 252 savdo kuni; kunlik daromadliliklar mustaqil deb faraz qilinadi.</w:t>
      </w:r>
    </w:p>
    <w:bookmarkEnd w:id="55"/>
    <w:bookmarkStart w:id="56" w:name="sabab-va-oqibat"/>
    <w:p>
      <w:pPr>
        <w:pStyle w:val="Heading2"/>
      </w:pPr>
      <w:r>
        <w:t xml:space="preserve">Sabab va oqibat</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2640"/>
        <w:gridCol w:w="2640"/>
        <w:gridCol w:w="2640"/>
      </w:tblGrid>
      <w:tr>
        <w:trPr>
          <w:tblHeader w:val="true"/>
        </w:trPr>
        <w:tc>
          <w:tcPr>
            <w:shd w:val="clear" w:color="auto" w:fill="DDEBF7"/>
          </w:tcPr>
          <w:p>
            <w:pPr>
              <w:pStyle w:val="Compact"/>
              <w:spacing w:after="20" w:before="20" w:line="240" w:lineRule="auto"/>
              <w:jc w:val="left"/>
            </w:pPr>
            <w:r>
              <w:rPr>
                <w:b/>
                <w:sz w:val="21"/>
              </w:rPr>
              <w:t xml:space="preserve">Yil</w:t>
            </w:r>
          </w:p>
        </w:tc>
        <w:tc>
          <w:tcPr>
            <w:shd w:val="clear" w:color="auto" w:fill="DDEBF7"/>
          </w:tcPr>
          <w:p>
            <w:pPr>
              <w:pStyle w:val="Compact"/>
              <w:spacing w:after="20" w:before="20" w:line="240" w:lineRule="auto"/>
              <w:jc w:val="left"/>
            </w:pPr>
            <w:r>
              <w:rPr>
                <w:b/>
                <w:sz w:val="21"/>
              </w:rPr>
              <w:t xml:space="preserve">Sabab</w:t>
            </w:r>
          </w:p>
        </w:tc>
        <w:tc>
          <w:tcPr>
            <w:shd w:val="clear" w:color="auto" w:fill="DDEBF7"/>
          </w:tcPr>
          <w:p>
            <w:pPr>
              <w:pStyle w:val="Compact"/>
              <w:spacing w:after="20" w:before="20" w:line="240" w:lineRule="auto"/>
              <w:jc w:val="left"/>
            </w:pPr>
            <w:r>
              <w:rPr>
                <w:b/>
                <w:sz w:val="21"/>
              </w:rPr>
              <w:t xml:space="preserve">Oqibat</w:t>
            </w:r>
          </w:p>
        </w:tc>
      </w:tr>
      <w:tr>
        <w:tc>
          <w:tcPr/>
          <w:p>
            <w:pPr>
              <w:pStyle w:val="Compact"/>
              <w:spacing w:after="20" w:before="20" w:line="240" w:lineRule="auto"/>
              <w:jc w:val="left"/>
            </w:pPr>
            <w:r>
              <w:rPr>
                <w:sz w:val="21"/>
              </w:rPr>
              <w:t xml:space="preserve">2018</w:t>
            </w:r>
          </w:p>
        </w:tc>
        <w:tc>
          <w:tcPr/>
          <w:p>
            <w:pPr>
              <w:pStyle w:val="Compact"/>
              <w:spacing w:after="20" w:before="20" w:line="240" w:lineRule="auto"/>
              <w:jc w:val="left"/>
            </w:pPr>
            <w:r>
              <w:rPr>
                <w:sz w:val="21"/>
              </w:rPr>
              <w:t xml:space="preserve">Federal rezerv stavkani oshirdi, AQSh–Xitoy savdo mojarosi</w:t>
            </w:r>
          </w:p>
        </w:tc>
        <w:tc>
          <w:tcPr/>
          <w:p>
            <w:pPr>
              <w:pStyle w:val="Compact"/>
              <w:spacing w:after="20" w:before="20" w:line="240" w:lineRule="auto"/>
              <w:jc w:val="left"/>
            </w:pPr>
            <w:r>
              <w:rPr>
                <w:sz w:val="21"/>
              </w:rPr>
              <w:t xml:space="preserve">Dekabrda indeks cho‘qqidan 19,8% tushdi, yil −6,2%</w:t>
            </w:r>
          </w:p>
        </w:tc>
      </w:tr>
      <w:tr>
        <w:tc>
          <w:tcPr/>
          <w:p>
            <w:pPr>
              <w:pStyle w:val="Compact"/>
              <w:spacing w:after="20" w:before="20" w:line="240" w:lineRule="auto"/>
              <w:jc w:val="left"/>
            </w:pPr>
            <w:r>
              <w:rPr>
                <w:sz w:val="21"/>
              </w:rPr>
              <w:t xml:space="preserve">2020</w:t>
            </w:r>
          </w:p>
        </w:tc>
        <w:tc>
          <w:tcPr/>
          <w:p>
            <w:pPr>
              <w:pStyle w:val="Compact"/>
              <w:spacing w:after="20" w:before="20" w:line="240" w:lineRule="auto"/>
              <w:jc w:val="left"/>
            </w:pPr>
            <w:r>
              <w:rPr>
                <w:sz w:val="21"/>
              </w:rPr>
              <w:t xml:space="preserve">COVID-19 pandemiyasi, iqtisodiyotning to‘xtashi</w:t>
            </w:r>
          </w:p>
        </w:tc>
        <w:tc>
          <w:tcPr/>
          <w:p>
            <w:pPr>
              <w:pStyle w:val="Compact"/>
              <w:spacing w:after="20" w:before="20" w:line="240" w:lineRule="auto"/>
              <w:jc w:val="left"/>
            </w:pPr>
            <w:r>
              <w:rPr>
                <w:sz w:val="21"/>
              </w:rPr>
              <w:t xml:space="preserve">Volatillik 34,7%, mart oyida −33,9%, keyin rag‘batlantirish choralari bilan tiklanish</w:t>
            </w:r>
          </w:p>
        </w:tc>
      </w:tr>
      <w:tr>
        <w:tc>
          <w:tcPr/>
          <w:p>
            <w:pPr>
              <w:pStyle w:val="Compact"/>
              <w:spacing w:after="20" w:before="20" w:line="240" w:lineRule="auto"/>
              <w:jc w:val="left"/>
            </w:pPr>
            <w:r>
              <w:rPr>
                <w:sz w:val="21"/>
              </w:rPr>
              <w:t xml:space="preserve">2022</w:t>
            </w:r>
          </w:p>
        </w:tc>
        <w:tc>
          <w:tcPr/>
          <w:p>
            <w:pPr>
              <w:pStyle w:val="Compact"/>
              <w:spacing w:after="20" w:before="20" w:line="240" w:lineRule="auto"/>
              <w:jc w:val="left"/>
            </w:pPr>
            <w:r>
              <w:rPr>
                <w:sz w:val="21"/>
              </w:rPr>
              <w:t xml:space="preserve">Inflyatsiya 40 yillik maksimumga chiqdi, stavkalar keskin oshirildi</w:t>
            </w:r>
          </w:p>
        </w:tc>
        <w:tc>
          <w:tcPr/>
          <w:p>
            <w:pPr>
              <w:pStyle w:val="Compact"/>
              <w:spacing w:after="20" w:before="20" w:line="240" w:lineRule="auto"/>
              <w:jc w:val="left"/>
            </w:pPr>
            <w:r>
              <w:rPr>
                <w:sz w:val="21"/>
              </w:rPr>
              <w:t xml:space="preserve">Yil −19,4%, aksiyalar bilan birga obligatsiyalar ham tushdi</w:t>
            </w:r>
          </w:p>
        </w:tc>
      </w:tr>
      <w:tr>
        <w:tc>
          <w:tcPr/>
          <w:p>
            <w:pPr>
              <w:pStyle w:val="Compact"/>
              <w:spacing w:after="20" w:before="20" w:line="240" w:lineRule="auto"/>
              <w:jc w:val="left"/>
            </w:pPr>
            <w:r>
              <w:rPr>
                <w:sz w:val="21"/>
              </w:rPr>
              <w:t xml:space="preserve">2025</w:t>
            </w:r>
          </w:p>
        </w:tc>
        <w:tc>
          <w:tcPr/>
          <w:p>
            <w:pPr>
              <w:pStyle w:val="Compact"/>
              <w:spacing w:after="20" w:before="20" w:line="240" w:lineRule="auto"/>
              <w:jc w:val="left"/>
            </w:pPr>
            <w:r>
              <w:rPr>
                <w:sz w:val="21"/>
              </w:rPr>
              <w:t xml:space="preserve">Keng ko‘lamli import tariflari</w:t>
            </w:r>
          </w:p>
        </w:tc>
        <w:tc>
          <w:tcPr/>
          <w:p>
            <w:pPr>
              <w:pStyle w:val="Compact"/>
              <w:spacing w:after="20" w:before="20" w:line="240" w:lineRule="auto"/>
              <w:jc w:val="left"/>
            </w:pPr>
            <w:r>
              <w:rPr>
                <w:sz w:val="21"/>
              </w:rPr>
              <w:t xml:space="preserve">Aprelda keskin pasayish, keyin tiklanish (17-slayd)</w:t>
            </w:r>
          </w:p>
        </w:tc>
      </w:tr>
    </w:tbl>
    <w:bookmarkEnd w:id="56"/>
    <w:bookmarkStart w:id="57" w:name="talabalarga-savollar-4"/>
    <w:p>
      <w:pPr>
        <w:pStyle w:val="Heading2"/>
      </w:pPr>
      <w:r>
        <w:t xml:space="preserve">Talabalarga savollar</w:t>
      </w:r>
    </w:p>
    <w:p>
      <w:pPr>
        <w:numPr>
          <w:ilvl w:val="0"/>
          <w:numId w:val="1019"/>
        </w:numPr>
        <w:pStyle w:val="Compact"/>
      </w:pPr>
      <w:r>
        <w:rPr>
          <w:iCs/>
          <w:i/>
        </w:rPr>
        <w:t xml:space="preserve">Nima uchun 2020-yilda volatillik yuqori bo‘lsa ham yil ijobiy yopildi?</w:t>
      </w:r>
      <w:r>
        <w:t xml:space="preserve"> </w:t>
      </w:r>
      <w:r>
        <w:t xml:space="preserve">— Martdagi keskin pasayishdan keyin markaziy bank va hukumat choralari bilan bozor tez tiklandi; yillik natija faqat boshi va oxiriga bog‘liq, oraliqdagi tebranishlarni ko‘rsatmaydi.</w:t>
      </w:r>
    </w:p>
    <w:bookmarkEnd w:id="57"/>
    <w:bookmarkEnd w:id="58"/>
    <w:bookmarkStart w:id="62" w:name="slayd-uchun-vix-qorquv-indeksi"/>
    <w:p>
      <w:pPr>
        <w:pStyle w:val="Heading1"/>
      </w:pPr>
      <w:r>
        <w:t xml:space="preserve">10-slayd uchun: VIX —</w:t>
      </w:r>
      <w:r>
        <w:t xml:space="preserve"> </w:t>
      </w:r>
      <w:r>
        <w:t xml:space="preserve">“</w:t>
      </w:r>
      <w:r>
        <w:t xml:space="preserve">qo‘rquv indeksi</w:t>
      </w:r>
      <w:r>
        <w:t xml:space="preserve">”</w:t>
      </w:r>
    </w:p>
    <w:p>
      <w:pPr>
        <w:pStyle w:val="FirstParagraph"/>
      </w:pPr>
      <w:r>
        <w:rPr>
          <w:bCs/>
          <w:b/>
        </w:rPr>
        <w:t xml:space="preserve">Slayd maqsadi:</w:t>
      </w:r>
      <w:r>
        <w:t xml:space="preserve"> </w:t>
      </w:r>
      <w:r>
        <w:t xml:space="preserve">bozor kutayotgan riskni o‘lchovchi indeks bilan tanishtirish.</w:t>
      </w:r>
      <w:r>
        <w:t xml:space="preserve"> </w:t>
      </w:r>
      <w:r>
        <w:rPr>
          <w:bCs/>
          <w:b/>
        </w:rPr>
        <w:t xml:space="preserve">Vaqt:</w:t>
      </w:r>
      <w:r>
        <w:t xml:space="preserve"> </w:t>
      </w:r>
      <w:r>
        <w:t xml:space="preserve">3 daqiqa.</w:t>
      </w:r>
    </w:p>
    <w:bookmarkStart w:id="59" w:name="nutq-9"/>
    <w:p>
      <w:pPr>
        <w:pStyle w:val="Heading2"/>
      </w:pPr>
      <w:r>
        <w:t xml:space="preserve">Nutq</w:t>
      </w:r>
    </w:p>
    <w:p>
      <w:pPr>
        <w:pStyle w:val="FirstParagraph"/>
      </w:pPr>
      <w:r>
        <w:t xml:space="preserve">“</w:t>
      </w:r>
      <w:r>
        <w:t xml:space="preserve">Volatillikni ikki xil o‘lchash mumkin: o‘tmish bo‘yicha — buni 9-slaydda ko‘rdik, va kelajak bo‘yicha — investorlar keyingi oyda qanday tebranish kutayotganini. Ikkinchisini VIX indeksi ko‘rsatadi. Uni Chikago opsion birjasi S&amp;P 500 opsionlari narxlari asosida hisoblaydi. Uni ko‘pincha “qo‘rquv indeksi</w:t>
      </w:r>
      <w:r>
        <w:t xml:space="preserve">”</w:t>
      </w:r>
      <w:r>
        <w:t xml:space="preserve"> </w:t>
      </w:r>
      <w:r>
        <w:t xml:space="preserve">deyishadi.</w:t>
      </w:r>
    </w:p>
    <w:p>
      <w:pPr>
        <w:pStyle w:val="BodyText"/>
      </w:pPr>
      <w:r>
        <w:t xml:space="preserve">Grafikda 1990-yildan beri VIXni ko‘ryapmiz. Odatda u 12–20 oralig‘ida, o‘rtacha 19,4. Lekin inqirozlarda keskin sakraydi: 2008-yil noyabrda 80,9 ga, 2020-yil 16-martda rekord 82,7 ga chiqdi. 2025-yil aprelda tariflar e’lon qilinganda 52,3 ga yetdi.</w:t>
      </w:r>
    </w:p>
    <w:p>
      <w:pPr>
        <w:pStyle w:val="BodyText"/>
      </w:pPr>
      <w:r>
        <w:t xml:space="preserve">VIX 20 degani — investorlar yillik 20% atrofida tebranish kutmoqda. VIX 82 degani — kunlik o‘rtacha 5% dan ortiq tebranish kutilmoqda. Risk menejer uchun VIX keskin oshishi — pozitsiyalarni kamaytirish, limitlarni qayta ko‘rib chiqish va hejlashni kuchaytirish signali.”</w:t>
      </w:r>
    </w:p>
    <w:bookmarkEnd w:id="59"/>
    <w:bookmarkStart w:id="60" w:name="misol-va-batafsil-yechim-6"/>
    <w:p>
      <w:pPr>
        <w:pStyle w:val="Heading2"/>
      </w:pPr>
      <w:r>
        <w:t xml:space="preserve">Misol va batafsil yechim</w:t>
      </w:r>
    </w:p>
    <w:p>
      <w:pPr>
        <w:pStyle w:val="FirstParagraph"/>
      </w:pPr>
      <w:r>
        <w:t xml:space="preserve">VIX — yillik foizda ifodalangan kutilayotgan volatillik. Uni oylik va kunlik ko‘rsatkichga o‘tkazamiz:</w:t>
      </w:r>
    </w:p>
    <w:p>
      <w:pPr>
        <w:numPr>
          <w:ilvl w:val="0"/>
          <w:numId w:val="1020"/>
        </w:numPr>
        <w:pStyle w:val="Compact"/>
      </w:pPr>
      <w:r>
        <w:t xml:space="preserve">Oylik kutilayotgan tebranish = VIX / √12; kunlik = VIX / √252.</w:t>
      </w:r>
    </w:p>
    <w:p>
      <w:pPr>
        <w:numPr>
          <w:ilvl w:val="0"/>
          <w:numId w:val="1020"/>
        </w:numPr>
        <w:pStyle w:val="Compact"/>
      </w:pPr>
      <w:r>
        <w:t xml:space="preserve">Odatiy daraja (19,4): oylik 19,4 / 3,46 =</w:t>
      </w:r>
      <w:r>
        <w:t xml:space="preserve"> </w:t>
      </w:r>
      <w:r>
        <w:rPr>
          <w:bCs/>
          <w:b/>
        </w:rPr>
        <w:t xml:space="preserve">5,6%</w:t>
      </w:r>
      <w:r>
        <w:t xml:space="preserve">; kunlik 19,4 / 15,87 =</w:t>
      </w:r>
      <w:r>
        <w:t xml:space="preserve"> </w:t>
      </w:r>
      <w:r>
        <w:rPr>
          <w:bCs/>
          <w:b/>
        </w:rPr>
        <w:t xml:space="preserve">1,2%</w:t>
      </w:r>
      <w:r>
        <w:t xml:space="preserve">.</w:t>
      </w:r>
    </w:p>
    <w:p>
      <w:pPr>
        <w:numPr>
          <w:ilvl w:val="0"/>
          <w:numId w:val="1020"/>
        </w:numPr>
        <w:pStyle w:val="Compact"/>
      </w:pPr>
      <w:r>
        <w:t xml:space="preserve">Rekord (82,69): oylik 82,69 / 3,46 =</w:t>
      </w:r>
      <w:r>
        <w:t xml:space="preserve"> </w:t>
      </w:r>
      <w:r>
        <w:rPr>
          <w:bCs/>
          <w:b/>
        </w:rPr>
        <w:t xml:space="preserve">23,9%</w:t>
      </w:r>
      <w:r>
        <w:t xml:space="preserve">; kunlik 82,69 / 15,87 =</w:t>
      </w:r>
      <w:r>
        <w:t xml:space="preserve"> </w:t>
      </w:r>
      <w:r>
        <w:rPr>
          <w:bCs/>
          <w:b/>
        </w:rPr>
        <w:t xml:space="preserve">5,2%</w:t>
      </w:r>
      <w:r>
        <w:t xml:space="preserve">.</w:t>
      </w:r>
    </w:p>
    <w:p>
      <w:pPr>
        <w:pStyle w:val="FirstParagraph"/>
      </w:pPr>
      <w:r>
        <w:t xml:space="preserve">Talqin: 2020-yil 16-martda investorlar keyingi oyda indeks ±24% atrofida o‘zgarishi mumkin deb kutgan. Haqiqatan ham, o‘sha kuni indeks 12% tushdi.</w:t>
      </w:r>
    </w:p>
    <w:bookmarkEnd w:id="60"/>
    <w:bookmarkStart w:id="61" w:name="asos-8"/>
    <w:p>
      <w:pPr>
        <w:pStyle w:val="Heading2"/>
      </w:pPr>
      <w:r>
        <w:t xml:space="preserve">Asos</w:t>
      </w:r>
    </w:p>
    <w:p>
      <w:pPr>
        <w:numPr>
          <w:ilvl w:val="0"/>
          <w:numId w:val="1021"/>
        </w:numPr>
        <w:pStyle w:val="Compact"/>
      </w:pPr>
      <w:r>
        <w:t xml:space="preserve">VIX ma’lumotlari: FRED, VIXCLS qatori (manba — Chicago Board Options Exchange).</w:t>
      </w:r>
    </w:p>
    <w:p>
      <w:pPr>
        <w:numPr>
          <w:ilvl w:val="0"/>
          <w:numId w:val="1021"/>
        </w:numPr>
        <w:pStyle w:val="Compact"/>
      </w:pPr>
      <w:r>
        <w:t xml:space="preserve">Eng yuqori yopilish qiymatlari: 82,69 (16.03.2020), 80,86 (20.11.2008) — FRED; CNBC,</w:t>
      </w:r>
      <w:r>
        <w:t xml:space="preserve"> </w:t>
      </w:r>
      <w:r>
        <w:t xml:space="preserve">“</w:t>
      </w:r>
      <w:r>
        <w:t xml:space="preserve">Wall Street’s fear gauge hits highest level ever</w:t>
      </w:r>
      <w:r>
        <w:t xml:space="preserve">”</w:t>
      </w:r>
      <w:r>
        <w:t xml:space="preserve">, 16.03.2020.</w:t>
      </w:r>
    </w:p>
    <w:p>
      <w:pPr>
        <w:numPr>
          <w:ilvl w:val="0"/>
          <w:numId w:val="1021"/>
        </w:numPr>
        <w:pStyle w:val="Compact"/>
      </w:pPr>
      <w:r>
        <w:t xml:space="preserve">1990–2026 yillardagi o‘rtacha qiymat 19,4 — FRED ma’lumotlari bo‘yicha muallif hisobi.</w:t>
      </w:r>
    </w:p>
    <w:bookmarkEnd w:id="61"/>
    <w:bookmarkEnd w:id="62"/>
    <w:bookmarkStart w:id="64" w:name="slayd-uchun-real-keyslar-kirish"/>
    <w:p>
      <w:pPr>
        <w:pStyle w:val="Heading1"/>
      </w:pPr>
      <w:r>
        <w:t xml:space="preserve">11-slayd uchun: Real keyslar — kirish</w:t>
      </w:r>
    </w:p>
    <w:p>
      <w:pPr>
        <w:pStyle w:val="FirstParagraph"/>
      </w:pPr>
      <w:r>
        <w:rPr>
          <w:bCs/>
          <w:b/>
        </w:rPr>
        <w:t xml:space="preserve">Slayd maqsadi:</w:t>
      </w:r>
      <w:r>
        <w:t xml:space="preserve"> </w:t>
      </w:r>
      <w:r>
        <w:t xml:space="preserve">keyslar bo‘limini boshlash va tahlil tuzilmasini berish.</w:t>
      </w:r>
      <w:r>
        <w:t xml:space="preserve"> </w:t>
      </w:r>
      <w:r>
        <w:rPr>
          <w:bCs/>
          <w:b/>
        </w:rPr>
        <w:t xml:space="preserve">Vaqt:</w:t>
      </w:r>
      <w:r>
        <w:t xml:space="preserve"> </w:t>
      </w:r>
      <w:r>
        <w:t xml:space="preserve">1 daqiqa.</w:t>
      </w:r>
    </w:p>
    <w:bookmarkStart w:id="63" w:name="nutq-10"/>
    <w:p>
      <w:pPr>
        <w:pStyle w:val="Heading2"/>
      </w:pPr>
      <w:r>
        <w:t xml:space="preserve">Nutq</w:t>
      </w:r>
    </w:p>
    <w:p>
      <w:pPr>
        <w:pStyle w:val="FirstParagraph"/>
      </w:pPr>
      <w:r>
        <w:t xml:space="preserve">“Endi darsning eng qiziq qismiga o‘tamiz — real voqealar. Moliya tarixida har bir inqiroz o‘ziga xos, lekin ularning sabablari ko‘pincha o‘xshash. Har bir keysni uchta savol bilan tahlil qilamiz: birinchi — nima bo‘ldi? Ikkinchi — qaysi risk amalga oshdi? Uchinchi — qanday saboq olindi?</w:t>
      </w:r>
    </w:p>
    <w:p>
      <w:pPr>
        <w:pStyle w:val="BodyText"/>
      </w:pPr>
      <w:r>
        <w:t xml:space="preserve">Biz yettita keysni ko‘ramiz: 1987-yildagi</w:t>
      </w:r>
      <w:r>
        <w:t xml:space="preserve"> </w:t>
      </w:r>
      <w:r>
        <w:t xml:space="preserve">“</w:t>
      </w:r>
      <w:r>
        <w:t xml:space="preserve">Qora dushanba</w:t>
      </w:r>
      <w:r>
        <w:t xml:space="preserve">”</w:t>
      </w:r>
      <w:r>
        <w:t xml:space="preserve">, 2008-yilgi global inqiroz, 2020-yilgi pandemiya, 2021-yildagi ikkita voqea — GameStop va Archegos, 2024–2025-yillardagi so‘nggi shoklar va O‘zbekistondan bitta keys. Har bir keys oxirida sizdan fikr so‘rayman, shuning uchun diqqat bilan kuzating.”</w:t>
      </w:r>
    </w:p>
    <w:bookmarkEnd w:id="63"/>
    <w:bookmarkEnd w:id="64"/>
    <w:bookmarkStart w:id="70" w:name="slayd-uchun-keys-1-qora-dushanba-1987"/>
    <w:p>
      <w:pPr>
        <w:pStyle w:val="Heading1"/>
      </w:pPr>
      <w:r>
        <w:t xml:space="preserve">12-slayd uchun: Keys 1 —</w:t>
      </w:r>
      <w:r>
        <w:t xml:space="preserve"> </w:t>
      </w:r>
      <w:r>
        <w:t xml:space="preserve">“</w:t>
      </w:r>
      <w:r>
        <w:t xml:space="preserve">Qora dushanba</w:t>
      </w:r>
      <w:r>
        <w:t xml:space="preserve">”</w:t>
      </w:r>
      <w:r>
        <w:t xml:space="preserve"> </w:t>
      </w:r>
      <w:r>
        <w:t xml:space="preserve">(1987)</w:t>
      </w:r>
    </w:p>
    <w:p>
      <w:pPr>
        <w:pStyle w:val="FirstParagraph"/>
      </w:pPr>
      <w:r>
        <w:rPr>
          <w:bCs/>
          <w:b/>
        </w:rPr>
        <w:t xml:space="preserve">Slayd maqsadi:</w:t>
      </w:r>
      <w:r>
        <w:t xml:space="preserve"> </w:t>
      </w:r>
      <w:r>
        <w:t xml:space="preserve">tizimli va likvidlik riskini hamda riskni boshqarish vositasining o‘zi risk manbaiga aylanishini ko‘rsatish.</w:t>
      </w:r>
      <w:r>
        <w:t xml:space="preserve"> </w:t>
      </w:r>
      <w:r>
        <w:rPr>
          <w:bCs/>
          <w:b/>
        </w:rPr>
        <w:t xml:space="preserve">Vaqt:</w:t>
      </w:r>
      <w:r>
        <w:t xml:space="preserve"> </w:t>
      </w:r>
      <w:r>
        <w:t xml:space="preserve">3 daqiqa.</w:t>
      </w:r>
    </w:p>
    <w:bookmarkStart w:id="65" w:name="nutq-11"/>
    <w:p>
      <w:pPr>
        <w:pStyle w:val="Heading2"/>
      </w:pPr>
      <w:r>
        <w:t xml:space="preserve">Nutq</w:t>
      </w:r>
    </w:p>
    <w:p>
      <w:pPr>
        <w:pStyle w:val="FirstParagraph"/>
      </w:pPr>
      <w:r>
        <w:t xml:space="preserve">“1987-yil 19-oktabr, dushanba. AQShning Dow Jones indeksi bir kunda 22,6% tushdi. Bu tarixdagi eng katta bir kunlik foizli pasayish — hatto 1929-yildagi mashhur qulashdan ham katta. Ertasi kuni pasayish dunyoga tarqaldi: Yaponiya Nikkei indeksi 14,9% tushdi.</w:t>
      </w:r>
    </w:p>
    <w:p>
      <w:pPr>
        <w:pStyle w:val="BodyText"/>
      </w:pPr>
      <w:r>
        <w:t xml:space="preserve">Nima uchun bunday bo‘ldi? O‘sha paytda yirik fondlar</w:t>
      </w:r>
      <w:r>
        <w:t xml:space="preserve"> </w:t>
      </w:r>
      <w:r>
        <w:t xml:space="preserve">“</w:t>
      </w:r>
      <w:r>
        <w:t xml:space="preserve">portfel sug‘urtasi</w:t>
      </w:r>
      <w:r>
        <w:t xml:space="preserve">”</w:t>
      </w:r>
      <w:r>
        <w:t xml:space="preserve"> </w:t>
      </w:r>
      <w:r>
        <w:t xml:space="preserve">deb atalgan strategiyadan foydalangan: narx ma’lum darajaga tushganda kompyuter dasturi avtomatik ravishda sotishni boshlagan. Bu yakka fond uchun mantiqiy himoya edi. Lekin hamma bir vaqtda shunday qilganda, sotish narxni yanada tushirdi, bu esa yangi sotishlarni keltirib chiqardi. Bozorda xaridor qolmadi. Riskni boshqarish vositasining o‘zi risk manbaiga aylandi.</w:t>
      </w:r>
    </w:p>
    <w:p>
      <w:pPr>
        <w:pStyle w:val="BodyText"/>
      </w:pPr>
      <w:r>
        <w:t xml:space="preserve">Saboq: bozorni vahimadan himoya qilish uchun</w:t>
      </w:r>
      <w:r>
        <w:t xml:space="preserve"> </w:t>
      </w:r>
      <w:r>
        <w:t xml:space="preserve">“</w:t>
      </w:r>
      <w:r>
        <w:t xml:space="preserve">circuit breaker</w:t>
      </w:r>
      <w:r>
        <w:t xml:space="preserve">”</w:t>
      </w:r>
      <w:r>
        <w:t xml:space="preserve"> </w:t>
      </w:r>
      <w:r>
        <w:t xml:space="preserve">mexanizmi joriy etildi — indeks keskin tushganda savdo vaqtincha to‘xtatiladi va investorlarga o‘ylab olish uchun vaqt beriladi.”</w:t>
      </w:r>
    </w:p>
    <w:bookmarkEnd w:id="65"/>
    <w:bookmarkStart w:id="66" w:name="misol-va-batafsil-yechim-7"/>
    <w:p>
      <w:pPr>
        <w:pStyle w:val="Heading2"/>
      </w:pPr>
      <w:r>
        <w:t xml:space="preserve">Misol va batafsil yechim</w:t>
      </w:r>
    </w:p>
    <w:p>
      <w:pPr>
        <w:numPr>
          <w:ilvl w:val="0"/>
          <w:numId w:val="1022"/>
        </w:numPr>
        <w:pStyle w:val="Compact"/>
      </w:pPr>
      <w:r>
        <w:t xml:space="preserve">22,6% pasayish: Dow Jones 19-oktabr kuni 508 punktga tushib, 1 738,74 punktda yopildi; demak oldingi kungi qiymat 1 738,74 + 508 = 2 246,74 edi. 508 / 2 246,74 =</w:t>
      </w:r>
      <w:r>
        <w:t xml:space="preserve"> </w:t>
      </w:r>
      <w:r>
        <w:rPr>
          <w:bCs/>
          <w:b/>
        </w:rPr>
        <w:t xml:space="preserve">22,6%</w:t>
      </w:r>
      <w:r>
        <w:t xml:space="preserve">.</w:t>
      </w:r>
    </w:p>
    <w:p>
      <w:pPr>
        <w:numPr>
          <w:ilvl w:val="0"/>
          <w:numId w:val="1022"/>
        </w:numPr>
        <w:pStyle w:val="Compact"/>
      </w:pPr>
      <w:r>
        <w:t xml:space="preserve">1 mln dollarlik indeks portfeli bir kunda 774 ming dollarga tushgan. Tiklanish uchun kerakli o‘sish: 1 / 0,774 − 1 =</w:t>
      </w:r>
      <w:r>
        <w:t xml:space="preserve"> </w:t>
      </w:r>
      <w:r>
        <w:rPr>
          <w:bCs/>
          <w:b/>
        </w:rPr>
        <w:t xml:space="preserve">29,2%</w:t>
      </w:r>
      <w:r>
        <w:t xml:space="preserve">.</w:t>
      </w:r>
    </w:p>
    <w:p>
      <w:pPr>
        <w:numPr>
          <w:ilvl w:val="0"/>
          <w:numId w:val="1022"/>
        </w:numPr>
        <w:pStyle w:val="Compact"/>
      </w:pPr>
      <w:r>
        <w:t xml:space="preserve">Nikkei 225: 20-oktabrda −14,9% (FRED, NIKKEI225).</w:t>
      </w:r>
    </w:p>
    <w:bookmarkEnd w:id="66"/>
    <w:bookmarkStart w:id="67" w:name="sabab-va-oqibat-1"/>
    <w:p>
      <w:pPr>
        <w:pStyle w:val="Heading2"/>
      </w:pPr>
      <w:r>
        <w:t xml:space="preserve">Sabab va oqibat</w:t>
      </w:r>
    </w:p>
    <w:p>
      <w:pPr>
        <w:pStyle w:val="FirstParagraph"/>
      </w:pPr>
      <w:r>
        <w:rPr>
          <w:bCs/>
          <w:b/>
        </w:rPr>
        <w:t xml:space="preserve">Sabablar:</w:t>
      </w:r>
    </w:p>
    <w:p>
      <w:pPr>
        <w:numPr>
          <w:ilvl w:val="0"/>
          <w:numId w:val="1023"/>
        </w:numPr>
        <w:pStyle w:val="Compact"/>
      </w:pPr>
      <w:r>
        <w:t xml:space="preserve">Bozor 1987-yil boshidan beri kuchli o‘sgan, aksiyalar qimmatlashgan edi.</w:t>
      </w:r>
    </w:p>
    <w:p>
      <w:pPr>
        <w:numPr>
          <w:ilvl w:val="0"/>
          <w:numId w:val="1023"/>
        </w:numPr>
        <w:pStyle w:val="Compact"/>
      </w:pPr>
      <w:r>
        <w:t xml:space="preserve">Foiz stavkalari va AQSh savdo kamomadi haqidagi xavotirlar kuchaygan.</w:t>
      </w:r>
    </w:p>
    <w:p>
      <w:pPr>
        <w:numPr>
          <w:ilvl w:val="0"/>
          <w:numId w:val="1023"/>
        </w:numPr>
        <w:pStyle w:val="Compact"/>
      </w:pPr>
      <w:r>
        <w:t xml:space="preserve">“</w:t>
      </w:r>
      <w:r>
        <w:t xml:space="preserve">Portfel sug‘urtasi</w:t>
      </w:r>
      <w:r>
        <w:t xml:space="preserve">”</w:t>
      </w:r>
      <w:r>
        <w:t xml:space="preserve"> </w:t>
      </w:r>
      <w:r>
        <w:t xml:space="preserve">va dasturiy savdo bir yo‘nalishdagi ommaviy sotishni yuzaga keltirgan.</w:t>
      </w:r>
    </w:p>
    <w:p>
      <w:pPr>
        <w:numPr>
          <w:ilvl w:val="0"/>
          <w:numId w:val="1023"/>
        </w:numPr>
        <w:pStyle w:val="Compact"/>
      </w:pPr>
      <w:r>
        <w:t xml:space="preserve">Buyurtmalar oqimi juda katta bo‘lgani uchun birja tizimlari va mutaxassislar uddalay olmagan — likvidlik yo‘qolgan.</w:t>
      </w:r>
    </w:p>
    <w:p>
      <w:pPr>
        <w:pStyle w:val="FirstParagraph"/>
      </w:pPr>
      <w:r>
        <w:rPr>
          <w:bCs/>
          <w:b/>
        </w:rPr>
        <w:t xml:space="preserve">Oqibatlar:</w:t>
      </w:r>
    </w:p>
    <w:p>
      <w:pPr>
        <w:numPr>
          <w:ilvl w:val="0"/>
          <w:numId w:val="1024"/>
        </w:numPr>
        <w:pStyle w:val="Compact"/>
      </w:pPr>
      <w:r>
        <w:t xml:space="preserve">Bir kunda yuzlab milliard dollar bozor qiymati yo‘qolgan; pasayish butun dunyo birjalariga tarqalgan.</w:t>
      </w:r>
    </w:p>
    <w:p>
      <w:pPr>
        <w:numPr>
          <w:ilvl w:val="0"/>
          <w:numId w:val="1024"/>
        </w:numPr>
        <w:pStyle w:val="Compact"/>
      </w:pPr>
      <w:r>
        <w:t xml:space="preserve">AQSh Federal rezerv tizimi 20-oktabr kuni bozorni likvidlik bilan ta’minlashga tayyorligini e’lon qilgan.</w:t>
      </w:r>
    </w:p>
    <w:p>
      <w:pPr>
        <w:numPr>
          <w:ilvl w:val="0"/>
          <w:numId w:val="1024"/>
        </w:numPr>
        <w:pStyle w:val="Compact"/>
      </w:pPr>
      <w:r>
        <w:t xml:space="preserve">AQSh hukumati komissiyasi (Bredi komissiyasi) voqeani tekshirib, 1988-yilda bozor mexanizmlarini isloh qilishni tavsiya qilgan.</w:t>
      </w:r>
    </w:p>
    <w:p>
      <w:pPr>
        <w:numPr>
          <w:ilvl w:val="0"/>
          <w:numId w:val="1024"/>
        </w:numPr>
        <w:pStyle w:val="Compact"/>
      </w:pPr>
      <w:r>
        <w:t xml:space="preserve">1988-yildan boshlab AQSh birjalarida savdoni vaqtincha to‘xtatish qoidalari (circuit breakers) joriy etilgan.</w:t>
      </w:r>
    </w:p>
    <w:bookmarkEnd w:id="67"/>
    <w:bookmarkStart w:id="68" w:name="asos-9"/>
    <w:p>
      <w:pPr>
        <w:pStyle w:val="Heading2"/>
      </w:pPr>
      <w:r>
        <w:t xml:space="preserve">Asos</w:t>
      </w:r>
    </w:p>
    <w:p>
      <w:pPr>
        <w:numPr>
          <w:ilvl w:val="0"/>
          <w:numId w:val="1025"/>
        </w:numPr>
        <w:pStyle w:val="Compact"/>
      </w:pPr>
      <w:r>
        <w:t xml:space="preserve">Federal Reserve History,</w:t>
      </w:r>
      <w:r>
        <w:t xml:space="preserve"> </w:t>
      </w:r>
      <w:r>
        <w:t xml:space="preserve">“</w:t>
      </w:r>
      <w:r>
        <w:t xml:space="preserve">Stock Market Crash of 1987</w:t>
      </w:r>
      <w:r>
        <w:t xml:space="preserve">”</w:t>
      </w:r>
      <w:r>
        <w:t xml:space="preserve"> </w:t>
      </w:r>
      <w:r>
        <w:t xml:space="preserve">(federalreservehistory.org) — 22,6% va 508 punkt, Federal rezerv tizimining bayonoti.</w:t>
      </w:r>
    </w:p>
    <w:p>
      <w:pPr>
        <w:numPr>
          <w:ilvl w:val="0"/>
          <w:numId w:val="1025"/>
        </w:numPr>
        <w:pStyle w:val="Compact"/>
      </w:pPr>
      <w:r>
        <w:t xml:space="preserve">Report of the Presidential Task Force on Market Mechanisms (Bredi komissiyasi hisoboti), 1988 — portfel sug‘urtasining roli va circuit breaker tavsiyasi.</w:t>
      </w:r>
    </w:p>
    <w:p>
      <w:pPr>
        <w:numPr>
          <w:ilvl w:val="0"/>
          <w:numId w:val="1025"/>
        </w:numPr>
        <w:pStyle w:val="Compact"/>
      </w:pPr>
      <w:r>
        <w:t xml:space="preserve">Nikkei 225 ma’lumoti: FRED, NIKKEI225.</w:t>
      </w:r>
    </w:p>
    <w:bookmarkEnd w:id="68"/>
    <w:bookmarkStart w:id="69" w:name="talabalarga-savollar-5"/>
    <w:p>
      <w:pPr>
        <w:pStyle w:val="Heading2"/>
      </w:pPr>
      <w:r>
        <w:t xml:space="preserve">Talabalarga savollar</w:t>
      </w:r>
    </w:p>
    <w:p>
      <w:pPr>
        <w:numPr>
          <w:ilvl w:val="0"/>
          <w:numId w:val="1026"/>
        </w:numPr>
        <w:pStyle w:val="Compact"/>
      </w:pPr>
      <w:r>
        <w:rPr>
          <w:iCs/>
          <w:i/>
        </w:rPr>
        <w:t xml:space="preserve">Agar hamma investorda bir xil avtomatik sotish qoidasi bo‘lsa, nima bo‘ladi?</w:t>
      </w:r>
      <w:r>
        <w:t xml:space="preserve"> </w:t>
      </w:r>
      <w:r>
        <w:t xml:space="preserve">— Barchasi bir vaqtda sotadi, narx yanada tushadi; individual himoya butun bozor uchun xavfga aylanadi (</w:t>
      </w:r>
      <w:r>
        <w:t xml:space="preserve">“</w:t>
      </w:r>
      <w:r>
        <w:t xml:space="preserve">olomon effekti</w:t>
      </w:r>
      <w:r>
        <w:t xml:space="preserve">”</w:t>
      </w:r>
      <w:r>
        <w:t xml:space="preserve">).</w:t>
      </w:r>
    </w:p>
    <w:bookmarkEnd w:id="69"/>
    <w:bookmarkEnd w:id="70"/>
    <w:bookmarkStart w:id="75" w:name="X2c1af5fc87f40adf4d5e6369395cf931cebc12c"/>
    <w:p>
      <w:pPr>
        <w:pStyle w:val="Heading1"/>
      </w:pPr>
      <w:r>
        <w:t xml:space="preserve">13-slayd uchun: Keys 2 — Global moliyaviy inqiroz (2007–2009)</w:t>
      </w:r>
    </w:p>
    <w:p>
      <w:pPr>
        <w:pStyle w:val="FirstParagraph"/>
      </w:pPr>
      <w:r>
        <w:rPr>
          <w:bCs/>
          <w:b/>
        </w:rPr>
        <w:t xml:space="preserve">Slayd maqsadi:</w:t>
      </w:r>
      <w:r>
        <w:t xml:space="preserve"> </w:t>
      </w:r>
      <w:r>
        <w:t xml:space="preserve">tizimli risk, leveraj va inqirozda diversifikatsiyaning kuchsizlanishini ko‘rsatish.</w:t>
      </w:r>
      <w:r>
        <w:t xml:space="preserve"> </w:t>
      </w:r>
      <w:r>
        <w:rPr>
          <w:bCs/>
          <w:b/>
        </w:rPr>
        <w:t xml:space="preserve">Vaqt:</w:t>
      </w:r>
      <w:r>
        <w:t xml:space="preserve"> </w:t>
      </w:r>
      <w:r>
        <w:t xml:space="preserve">3 daqiqa.</w:t>
      </w:r>
    </w:p>
    <w:bookmarkStart w:id="71" w:name="nutq-12"/>
    <w:p>
      <w:pPr>
        <w:pStyle w:val="Heading2"/>
      </w:pPr>
      <w:r>
        <w:t xml:space="preserve">Nutq</w:t>
      </w:r>
    </w:p>
    <w:p>
      <w:pPr>
        <w:pStyle w:val="FirstParagraph"/>
      </w:pPr>
      <w:r>
        <w:t xml:space="preserve">“2008-yilgi inqiroz fond bozoridan emas, AQSh ipoteka bozoridan boshlandi. Banklar to‘lov qobiliyati past bo‘lgan qarz oluvchilarga ham uy-joy kreditlari berdi, keyin bu kreditlarni murakkab qimmatli qog‘ozlarga aylantirib, butun dunyoga sotdi. Uy narxlari tushishni boshlaganda, bu qog‘ozlar qadrsizlandi va ularni ushlab turgan banklar katta zarar ko‘rdi. 2008-yil 15-sentabrda AQShning to‘rtinchi yirik investitsiya banki Lehman Brothers bankrot bo‘ldi. Vahima butun dunyoga tarqaldi.</w:t>
      </w:r>
    </w:p>
    <w:p>
      <w:pPr>
        <w:pStyle w:val="BodyText"/>
      </w:pPr>
      <w:r>
        <w:t xml:space="preserve">Natijada S&amp;P 500 indeksi 2007-yil oktabrdan 2009-yil martgacha 57% tushdi, VIX 80,9 ga chiqdi.</w:t>
      </w:r>
    </w:p>
    <w:p>
      <w:pPr>
        <w:pStyle w:val="BodyText"/>
      </w:pPr>
      <w:r>
        <w:t xml:space="preserve">Bu keysning eng muhim saboqi: oddiy davrda turli aksiyalar har xil harakat qiladi va diversifikatsiya yaxshi ishlaydi. Inqirozda esa hamma bir vaqtda sotadi, aksiyalar orasidagi bog‘liqlik keskin oshadi va diversifikatsiyaning himoyasi kamayadi. Shuning uchun risk menejerlar faqat VaR bilan cheklanmay, stress-test ham o‘tkazadi:</w:t>
      </w:r>
      <w:r>
        <w:t xml:space="preserve"> </w:t>
      </w:r>
      <w:r>
        <w:t xml:space="preserve">‘</w:t>
      </w:r>
      <w:r>
        <w:t xml:space="preserve">Agar 2008-yil takrorlansa, qancha yo‘qotamiz?</w:t>
      </w:r>
      <w:r>
        <w:t xml:space="preserve">’</w:t>
      </w:r>
      <w:r>
        <w:t xml:space="preserve">”</w:t>
      </w:r>
    </w:p>
    <w:bookmarkEnd w:id="71"/>
    <w:bookmarkStart w:id="72" w:name="misol-va-batafsil-yechim-8"/>
    <w:p>
      <w:pPr>
        <w:pStyle w:val="Heading2"/>
      </w:pPr>
      <w:r>
        <w:t xml:space="preserve">Misol va batafsil yechim</w:t>
      </w:r>
    </w:p>
    <w:p>
      <w:pPr>
        <w:numPr>
          <w:ilvl w:val="0"/>
          <w:numId w:val="1027"/>
        </w:numPr>
        <w:pStyle w:val="Compact"/>
      </w:pPr>
      <w:r>
        <w:t xml:space="preserve">Pasayish: 676,53 / 1 565,15 − 1 =</w:t>
      </w:r>
      <w:r>
        <w:t xml:space="preserve"> </w:t>
      </w:r>
      <w:r>
        <w:rPr>
          <w:bCs/>
          <w:b/>
        </w:rPr>
        <w:t xml:space="preserve">−56,8%</w:t>
      </w:r>
      <w:r>
        <w:t xml:space="preserve"> </w:t>
      </w:r>
      <w:r>
        <w:t xml:space="preserve">(≈ −57%).</w:t>
      </w:r>
    </w:p>
    <w:p>
      <w:pPr>
        <w:numPr>
          <w:ilvl w:val="0"/>
          <w:numId w:val="1027"/>
        </w:numPr>
        <w:pStyle w:val="Compact"/>
      </w:pPr>
      <w:r>
        <w:t xml:space="preserve">Tiklanish uchun kerakli o‘sish: 1 / 0,432 − 1 =</w:t>
      </w:r>
      <w:r>
        <w:t xml:space="preserve"> </w:t>
      </w:r>
      <w:r>
        <w:rPr>
          <w:bCs/>
          <w:b/>
        </w:rPr>
        <w:t xml:space="preserve">+131%</w:t>
      </w:r>
      <w:r>
        <w:t xml:space="preserve">. Indeks 2007-yilgi cho‘qqisiga taxminan 5,5 yildan keyin (2013-yil mart) qaytgan.</w:t>
      </w:r>
    </w:p>
    <w:p>
      <w:pPr>
        <w:numPr>
          <w:ilvl w:val="0"/>
          <w:numId w:val="1027"/>
        </w:numPr>
        <w:pStyle w:val="Compact"/>
      </w:pPr>
      <w:r>
        <w:t xml:space="preserve">100 mln so‘mlik portfel: tubda 43,2 mln so‘m qolgan.</w:t>
      </w:r>
    </w:p>
    <w:bookmarkEnd w:id="72"/>
    <w:bookmarkStart w:id="73" w:name="sabab-va-oqibat-2"/>
    <w:p>
      <w:pPr>
        <w:pStyle w:val="Heading2"/>
      </w:pPr>
      <w:r>
        <w:t xml:space="preserve">Sabab va oqibat</w:t>
      </w:r>
    </w:p>
    <w:p>
      <w:pPr>
        <w:pStyle w:val="FirstParagraph"/>
      </w:pPr>
      <w:r>
        <w:rPr>
          <w:bCs/>
          <w:b/>
        </w:rPr>
        <w:t xml:space="preserve">Sabablar:</w:t>
      </w:r>
    </w:p>
    <w:p>
      <w:pPr>
        <w:numPr>
          <w:ilvl w:val="0"/>
          <w:numId w:val="1028"/>
        </w:numPr>
        <w:pStyle w:val="Compact"/>
      </w:pPr>
      <w:r>
        <w:t xml:space="preserve">Past foiz stavkalari va uy-joy narxlarining uzoq o‘sishi ipoteka kreditlarining keskin ko‘payishiga olib keldi.</w:t>
      </w:r>
    </w:p>
    <w:p>
      <w:pPr>
        <w:numPr>
          <w:ilvl w:val="0"/>
          <w:numId w:val="1028"/>
        </w:numPr>
        <w:pStyle w:val="Compact"/>
      </w:pPr>
      <w:r>
        <w:t xml:space="preserve">Past sifatli (subprime) ipoteka kreditlari qayta qadoqlanib, murakkab qimmatli qog‘ozlar sifatida sotildi; ularning riski noto‘g‘ri baholandi.</w:t>
      </w:r>
    </w:p>
    <w:p>
      <w:pPr>
        <w:numPr>
          <w:ilvl w:val="0"/>
          <w:numId w:val="1028"/>
        </w:numPr>
        <w:pStyle w:val="Compact"/>
      </w:pPr>
      <w:r>
        <w:t xml:space="preserve">Banklar va investitsiya banklari juda yuqori leveraj (qarz) bilan ishladi.</w:t>
      </w:r>
    </w:p>
    <w:p>
      <w:pPr>
        <w:numPr>
          <w:ilvl w:val="0"/>
          <w:numId w:val="1028"/>
        </w:numPr>
        <w:pStyle w:val="Compact"/>
      </w:pPr>
      <w:r>
        <w:t xml:space="preserve">Uy-joy narxlari tushgach, kreditlar to‘lanmay qoldi, bu qog‘ozlar qadrsizlandi.</w:t>
      </w:r>
    </w:p>
    <w:p>
      <w:pPr>
        <w:pStyle w:val="FirstParagraph"/>
      </w:pPr>
      <w:r>
        <w:rPr>
          <w:bCs/>
          <w:b/>
        </w:rPr>
        <w:t xml:space="preserve">Oqibatlar:</w:t>
      </w:r>
    </w:p>
    <w:p>
      <w:pPr>
        <w:numPr>
          <w:ilvl w:val="0"/>
          <w:numId w:val="1029"/>
        </w:numPr>
        <w:pStyle w:val="Compact"/>
      </w:pPr>
      <w:r>
        <w:t xml:space="preserve">Lehman Brothers bankrot bo‘ldi; boshqa yirik moliya institutlarini davlat qutqardi.</w:t>
      </w:r>
    </w:p>
    <w:p>
      <w:pPr>
        <w:numPr>
          <w:ilvl w:val="0"/>
          <w:numId w:val="1029"/>
        </w:numPr>
        <w:pStyle w:val="Compact"/>
      </w:pPr>
      <w:r>
        <w:t xml:space="preserve">Global fond bozorlari qulab tushdi, jahon iqtisodiyoti 2009-yilda retsessiyaga uchradi.</w:t>
      </w:r>
    </w:p>
    <w:p>
      <w:pPr>
        <w:numPr>
          <w:ilvl w:val="0"/>
          <w:numId w:val="1029"/>
        </w:numPr>
        <w:pStyle w:val="Compact"/>
      </w:pPr>
      <w:r>
        <w:t xml:space="preserve">Markaziy banklar stavkalarni nolga yaqin tushirib, bozorga ulkan likvidlik berdi.</w:t>
      </w:r>
    </w:p>
    <w:p>
      <w:pPr>
        <w:numPr>
          <w:ilvl w:val="0"/>
          <w:numId w:val="1029"/>
        </w:numPr>
        <w:pStyle w:val="Compact"/>
      </w:pPr>
      <w:r>
        <w:t xml:space="preserve">Bank regulyatsiyasi kuchaytirildi: Bazel III standartlari (2010), muntazam stress-testlar joriy etildi.</w:t>
      </w:r>
    </w:p>
    <w:bookmarkEnd w:id="73"/>
    <w:bookmarkStart w:id="74" w:name="asos-10"/>
    <w:p>
      <w:pPr>
        <w:pStyle w:val="Heading2"/>
      </w:pPr>
      <w:r>
        <w:t xml:space="preserve">Asos</w:t>
      </w:r>
    </w:p>
    <w:p>
      <w:pPr>
        <w:numPr>
          <w:ilvl w:val="0"/>
          <w:numId w:val="1030"/>
        </w:numPr>
        <w:pStyle w:val="Compact"/>
      </w:pPr>
      <w:r>
        <w:t xml:space="preserve">S&amp;P 500 qiymatlari: S&amp;P Dow Jones Indices (2007-yil 9-oktabr — 1 565,15; 2009-yil 9-mart — 676,53).</w:t>
      </w:r>
    </w:p>
    <w:p>
      <w:pPr>
        <w:numPr>
          <w:ilvl w:val="0"/>
          <w:numId w:val="1030"/>
        </w:numPr>
        <w:pStyle w:val="Compact"/>
      </w:pPr>
      <w:r>
        <w:t xml:space="preserve">VIX 80,86 (20.11.2008): FRED, VIXCLS.</w:t>
      </w:r>
    </w:p>
    <w:p>
      <w:pPr>
        <w:numPr>
          <w:ilvl w:val="0"/>
          <w:numId w:val="1030"/>
        </w:numPr>
        <w:pStyle w:val="Compact"/>
      </w:pPr>
      <w:r>
        <w:t xml:space="preserve">Lehman Brothers bankrotligi (15.09.2008): AQSh bankrotlik sudi hujjatlari; Federal Reserve History,</w:t>
      </w:r>
      <w:r>
        <w:t xml:space="preserve"> </w:t>
      </w:r>
      <w:r>
        <w:t xml:space="preserve">“</w:t>
      </w:r>
      <w:r>
        <w:t xml:space="preserve">The Great Recession and Its Aftermath</w:t>
      </w:r>
      <w:r>
        <w:t xml:space="preserve">”</w:t>
      </w:r>
      <w:r>
        <w:t xml:space="preserve">.</w:t>
      </w:r>
    </w:p>
    <w:p>
      <w:pPr>
        <w:numPr>
          <w:ilvl w:val="0"/>
          <w:numId w:val="1030"/>
        </w:numPr>
        <w:pStyle w:val="Compact"/>
      </w:pPr>
      <w:r>
        <w:t xml:space="preserve">Inqirozda korrelyatsiyaning oshishi: F. Longin, B. Solnik,</w:t>
      </w:r>
      <w:r>
        <w:t xml:space="preserve"> </w:t>
      </w:r>
      <w:r>
        <w:t xml:space="preserve">“</w:t>
      </w:r>
      <w:r>
        <w:t xml:space="preserve">Extreme Correlation of International Equity Markets</w:t>
      </w:r>
      <w:r>
        <w:t xml:space="preserve">”</w:t>
      </w:r>
      <w:r>
        <w:t xml:space="preserve">, The Journal of Finance, 2001.</w:t>
      </w:r>
    </w:p>
    <w:p>
      <w:pPr>
        <w:numPr>
          <w:ilvl w:val="0"/>
          <w:numId w:val="1030"/>
        </w:numPr>
        <w:pStyle w:val="Compact"/>
      </w:pPr>
      <w:r>
        <w:t xml:space="preserve">Bazel III: Basel Committee on Banking Supervision, 2010.</w:t>
      </w:r>
    </w:p>
    <w:bookmarkEnd w:id="74"/>
    <w:bookmarkEnd w:id="75"/>
    <w:bookmarkStart w:id="80" w:name="slayd-uchun-keys-3-pandemiya-2020"/>
    <w:p>
      <w:pPr>
        <w:pStyle w:val="Heading1"/>
      </w:pPr>
      <w:r>
        <w:t xml:space="preserve">14-slayd uchun: Keys 3 — Pandemiya (2020)</w:t>
      </w:r>
    </w:p>
    <w:p>
      <w:pPr>
        <w:pStyle w:val="FirstParagraph"/>
      </w:pPr>
      <w:r>
        <w:rPr>
          <w:bCs/>
          <w:b/>
        </w:rPr>
        <w:t xml:space="preserve">Slayd maqsadi:</w:t>
      </w:r>
      <w:r>
        <w:t xml:space="preserve"> </w:t>
      </w:r>
      <w:r>
        <w:t xml:space="preserve">haqiqiy grafik asosida tez qulash va tez tiklanishni, circuit breaker ishlashini ko‘rsatish.</w:t>
      </w:r>
      <w:r>
        <w:t xml:space="preserve"> </w:t>
      </w:r>
      <w:r>
        <w:rPr>
          <w:bCs/>
          <w:b/>
        </w:rPr>
        <w:t xml:space="preserve">Vaqt:</w:t>
      </w:r>
      <w:r>
        <w:t xml:space="preserve"> </w:t>
      </w:r>
      <w:r>
        <w:t xml:space="preserve">4 daqiqa.</w:t>
      </w:r>
    </w:p>
    <w:bookmarkStart w:id="76" w:name="nutq-13"/>
    <w:p>
      <w:pPr>
        <w:pStyle w:val="Heading2"/>
      </w:pPr>
      <w:r>
        <w:t xml:space="preserve">Nutq</w:t>
      </w:r>
    </w:p>
    <w:p>
      <w:pPr>
        <w:pStyle w:val="FirstParagraph"/>
      </w:pPr>
      <w:r>
        <w:t xml:space="preserve">“Grafikda S&amp;P 500 indeksining 2020-yil yanvar–avgust oylaridagi haqiqiy harakati. 19-fevralda indeks rekord darajada — 3 386 punktda edi. Keyin pandemiya Yevropa va AQShga yetib keldi, mamlakatlar karantin e’lon qildi, iqtisodiyot to‘xtadi. 23 savdo kunida indeks 2 237 punktga tushdi — minus 33,9%. Bu tarixdagi eng tez qulashlardan biri.</w:t>
      </w:r>
    </w:p>
    <w:p>
      <w:pPr>
        <w:pStyle w:val="BodyText"/>
      </w:pPr>
      <w:r>
        <w:t xml:space="preserve">To‘q sariq nuqtalarga e’tibor bering — bu savdo to‘xtatilgan kunlar. Mart oyida indeks 7% ga tushgani uchun savdo to‘rt marta 15 daqiqaga to‘xtatildi. Bu 1987-yilgi saboqning amaliy natijasi.</w:t>
      </w:r>
    </w:p>
    <w:p>
      <w:pPr>
        <w:pStyle w:val="BodyText"/>
      </w:pPr>
      <w:r>
        <w:t xml:space="preserve">Eng qiziq tomoni — tiklanish. 23-martda AQSh Federal rezerv tizimi cheksiz miqdorda aktiv sotib olishini e’lon qildi, hukumat 2,2 trillion dollarlik yordam paketini qabul qildi. Indeks o‘sha kunning o‘zida tubga yetdi va avgust oyida avvalgi cho‘qqisiga qaytdi. Martda vahimada sotgan investor zararni amalga oshirib, keyingi tiklanishni o‘tkazib yubordi.”</w:t>
      </w:r>
    </w:p>
    <w:bookmarkEnd w:id="76"/>
    <w:bookmarkStart w:id="77" w:name="misol-va-batafsil-yechim-9"/>
    <w:p>
      <w:pPr>
        <w:pStyle w:val="Heading2"/>
      </w:pPr>
      <w:r>
        <w:t xml:space="preserve">Misol va batafsil yechim</w:t>
      </w:r>
    </w:p>
    <w:p>
      <w:pPr>
        <w:numPr>
          <w:ilvl w:val="0"/>
          <w:numId w:val="1031"/>
        </w:numPr>
        <w:pStyle w:val="Compact"/>
      </w:pPr>
      <w:r>
        <w:t xml:space="preserve">Pasayish: 2 237,40 / 3 386,15 − 1 =</w:t>
      </w:r>
      <w:r>
        <w:t xml:space="preserve"> </w:t>
      </w:r>
      <w:r>
        <w:rPr>
          <w:bCs/>
          <w:b/>
        </w:rPr>
        <w:t xml:space="preserve">−33,9%</w:t>
      </w:r>
      <w:r>
        <w:t xml:space="preserve">.</w:t>
      </w:r>
    </w:p>
    <w:p>
      <w:pPr>
        <w:numPr>
          <w:ilvl w:val="0"/>
          <w:numId w:val="1031"/>
        </w:numPr>
        <w:pStyle w:val="Compact"/>
      </w:pPr>
      <w:r>
        <w:t xml:space="preserve">Tiklanish uchun kerakli o‘sish: 3 386,15 / 2 237,40 − 1 =</w:t>
      </w:r>
      <w:r>
        <w:t xml:space="preserve"> </w:t>
      </w:r>
      <w:r>
        <w:rPr>
          <w:bCs/>
          <w:b/>
        </w:rPr>
        <w:t xml:space="preserve">+51,3%</w:t>
      </w:r>
      <w:r>
        <w:t xml:space="preserve">. Haqiqatda 18-avgustgacha indeks 3 389,78 ga, ya’ni tubdan +51,5% ga ko‘tarildi.</w:t>
      </w:r>
    </w:p>
    <w:p>
      <w:pPr>
        <w:numPr>
          <w:ilvl w:val="0"/>
          <w:numId w:val="1031"/>
        </w:numPr>
        <w:pStyle w:val="Compact"/>
      </w:pPr>
      <w:r>
        <w:t xml:space="preserve">Tiklanish vaqti: 23-martdan 18-avgustgacha — taxminan 5 oy.</w:t>
      </w:r>
    </w:p>
    <w:p>
      <w:pPr>
        <w:numPr>
          <w:ilvl w:val="0"/>
          <w:numId w:val="1031"/>
        </w:numPr>
        <w:pStyle w:val="Compact"/>
      </w:pPr>
      <w:r>
        <w:t xml:space="preserve">Ikki investorni taqqoslash (har birida 100 mln so‘m, 19-fevralda investitsiya qilgan):</w:t>
      </w:r>
    </w:p>
    <w:p>
      <w:pPr>
        <w:numPr>
          <w:ilvl w:val="1"/>
          <w:numId w:val="1032"/>
        </w:numPr>
        <w:pStyle w:val="Compact"/>
      </w:pPr>
      <w:r>
        <w:rPr>
          <w:iCs/>
          <w:i/>
        </w:rPr>
        <w:t xml:space="preserve">Vahimada sotgan</w:t>
      </w:r>
      <w:r>
        <w:t xml:space="preserve"> </w:t>
      </w:r>
      <w:r>
        <w:t xml:space="preserve">(23-martda): 66,1 mln so‘m bilan qoldi, zarar 33,9 mln so‘m qayd etildi.</w:t>
      </w:r>
    </w:p>
    <w:p>
      <w:pPr>
        <w:numPr>
          <w:ilvl w:val="1"/>
          <w:numId w:val="1032"/>
        </w:numPr>
        <w:pStyle w:val="Compact"/>
      </w:pPr>
      <w:r>
        <w:rPr>
          <w:iCs/>
          <w:i/>
        </w:rPr>
        <w:t xml:space="preserve">Kutgan</w:t>
      </w:r>
      <w:r>
        <w:t xml:space="preserve"> </w:t>
      </w:r>
      <w:r>
        <w:t xml:space="preserve">(18-avgustgacha): ≈100,1 mln so‘m — zarar to‘liq qoplandi.</w:t>
      </w:r>
    </w:p>
    <w:p>
      <w:pPr>
        <w:numPr>
          <w:ilvl w:val="0"/>
          <w:numId w:val="1031"/>
        </w:numPr>
        <w:pStyle w:val="Compact"/>
      </w:pPr>
      <w:r>
        <w:t xml:space="preserve">Eng keskin kunlar: 16-mart −11,98%, 24-mart +9,38%.</w:t>
      </w:r>
    </w:p>
    <w:bookmarkEnd w:id="77"/>
    <w:bookmarkStart w:id="78" w:name="sabab-va-oqibat-3"/>
    <w:p>
      <w:pPr>
        <w:pStyle w:val="Heading2"/>
      </w:pPr>
      <w:r>
        <w:t xml:space="preserve">Sabab va oqibat</w:t>
      </w:r>
    </w:p>
    <w:p>
      <w:pPr>
        <w:pStyle w:val="FirstParagraph"/>
      </w:pPr>
      <w:r>
        <w:rPr>
          <w:bCs/>
          <w:b/>
        </w:rPr>
        <w:t xml:space="preserve">Sabablar:</w:t>
      </w:r>
    </w:p>
    <w:p>
      <w:pPr>
        <w:numPr>
          <w:ilvl w:val="0"/>
          <w:numId w:val="1033"/>
        </w:numPr>
        <w:pStyle w:val="Compact"/>
      </w:pPr>
      <w:r>
        <w:t xml:space="preserve">COVID-19 pandemiyasi va karantin choralari iqtisodiy faoliyatni to‘xtatdi.</w:t>
      </w:r>
    </w:p>
    <w:p>
      <w:pPr>
        <w:numPr>
          <w:ilvl w:val="0"/>
          <w:numId w:val="1033"/>
        </w:numPr>
        <w:pStyle w:val="Compact"/>
      </w:pPr>
      <w:r>
        <w:t xml:space="preserve">Kompaniyalar daromadlari bo‘yicha noaniqlik keskin oshdi.</w:t>
      </w:r>
    </w:p>
    <w:p>
      <w:pPr>
        <w:numPr>
          <w:ilvl w:val="0"/>
          <w:numId w:val="1033"/>
        </w:numPr>
        <w:pStyle w:val="Compact"/>
      </w:pPr>
      <w:r>
        <w:t xml:space="preserve">Neft narxining qulashi (mart boshida) qo‘shimcha shok bo‘ldi.</w:t>
      </w:r>
    </w:p>
    <w:p>
      <w:pPr>
        <w:numPr>
          <w:ilvl w:val="0"/>
          <w:numId w:val="1033"/>
        </w:numPr>
        <w:pStyle w:val="Compact"/>
      </w:pPr>
      <w:r>
        <w:t xml:space="preserve">Investorlar xavfsiz aktivlar va naqd pulga intilib, ommaviy sotishni boshladi.</w:t>
      </w:r>
    </w:p>
    <w:p>
      <w:pPr>
        <w:pStyle w:val="FirstParagraph"/>
      </w:pPr>
      <w:r>
        <w:rPr>
          <w:bCs/>
          <w:b/>
        </w:rPr>
        <w:t xml:space="preserve">Oqibatlar:</w:t>
      </w:r>
    </w:p>
    <w:p>
      <w:pPr>
        <w:numPr>
          <w:ilvl w:val="0"/>
          <w:numId w:val="1034"/>
        </w:numPr>
        <w:pStyle w:val="Compact"/>
      </w:pPr>
      <w:r>
        <w:t xml:space="preserve">23 kunda −33,9%; mart oyida savdo to‘rt marta to‘xtatildi, VIX rekord 82,69 ga chiqdi.</w:t>
      </w:r>
    </w:p>
    <w:p>
      <w:pPr>
        <w:numPr>
          <w:ilvl w:val="0"/>
          <w:numId w:val="1034"/>
        </w:numPr>
        <w:pStyle w:val="Compact"/>
      </w:pPr>
      <w:r>
        <w:t xml:space="preserve">Federal rezerv stavkani 15-martda 0–0,25% ga tushirdi, 23-martda cheklanmagan aktiv xaridini e’lon qildi.</w:t>
      </w:r>
    </w:p>
    <w:p>
      <w:pPr>
        <w:numPr>
          <w:ilvl w:val="0"/>
          <w:numId w:val="1034"/>
        </w:numPr>
        <w:pStyle w:val="Compact"/>
      </w:pPr>
      <w:r>
        <w:t xml:space="preserve">AQShda 27-martda 2,2 trillion dollarlik CARES Act yordam qonuni qabul qilindi.</w:t>
      </w:r>
    </w:p>
    <w:p>
      <w:pPr>
        <w:numPr>
          <w:ilvl w:val="0"/>
          <w:numId w:val="1034"/>
        </w:numPr>
        <w:pStyle w:val="Compact"/>
      </w:pPr>
      <w:r>
        <w:t xml:space="preserve">Bozor avgust oyida tiklandi; texnologiya kompaniyalari eng ko‘p foyda ko‘rdi.</w:t>
      </w:r>
    </w:p>
    <w:bookmarkEnd w:id="78"/>
    <w:bookmarkStart w:id="79" w:name="asos-11"/>
    <w:p>
      <w:pPr>
        <w:pStyle w:val="Heading2"/>
      </w:pPr>
      <w:r>
        <w:t xml:space="preserve">Asos</w:t>
      </w:r>
    </w:p>
    <w:p>
      <w:pPr>
        <w:numPr>
          <w:ilvl w:val="0"/>
          <w:numId w:val="1035"/>
        </w:numPr>
        <w:pStyle w:val="Compact"/>
      </w:pPr>
      <w:r>
        <w:t xml:space="preserve">Indeks qiymatlari va kunlik o‘zgarishlar: FRED, SP500 (muallif hisob-kitobi).</w:t>
      </w:r>
    </w:p>
    <w:p>
      <w:pPr>
        <w:numPr>
          <w:ilvl w:val="0"/>
          <w:numId w:val="1035"/>
        </w:numPr>
        <w:pStyle w:val="Compact"/>
      </w:pPr>
      <w:r>
        <w:t xml:space="preserve">Circuit breaker qoidalari (7% — 1-daraja, 15 daqiqa to‘xtatish; 13% — 2-daraja; 20% — kun oxirigacha): AQSh birjalarining SEC tomonidan tasdiqlangan qoidalari (2012); 2020-yil 9, 12, 16 va 18-martda 1-daraja ishga tushgan (CNN, CNBC xabarlari, mart 2020).</w:t>
      </w:r>
    </w:p>
    <w:p>
      <w:pPr>
        <w:numPr>
          <w:ilvl w:val="0"/>
          <w:numId w:val="1035"/>
        </w:numPr>
        <w:pStyle w:val="Compact"/>
      </w:pPr>
      <w:r>
        <w:t xml:space="preserve">Federal rezerv qarorlari: Federal Reserve press-relizlari, 15.03.2020 va 23.03.2020.</w:t>
      </w:r>
    </w:p>
    <w:p>
      <w:pPr>
        <w:numPr>
          <w:ilvl w:val="0"/>
          <w:numId w:val="1035"/>
        </w:numPr>
        <w:pStyle w:val="Compact"/>
      </w:pPr>
      <w:r>
        <w:t xml:space="preserve">CARES Act: AQSh Kongressi, 2020-yil 27-mart.</w:t>
      </w:r>
    </w:p>
    <w:bookmarkEnd w:id="79"/>
    <w:bookmarkEnd w:id="80"/>
    <w:bookmarkStart w:id="85" w:name="X01514bfb7773416062c60223ab949adf4890100"/>
    <w:p>
      <w:pPr>
        <w:pStyle w:val="Heading1"/>
      </w:pPr>
      <w:r>
        <w:t xml:space="preserve">15-slayd uchun: Keys 4 — GameStop va Melvin Capital (2021)</w:t>
      </w:r>
    </w:p>
    <w:p>
      <w:pPr>
        <w:pStyle w:val="FirstParagraph"/>
      </w:pPr>
      <w:r>
        <w:rPr>
          <w:bCs/>
          <w:b/>
        </w:rPr>
        <w:t xml:space="preserve">Slayd maqsadi:</w:t>
      </w:r>
      <w:r>
        <w:t xml:space="preserve"> </w:t>
      </w:r>
      <w:r>
        <w:t xml:space="preserve">qisqa pozitsiya riski, konsentratsiya va ijtimoiy tarmoqlar ta’sirini ko‘rsatish.</w:t>
      </w:r>
      <w:r>
        <w:t xml:space="preserve"> </w:t>
      </w:r>
      <w:r>
        <w:rPr>
          <w:bCs/>
          <w:b/>
        </w:rPr>
        <w:t xml:space="preserve">Vaqt:</w:t>
      </w:r>
      <w:r>
        <w:t xml:space="preserve"> </w:t>
      </w:r>
      <w:r>
        <w:t xml:space="preserve">3 daqiqa.</w:t>
      </w:r>
    </w:p>
    <w:bookmarkStart w:id="81" w:name="nutq-14"/>
    <w:p>
      <w:pPr>
        <w:pStyle w:val="Heading2"/>
      </w:pPr>
      <w:r>
        <w:t xml:space="preserve">Nutq</w:t>
      </w:r>
    </w:p>
    <w:p>
      <w:pPr>
        <w:pStyle w:val="FirstParagraph"/>
      </w:pPr>
      <w:r>
        <w:t xml:space="preserve">“</w:t>
      </w:r>
      <w:r>
        <w:t xml:space="preserve">GameStop — videoo‘yinlar sotadigan AQSh kompaniyasi. Uning ishi yomonlashayotgan edi va ko‘plab fondlar uning aksiyalari tushishiga tikgan. Bunday bitim “qisqa pozitsiya</w:t>
      </w:r>
      <w:r>
        <w:t xml:space="preserve">”</w:t>
      </w:r>
      <w:r>
        <w:t xml:space="preserve"> </w:t>
      </w:r>
      <w:r>
        <w:t xml:space="preserve">deyiladi: fond aksiyani qarzga olib sotadi, narx tushganda arzonroq sotib olib qaytaradi va farqni foyda qiladi. Melvin Capital fondi shunday katta qisqa pozitsiyaga ega edi.</w:t>
      </w:r>
    </w:p>
    <w:p>
      <w:pPr>
        <w:pStyle w:val="BodyText"/>
      </w:pPr>
      <w:r>
        <w:t xml:space="preserve">2021-yil yanvarida Reddit ijtimoiy tarmog‘idagi forumda birlashgan minglab xususiy investorlar GameStop aksiyalarini ommaviy sotib ola boshladi. Narx ko‘tarila boshladi. Qisqa pozitsiya egalari zararni to‘xtatish uchun aksiyani sotib olishga majbur bo‘ldi — bu narxni yanada ko‘tardi. Bu hodisa</w:t>
      </w:r>
      <w:r>
        <w:t xml:space="preserve"> </w:t>
      </w:r>
      <w:r>
        <w:t xml:space="preserve">“</w:t>
      </w:r>
      <w:r>
        <w:t xml:space="preserve">short squeeze</w:t>
      </w:r>
      <w:r>
        <w:t xml:space="preserve">”</w:t>
      </w:r>
      <w:r>
        <w:t xml:space="preserve"> </w:t>
      </w:r>
      <w:r>
        <w:t xml:space="preserve">deyiladi. Bir oyda aksiya 18,84 dollardan 347,51 dollargacha — 18 barobar ko‘tarildi.</w:t>
      </w:r>
    </w:p>
    <w:p>
      <w:pPr>
        <w:pStyle w:val="BodyText"/>
      </w:pPr>
      <w:r>
        <w:t xml:space="preserve">Melvin Capital yanvarda kapitalining yarmidan ko‘pini yo‘qotdi va boshqa fondlardan 2,75 mlrd dollar yordam olishga majbur bo‘ldi.</w:t>
      </w:r>
    </w:p>
    <w:p>
      <w:pPr>
        <w:pStyle w:val="BodyText"/>
      </w:pPr>
      <w:r>
        <w:t xml:space="preserve">Saboq: aksiya sotib olganda maksimal zarar — to‘langan pul. Qisqa sotishda esa zarar cheklanmagan, chunki narx cheksiz o‘sishi mumkin. Shuning uchun qisqa pozitsiyalarga qat’iy limit va stop-loss qo‘yish shart.”</w:t>
      </w:r>
    </w:p>
    <w:bookmarkEnd w:id="81"/>
    <w:bookmarkStart w:id="82" w:name="misol-va-batafsil-yechim-10"/>
    <w:p>
      <w:pPr>
        <w:pStyle w:val="Heading2"/>
      </w:pPr>
      <w:r>
        <w:t xml:space="preserve">Misol va batafsil yechim</w:t>
      </w:r>
    </w:p>
    <w:p>
      <w:pPr>
        <w:pStyle w:val="FirstParagraph"/>
      </w:pPr>
      <w:r>
        <w:rPr>
          <w:bCs/>
          <w:b/>
        </w:rPr>
        <w:t xml:space="preserve">Uzun va qisqa pozitsiyani taqqoslash.</w:t>
      </w:r>
      <w:r>
        <w:t xml:space="preserve"> </w:t>
      </w:r>
      <w:r>
        <w:t xml:space="preserve">Har biri 1 000 dona GameStop aksiyasi, narx 18,84 $.</w:t>
      </w:r>
    </w:p>
    <w:p>
      <w:pPr>
        <w:numPr>
          <w:ilvl w:val="0"/>
          <w:numId w:val="1036"/>
        </w:numPr>
        <w:pStyle w:val="Compact"/>
      </w:pPr>
      <w:r>
        <w:rPr>
          <w:iCs/>
          <w:i/>
        </w:rPr>
        <w:t xml:space="preserve">Uzun pozitsiya (sotib olish):</w:t>
      </w:r>
      <w:r>
        <w:t xml:space="preserve"> </w:t>
      </w:r>
      <w:r>
        <w:t xml:space="preserve">investitsiya 1 000 × 18,84 = 18 840 $. Eng yomon holatda narx 0 ga tushadi — maksimal zarar</w:t>
      </w:r>
      <w:r>
        <w:t xml:space="preserve"> </w:t>
      </w:r>
      <w:r>
        <w:rPr>
          <w:bCs/>
          <w:b/>
        </w:rPr>
        <w:t xml:space="preserve">18 840 $ (100%)</w:t>
      </w:r>
      <w:r>
        <w:t xml:space="preserve">.</w:t>
      </w:r>
    </w:p>
    <w:p>
      <w:pPr>
        <w:numPr>
          <w:ilvl w:val="0"/>
          <w:numId w:val="1036"/>
        </w:numPr>
        <w:pStyle w:val="Compact"/>
      </w:pPr>
      <w:r>
        <w:rPr>
          <w:iCs/>
          <w:i/>
        </w:rPr>
        <w:t xml:space="preserve">Qisqa pozitsiya (qarzga olib sotish):</w:t>
      </w:r>
      <w:r>
        <w:t xml:space="preserve"> </w:t>
      </w:r>
      <w:r>
        <w:t xml:space="preserve">sotishdan 18 840 $ olindi. Narx 347,51 $ ga chiqdi. Aksiyani qaytarish uchun 1 000 × 347,51 = 347 510 $ to‘lash kerak. Zarar = 347 510 − 18 840 =</w:t>
      </w:r>
      <w:r>
        <w:t xml:space="preserve"> </w:t>
      </w:r>
      <w:r>
        <w:rPr>
          <w:bCs/>
          <w:b/>
        </w:rPr>
        <w:t xml:space="preserve">328 670 $</w:t>
      </w:r>
      <w:r>
        <w:t xml:space="preserve"> </w:t>
      </w:r>
      <w:r>
        <w:t xml:space="preserve">— dastlabki summadan 17,4 barobar ko‘p.</w:t>
      </w:r>
    </w:p>
    <w:p>
      <w:pPr>
        <w:numPr>
          <w:ilvl w:val="0"/>
          <w:numId w:val="1036"/>
        </w:numPr>
        <w:pStyle w:val="Compact"/>
      </w:pPr>
      <w:r>
        <w:t xml:space="preserve">O‘sish koeffitsienti: 347,51 / 18,84 =</w:t>
      </w:r>
      <w:r>
        <w:t xml:space="preserve"> </w:t>
      </w:r>
      <w:r>
        <w:rPr>
          <w:bCs/>
          <w:b/>
        </w:rPr>
        <w:t xml:space="preserve">18,4 barobar</w:t>
      </w:r>
      <w:r>
        <w:t xml:space="preserve">.</w:t>
      </w:r>
    </w:p>
    <w:bookmarkEnd w:id="82"/>
    <w:bookmarkStart w:id="83" w:name="sabab-va-oqibat-4"/>
    <w:p>
      <w:pPr>
        <w:pStyle w:val="Heading2"/>
      </w:pPr>
      <w:r>
        <w:t xml:space="preserve">Sabab va oqibat</w:t>
      </w:r>
    </w:p>
    <w:p>
      <w:pPr>
        <w:pStyle w:val="FirstParagraph"/>
      </w:pPr>
      <w:r>
        <w:rPr>
          <w:bCs/>
          <w:b/>
        </w:rPr>
        <w:t xml:space="preserve">Sabablar:</w:t>
      </w:r>
    </w:p>
    <w:p>
      <w:pPr>
        <w:numPr>
          <w:ilvl w:val="0"/>
          <w:numId w:val="1037"/>
        </w:numPr>
        <w:pStyle w:val="Compact"/>
      </w:pPr>
      <w:r>
        <w:t xml:space="preserve">Bir nechta fond bir xil aksiyada juda katta qisqa pozitsiyalar ochgan (</w:t>
      </w:r>
      <w:r>
        <w:t xml:space="preserve">“</w:t>
      </w:r>
      <w:r>
        <w:t xml:space="preserve">gavjum savdo</w:t>
      </w:r>
      <w:r>
        <w:t xml:space="preserve">”</w:t>
      </w:r>
      <w:r>
        <w:t xml:space="preserve">); qisqa sotilgan aksiyalar soni muomaladagi aksiyalar sonidan ham oshib ketgan.</w:t>
      </w:r>
    </w:p>
    <w:p>
      <w:pPr>
        <w:numPr>
          <w:ilvl w:val="0"/>
          <w:numId w:val="1037"/>
        </w:numPr>
        <w:pStyle w:val="Compact"/>
      </w:pPr>
      <w:r>
        <w:t xml:space="preserve">Ijtimoiy tarmoqda xususiy investorlar birlashib, ommaviy xarid qildi.</w:t>
      </w:r>
    </w:p>
    <w:p>
      <w:pPr>
        <w:numPr>
          <w:ilvl w:val="0"/>
          <w:numId w:val="1037"/>
        </w:numPr>
        <w:pStyle w:val="Compact"/>
      </w:pPr>
      <w:r>
        <w:t xml:space="preserve">Komissiyasiz savdo ilovalari va opsionlar orqali kichik investorlarning ta’siri kuchaydi.</w:t>
      </w:r>
    </w:p>
    <w:p>
      <w:pPr>
        <w:numPr>
          <w:ilvl w:val="0"/>
          <w:numId w:val="1037"/>
        </w:numPr>
        <w:pStyle w:val="Compact"/>
      </w:pPr>
      <w:r>
        <w:t xml:space="preserve">Narx ko‘tarilgani sari qisqa pozitsiya egalari majburan sotib oldi — o‘z-o‘zini kuchaytiruvchi jarayon.</w:t>
      </w:r>
    </w:p>
    <w:p>
      <w:pPr>
        <w:pStyle w:val="FirstParagraph"/>
      </w:pPr>
      <w:r>
        <w:rPr>
          <w:bCs/>
          <w:b/>
        </w:rPr>
        <w:t xml:space="preserve">Oqibatlar:</w:t>
      </w:r>
    </w:p>
    <w:p>
      <w:pPr>
        <w:numPr>
          <w:ilvl w:val="0"/>
          <w:numId w:val="1038"/>
        </w:numPr>
        <w:pStyle w:val="Compact"/>
      </w:pPr>
      <w:r>
        <w:t xml:space="preserve">Melvin Capital yanvarda taxminan 53% yo‘qotdi, Citadel (2 mlrd $) va Point72 (750 mln $) unga 2,75 mlrd $ kiritdi; fond 2022-yilda faoliyatini to‘xtatdi.</w:t>
      </w:r>
    </w:p>
    <w:p>
      <w:pPr>
        <w:numPr>
          <w:ilvl w:val="0"/>
          <w:numId w:val="1038"/>
        </w:numPr>
        <w:pStyle w:val="Compact"/>
      </w:pPr>
      <w:r>
        <w:t xml:space="preserve">28-yanvarda Robinhood va boshqa brokerlar bu aksiyani sotib olishni cheklab qo‘ydi, chunki kliring tashkiloti ulardan qo‘shimcha garov talab qildi.</w:t>
      </w:r>
    </w:p>
    <w:p>
      <w:pPr>
        <w:numPr>
          <w:ilvl w:val="0"/>
          <w:numId w:val="1038"/>
        </w:numPr>
        <w:pStyle w:val="Compact"/>
      </w:pPr>
      <w:r>
        <w:t xml:space="preserve">AQSh Kongressida tinglovlar o‘tkazildi, SEC 2021-yil oktabrda maxsus hisobot e’lon qildi.</w:t>
      </w:r>
    </w:p>
    <w:bookmarkEnd w:id="83"/>
    <w:bookmarkStart w:id="84" w:name="asos-12"/>
    <w:p>
      <w:pPr>
        <w:pStyle w:val="Heading2"/>
      </w:pPr>
      <w:r>
        <w:t xml:space="preserve">Asos</w:t>
      </w:r>
    </w:p>
    <w:p>
      <w:pPr>
        <w:numPr>
          <w:ilvl w:val="0"/>
          <w:numId w:val="1039"/>
        </w:numPr>
        <w:pStyle w:val="Compact"/>
      </w:pPr>
      <w:r>
        <w:t xml:space="preserve">GameStop narxlari (aksiyalar 2022-yildagi 4:1 bo‘linishigacha): 31.12.2020 yopilish — 18,84 $; 27.01.2021 yopilish — 347,51 $ (birja ma’lumotlari).</w:t>
      </w:r>
    </w:p>
    <w:p>
      <w:pPr>
        <w:numPr>
          <w:ilvl w:val="0"/>
          <w:numId w:val="1039"/>
        </w:numPr>
        <w:pStyle w:val="Compact"/>
      </w:pPr>
      <w:r>
        <w:t xml:space="preserve">Melvin Capital zarari va 2,75 mlrd $: Bloomberg,</w:t>
      </w:r>
      <w:r>
        <w:t xml:space="preserve"> </w:t>
      </w:r>
      <w:r>
        <w:t xml:space="preserve">“</w:t>
      </w:r>
      <w:r>
        <w:t xml:space="preserve">Melvin Lost 53% in January, Hurt by GameStop, Other Bets</w:t>
      </w:r>
      <w:r>
        <w:t xml:space="preserve">”</w:t>
      </w:r>
      <w:r>
        <w:t xml:space="preserve">, 31.01.2021; The Wall Street Journal.</w:t>
      </w:r>
    </w:p>
    <w:p>
      <w:pPr>
        <w:numPr>
          <w:ilvl w:val="0"/>
          <w:numId w:val="1039"/>
        </w:numPr>
        <w:pStyle w:val="Compact"/>
      </w:pPr>
      <w:r>
        <w:t xml:space="preserve">SEC Staff Report on Equity and Options Market Structure Conditions in Early 2021, 2021-yil oktabr — qisqa pozitsiyalar hajmi, short squeeze mexanizmi, brokerlar cheklovlarining sababi.</w:t>
      </w:r>
    </w:p>
    <w:bookmarkEnd w:id="84"/>
    <w:bookmarkEnd w:id="85"/>
    <w:bookmarkStart w:id="90" w:name="slayd-uchun-keys-5-archegos-capital-2021"/>
    <w:p>
      <w:pPr>
        <w:pStyle w:val="Heading1"/>
      </w:pPr>
      <w:r>
        <w:t xml:space="preserve">16-slayd uchun: Keys 5 — Archegos Capital (2021)</w:t>
      </w:r>
    </w:p>
    <w:p>
      <w:pPr>
        <w:pStyle w:val="FirstParagraph"/>
      </w:pPr>
      <w:r>
        <w:rPr>
          <w:bCs/>
          <w:b/>
        </w:rPr>
        <w:t xml:space="preserve">Slayd maqsadi:</w:t>
      </w:r>
      <w:r>
        <w:t xml:space="preserve"> </w:t>
      </w:r>
      <w:r>
        <w:t xml:space="preserve">leveraj, konsentratsiya va kontragent riskining birgalikdagi xavfini ko‘rsatish.</w:t>
      </w:r>
      <w:r>
        <w:t xml:space="preserve"> </w:t>
      </w:r>
      <w:r>
        <w:rPr>
          <w:bCs/>
          <w:b/>
        </w:rPr>
        <w:t xml:space="preserve">Vaqt:</w:t>
      </w:r>
      <w:r>
        <w:t xml:space="preserve"> </w:t>
      </w:r>
      <w:r>
        <w:t xml:space="preserve">3 daqiqa.</w:t>
      </w:r>
    </w:p>
    <w:bookmarkStart w:id="86" w:name="nutq-15"/>
    <w:p>
      <w:pPr>
        <w:pStyle w:val="Heading2"/>
      </w:pPr>
      <w:r>
        <w:t xml:space="preserve">Nutq</w:t>
      </w:r>
    </w:p>
    <w:p>
      <w:pPr>
        <w:pStyle w:val="FirstParagraph"/>
      </w:pPr>
      <w:r>
        <w:t xml:space="preserve">“</w:t>
      </w:r>
      <w:r>
        <w:t xml:space="preserve">Archegos — Bill Hvang ismli investorning oilaviy investitsiya fondi. U bir nechta kompaniya aksiyalariga juda katta qarz bilan tikdi. Shu bilan birga aksiyalarni o‘zi sotib olmadi: yirik banklar bilan “svop</w:t>
      </w:r>
      <w:r>
        <w:t xml:space="preserve">”</w:t>
      </w:r>
      <w:r>
        <w:t xml:space="preserve"> </w:t>
      </w:r>
      <w:r>
        <w:t xml:space="preserve">shartnomalari tuzdi. Bunda aksiyani bank sotib oladi, fond esa uning narx o‘zgarishidan foyda yoki zarar oladi. Natijada fondning ulkan pozitsiyalari hech qanday ochiq hisobotda ko‘rinmadi. Sakkizta bankning har biri faqat o‘z qismini ko‘rdi, umumiy hajmni hech kim bilmadi.</w:t>
      </w:r>
    </w:p>
    <w:p>
      <w:pPr>
        <w:pStyle w:val="BodyText"/>
      </w:pPr>
      <w:r>
        <w:t xml:space="preserve">2021-yil mart oxirida fond katta ulushga ega bo‘lgan ViacomCBS kompaniyasi aksiyalari tushdi. Banklar fonddan qo‘shimcha garov — marja talab qildi. Fondda pul yo‘q edi. Shundan keyin banklar o‘zlarini himoya qilish uchun aksiyalarni bir necha kun ichida ommaviy sotdi, bu narxlarni yanada tushirdi. Fond to‘liq barbod bo‘ldi, banklar esa 10 mlrd dollardan ortiq yo‘qotdi. Eng ko‘p zarar ko‘rgan Credit Suisse — 5,5 mlrd dollar.</w:t>
      </w:r>
    </w:p>
    <w:p>
      <w:pPr>
        <w:pStyle w:val="BodyText"/>
      </w:pPr>
      <w:r>
        <w:t xml:space="preserve">Saboq: qarz kichik pasayishni to‘liq bankrotlikka aylantiradi. Banklar esa mijoz haqida to‘liq ma’lumotga ega bo‘lishi va yetarli garov talab qilishi kerak.”</w:t>
      </w:r>
    </w:p>
    <w:bookmarkEnd w:id="86"/>
    <w:bookmarkStart w:id="87" w:name="misol-va-batafsil-yechim-11"/>
    <w:p>
      <w:pPr>
        <w:pStyle w:val="Heading2"/>
      </w:pPr>
      <w:r>
        <w:t xml:space="preserve">Misol va batafsil yechim</w:t>
      </w:r>
    </w:p>
    <w:p>
      <w:pPr>
        <w:pStyle w:val="FirstParagraph"/>
      </w:pPr>
      <w:r>
        <w:rPr>
          <w:bCs/>
          <w:b/>
        </w:rPr>
        <w:t xml:space="preserve">Garov (marja) yetarliligi.</w:t>
      </w:r>
      <w:r>
        <w:t xml:space="preserve"> </w:t>
      </w:r>
      <w:r>
        <w:t xml:space="preserve">Credit Suisse defoltdan ikki kun oldin Archegos svoplari bo‘yicha atigi 9,4% garov ushlab turgan.</w:t>
      </w:r>
    </w:p>
    <w:p>
      <w:pPr>
        <w:numPr>
          <w:ilvl w:val="0"/>
          <w:numId w:val="1040"/>
        </w:numPr>
        <w:pStyle w:val="Compact"/>
      </w:pPr>
      <w:r>
        <w:t xml:space="preserve">Faraz: bank fond uchun 1 000 mln $ lik aksiya pozitsiyasini ushlab turibdi, garov 9,4% — 94 mln $.</w:t>
      </w:r>
    </w:p>
    <w:p>
      <w:pPr>
        <w:numPr>
          <w:ilvl w:val="0"/>
          <w:numId w:val="1040"/>
        </w:numPr>
        <w:pStyle w:val="Compact"/>
      </w:pPr>
      <w:r>
        <w:t xml:space="preserve">Aksiyalar 9,4% tushsa: zarar 1 000 × 0,094 = 94 mln $ — garov to‘liq tugaydi.</w:t>
      </w:r>
    </w:p>
    <w:p>
      <w:pPr>
        <w:numPr>
          <w:ilvl w:val="0"/>
          <w:numId w:val="1040"/>
        </w:numPr>
        <w:pStyle w:val="Compact"/>
      </w:pPr>
      <w:r>
        <w:t xml:space="preserve">Aksiyalar 30% tushsa: zarar 300 mln $; garov 94 mln $; bankning o‘z zarari 300 − 94 =</w:t>
      </w:r>
      <w:r>
        <w:t xml:space="preserve"> </w:t>
      </w:r>
      <w:r>
        <w:rPr>
          <w:bCs/>
          <w:b/>
        </w:rPr>
        <w:t xml:space="preserve">206 mln $</w:t>
      </w:r>
      <w:r>
        <w:t xml:space="preserve">.</w:t>
      </w:r>
    </w:p>
    <w:p>
      <w:pPr>
        <w:numPr>
          <w:ilvl w:val="0"/>
          <w:numId w:val="1040"/>
        </w:numPr>
        <w:pStyle w:val="Compact"/>
      </w:pPr>
      <w:r>
        <w:t xml:space="preserve">Leveraj: 9,4% garov ≈ 1 / 0,094 ≈</w:t>
      </w:r>
      <w:r>
        <w:t xml:space="preserve"> </w:t>
      </w:r>
      <w:r>
        <w:rPr>
          <w:bCs/>
          <w:b/>
        </w:rPr>
        <w:t xml:space="preserve">10,6 barobar</w:t>
      </w:r>
      <w:r>
        <w:t xml:space="preserve"> </w:t>
      </w:r>
      <w:r>
        <w:t xml:space="preserve">qarz yuki.</w:t>
      </w:r>
    </w:p>
    <w:bookmarkEnd w:id="87"/>
    <w:bookmarkStart w:id="88" w:name="sabab-va-oqibat-5"/>
    <w:p>
      <w:pPr>
        <w:pStyle w:val="Heading2"/>
      </w:pPr>
      <w:r>
        <w:t xml:space="preserve">Sabab va oqibat</w:t>
      </w:r>
    </w:p>
    <w:p>
      <w:pPr>
        <w:pStyle w:val="FirstParagraph"/>
      </w:pPr>
      <w:r>
        <w:rPr>
          <w:bCs/>
          <w:b/>
        </w:rPr>
        <w:t xml:space="preserve">Sabablar:</w:t>
      </w:r>
    </w:p>
    <w:p>
      <w:pPr>
        <w:numPr>
          <w:ilvl w:val="0"/>
          <w:numId w:val="1041"/>
        </w:numPr>
        <w:pStyle w:val="Compact"/>
      </w:pPr>
      <w:r>
        <w:t xml:space="preserve">Juda yuqori leveraj va bir necha aksiyada konsentratsiya.</w:t>
      </w:r>
    </w:p>
    <w:p>
      <w:pPr>
        <w:numPr>
          <w:ilvl w:val="0"/>
          <w:numId w:val="1041"/>
        </w:numPr>
        <w:pStyle w:val="Compact"/>
      </w:pPr>
      <w:r>
        <w:t xml:space="preserve">Svop shartnomalari orqali pozitsiyalar yashirilgan, oshkor qilinmagan.</w:t>
      </w:r>
    </w:p>
    <w:p>
      <w:pPr>
        <w:numPr>
          <w:ilvl w:val="0"/>
          <w:numId w:val="1041"/>
        </w:numPr>
        <w:pStyle w:val="Compact"/>
      </w:pPr>
      <w:r>
        <w:t xml:space="preserve">Banklarning risk boshqaruvi kuchsiz: garov talablari past, ichki ogohlantirishlar e’tiborsiz qoldirilgan.</w:t>
      </w:r>
    </w:p>
    <w:p>
      <w:pPr>
        <w:numPr>
          <w:ilvl w:val="0"/>
          <w:numId w:val="1041"/>
        </w:numPr>
        <w:pStyle w:val="Compact"/>
      </w:pPr>
      <w:r>
        <w:t xml:space="preserve">ViacomCBS aksiyasining tushishi marja talabini keltirib chiqardi.</w:t>
      </w:r>
    </w:p>
    <w:p>
      <w:pPr>
        <w:pStyle w:val="FirstParagraph"/>
      </w:pPr>
      <w:r>
        <w:rPr>
          <w:bCs/>
          <w:b/>
        </w:rPr>
        <w:t xml:space="preserve">Oqibatlar:</w:t>
      </w:r>
    </w:p>
    <w:p>
      <w:pPr>
        <w:numPr>
          <w:ilvl w:val="0"/>
          <w:numId w:val="1042"/>
        </w:numPr>
        <w:pStyle w:val="Compact"/>
      </w:pPr>
      <w:r>
        <w:t xml:space="preserve">Banklarning umumiy zarari 10 mlrd $ dan oshdi: Credit Suisse ≈ 5,5 mlrd $, Nomura ≈ 2,9 mlrd $.</w:t>
      </w:r>
    </w:p>
    <w:p>
      <w:pPr>
        <w:numPr>
          <w:ilvl w:val="0"/>
          <w:numId w:val="1042"/>
        </w:numPr>
        <w:pStyle w:val="Compact"/>
      </w:pPr>
      <w:r>
        <w:t xml:space="preserve">Credit Suisse rahbariyati almashtirildi; bank ishonchining pasayishiga hissa qo‘shgan voqealardan biri bo‘ldi (bank 2023-yilda UBS tomonidan sotib olindi).</w:t>
      </w:r>
    </w:p>
    <w:p>
      <w:pPr>
        <w:numPr>
          <w:ilvl w:val="0"/>
          <w:numId w:val="1042"/>
        </w:numPr>
        <w:pStyle w:val="Compact"/>
      </w:pPr>
      <w:r>
        <w:t xml:space="preserve">Regulyatorlar svop pozitsiyalarini oshkor qilish talablarini kuchaytirishga kirishdi.</w:t>
      </w:r>
    </w:p>
    <w:p>
      <w:pPr>
        <w:numPr>
          <w:ilvl w:val="0"/>
          <w:numId w:val="1042"/>
        </w:numPr>
        <w:pStyle w:val="Compact"/>
      </w:pPr>
      <w:r>
        <w:t xml:space="preserve">Bill Hvang 2024-yilda AQSh sudida firibgarlikda aybdor deb topildi.</w:t>
      </w:r>
    </w:p>
    <w:bookmarkEnd w:id="88"/>
    <w:bookmarkStart w:id="89" w:name="asos-13"/>
    <w:p>
      <w:pPr>
        <w:pStyle w:val="Heading2"/>
      </w:pPr>
      <w:r>
        <w:t xml:space="preserve">Asos</w:t>
      </w:r>
    </w:p>
    <w:p>
      <w:pPr>
        <w:numPr>
          <w:ilvl w:val="0"/>
          <w:numId w:val="1043"/>
        </w:numPr>
        <w:pStyle w:val="Compact"/>
      </w:pPr>
      <w:r>
        <w:t xml:space="preserve">Credit Suisse Group Special Committee of the Board of Directors, Report on Archegos Capital Management (Paul, Weiss, 2021-yil iyul) — zarar va risk boshqaruvidagi kamchiliklar.</w:t>
      </w:r>
    </w:p>
    <w:p>
      <w:pPr>
        <w:numPr>
          <w:ilvl w:val="0"/>
          <w:numId w:val="1043"/>
        </w:numPr>
        <w:pStyle w:val="Compact"/>
      </w:pPr>
      <w:r>
        <w:t xml:space="preserve">Risk.net,</w:t>
      </w:r>
      <w:r>
        <w:t xml:space="preserve"> </w:t>
      </w:r>
      <w:r>
        <w:t xml:space="preserve">“</w:t>
      </w:r>
      <w:r>
        <w:t xml:space="preserve">Archegos report details margin failings at Credit Suisse</w:t>
      </w:r>
      <w:r>
        <w:t xml:space="preserve">”</w:t>
      </w:r>
      <w:r>
        <w:t xml:space="preserve">, 2021 — 9,4% garov ma’lumoti.</w:t>
      </w:r>
    </w:p>
    <w:p>
      <w:pPr>
        <w:numPr>
          <w:ilvl w:val="0"/>
          <w:numId w:val="1043"/>
        </w:numPr>
        <w:pStyle w:val="Compact"/>
      </w:pPr>
      <w:r>
        <w:t xml:space="preserve">Nomura Holdings hisobotlari (2021) — taxminan 2,85 mlrd $ zarar.</w:t>
      </w:r>
    </w:p>
    <w:bookmarkEnd w:id="89"/>
    <w:bookmarkEnd w:id="90"/>
    <w:bookmarkStart w:id="95" w:name="Xbf7855776b1c39de07d21c6f9457223273bd4c2"/>
    <w:p>
      <w:pPr>
        <w:pStyle w:val="Heading1"/>
      </w:pPr>
      <w:r>
        <w:t xml:space="preserve">17-slayd uchun: Keys 6 — So‘nggi shoklar (2024–2025)</w:t>
      </w:r>
    </w:p>
    <w:p>
      <w:pPr>
        <w:pStyle w:val="FirstParagraph"/>
      </w:pPr>
      <w:r>
        <w:rPr>
          <w:bCs/>
          <w:b/>
        </w:rPr>
        <w:t xml:space="preserve">Slayd maqsadi:</w:t>
      </w:r>
      <w:r>
        <w:t xml:space="preserve"> </w:t>
      </w:r>
      <w:r>
        <w:t xml:space="preserve">valyuta kursi va siyosiy qarorlarning fond bozoriga ta’sirini ko‘rsatish.</w:t>
      </w:r>
      <w:r>
        <w:t xml:space="preserve"> </w:t>
      </w:r>
      <w:r>
        <w:rPr>
          <w:bCs/>
          <w:b/>
        </w:rPr>
        <w:t xml:space="preserve">Vaqt:</w:t>
      </w:r>
      <w:r>
        <w:t xml:space="preserve"> </w:t>
      </w:r>
      <w:r>
        <w:t xml:space="preserve">3 daqiqa.</w:t>
      </w:r>
    </w:p>
    <w:bookmarkStart w:id="91" w:name="nutq-16"/>
    <w:p>
      <w:pPr>
        <w:pStyle w:val="Heading2"/>
      </w:pPr>
      <w:r>
        <w:t xml:space="preserve">Nutq</w:t>
      </w:r>
    </w:p>
    <w:p>
      <w:pPr>
        <w:pStyle w:val="FirstParagraph"/>
      </w:pPr>
      <w:r>
        <w:t xml:space="preserve">“Ikkita yaqin voqeani ko‘raylik.</w:t>
      </w:r>
    </w:p>
    <w:p>
      <w:pPr>
        <w:pStyle w:val="BodyText"/>
      </w:pPr>
      <w:r>
        <w:t xml:space="preserve">Birinchisi — Yaponiya, 2024-yil 5-avgust. Nikkei indeksi bir kunda 12,4% tushdi — 1987-yildan beri eng katta kunlik pasayish. Sabab: Yaponiyada foiz stavkalari uzoq yillar nolga yaqin edi. Ko‘plab investorlar arzon yenda qarz olib, boshqa mamlakatlar aktivlariga investitsiya qilgan. Bu</w:t>
      </w:r>
      <w:r>
        <w:t xml:space="preserve"> </w:t>
      </w:r>
      <w:r>
        <w:t xml:space="preserve">“</w:t>
      </w:r>
      <w:r>
        <w:t xml:space="preserve">carry trade</w:t>
      </w:r>
      <w:r>
        <w:t xml:space="preserve">”</w:t>
      </w:r>
      <w:r>
        <w:t xml:space="preserve"> </w:t>
      </w:r>
      <w:r>
        <w:t xml:space="preserve">deyiladi. Yaponiya markaziy banki 31-iyulda stavkani oshirdi, 2-avgustda AQShda bandlik bo‘yicha zaif ma’lumotlar chiqdi va yen keskin kuchaydi. Yen qarzi qimmatlashdi, investorlar pozitsiyalarni ommaviy yopdi. Ertasi kuni indeks 10,2% ko‘tarildi.</w:t>
      </w:r>
    </w:p>
    <w:p>
      <w:pPr>
        <w:pStyle w:val="BodyText"/>
      </w:pPr>
      <w:r>
        <w:t xml:space="preserve">Ikkinchisi — AQSh, 2025-yil aprel. Hukumat 2-aprelda keng ko‘lamli import tariflarini e’lon qildi. Investorlar savdo urushi va retsessiyadan qo‘rqdi: S&amp;P 500 fevral cho‘qqisidan 18,9% tushdi, VIX 52 ga chiqdi. 9-aprelda tariflarning bir qismi 90 kunga to‘xtatilishi e’lon qilindi — indeks bir kunda 9,5% ko‘tarildi.</w:t>
      </w:r>
    </w:p>
    <w:p>
      <w:pPr>
        <w:pStyle w:val="BodyText"/>
      </w:pPr>
      <w:r>
        <w:t xml:space="preserve">Saboq: fond bozori riski faqat kompaniyalarga emas, valyuta kursi, markaziy bank va hukumat qarorlariga ham bog‘liq.”</w:t>
      </w:r>
    </w:p>
    <w:bookmarkEnd w:id="91"/>
    <w:bookmarkStart w:id="92" w:name="misol-va-batafsil-yechim-12"/>
    <w:p>
      <w:pPr>
        <w:pStyle w:val="Heading2"/>
      </w:pPr>
      <w:r>
        <w:t xml:space="preserve">Misol va batafsil yechim</w:t>
      </w:r>
    </w:p>
    <w:p>
      <w:pPr>
        <w:numPr>
          <w:ilvl w:val="0"/>
          <w:numId w:val="1044"/>
        </w:numPr>
        <w:pStyle w:val="Compact"/>
      </w:pPr>
      <w:r>
        <w:t xml:space="preserve">Nikkei 225: 35 909,70 (2.08.2024) → 31 458,42 (5.08.2024): 31 458,42 / 35 909,70 − 1 =</w:t>
      </w:r>
      <w:r>
        <w:t xml:space="preserve"> </w:t>
      </w:r>
      <w:r>
        <w:rPr>
          <w:bCs/>
          <w:b/>
        </w:rPr>
        <w:t xml:space="preserve">−12,4%</w:t>
      </w:r>
      <w:r>
        <w:t xml:space="preserve">; punktda −4 451 (punkt bo‘yicha tarixdagi eng katta kunlik pasayish).</w:t>
      </w:r>
    </w:p>
    <w:p>
      <w:pPr>
        <w:numPr>
          <w:ilvl w:val="0"/>
          <w:numId w:val="1044"/>
        </w:numPr>
        <w:pStyle w:val="Compact"/>
      </w:pPr>
      <w:r>
        <w:t xml:space="preserve">Ertasi kuni: 34 675,46 / 31 458,42 − 1 =</w:t>
      </w:r>
      <w:r>
        <w:t xml:space="preserve"> </w:t>
      </w:r>
      <w:r>
        <w:rPr>
          <w:bCs/>
          <w:b/>
        </w:rPr>
        <w:t xml:space="preserve">+10,2%</w:t>
      </w:r>
      <w:r>
        <w:t xml:space="preserve">.</w:t>
      </w:r>
    </w:p>
    <w:p>
      <w:pPr>
        <w:numPr>
          <w:ilvl w:val="0"/>
          <w:numId w:val="1044"/>
        </w:numPr>
        <w:pStyle w:val="Compact"/>
      </w:pPr>
      <w:r>
        <w:t xml:space="preserve">S&amp;P 500: 6 144,15 (19.02.2025) → 4 982,77 (8.04.2025):</w:t>
      </w:r>
      <w:r>
        <w:t xml:space="preserve"> </w:t>
      </w:r>
      <w:r>
        <w:rPr>
          <w:bCs/>
          <w:b/>
        </w:rPr>
        <w:t xml:space="preserve">−18,9%</w:t>
      </w:r>
      <w:r>
        <w:t xml:space="preserve">.</w:t>
      </w:r>
    </w:p>
    <w:p>
      <w:pPr>
        <w:numPr>
          <w:ilvl w:val="0"/>
          <w:numId w:val="1044"/>
        </w:numPr>
        <w:pStyle w:val="Compact"/>
      </w:pPr>
      <w:r>
        <w:t xml:space="preserve">9-aprel: 5 456,90 / 4 982,77 − 1 =</w:t>
      </w:r>
      <w:r>
        <w:t xml:space="preserve"> </w:t>
      </w:r>
      <w:r>
        <w:rPr>
          <w:bCs/>
          <w:b/>
        </w:rPr>
        <w:t xml:space="preserve">+9,5%</w:t>
      </w:r>
      <w:r>
        <w:t xml:space="preserve">.</w:t>
      </w:r>
    </w:p>
    <w:p>
      <w:pPr>
        <w:numPr>
          <w:ilvl w:val="0"/>
          <w:numId w:val="1044"/>
        </w:numPr>
        <w:pStyle w:val="Compact"/>
      </w:pPr>
      <w:r>
        <w:t xml:space="preserve">Indeks 27-iyunda fevral cho‘qqisidan yuqori yopildi — tiklanish taxminan 2,5 oy davom etdi.</w:t>
      </w:r>
    </w:p>
    <w:bookmarkEnd w:id="92"/>
    <w:bookmarkStart w:id="93" w:name="sabab-va-oqibat-6"/>
    <w:p>
      <w:pPr>
        <w:pStyle w:val="Heading2"/>
      </w:pPr>
      <w:r>
        <w:t xml:space="preserve">Sabab va oqibat</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2640"/>
        <w:gridCol w:w="2640"/>
        <w:gridCol w:w="2640"/>
      </w:tblGrid>
      <w:tr>
        <w:trPr>
          <w:tblHeader w:val="true"/>
        </w:trPr>
        <w:tc>
          <w:tcPr>
            <w:shd w:val="clear" w:color="auto" w:fill="DDEBF7"/>
          </w:tcPr>
          <w:p>
            <w:pPr>
              <w:pStyle w:val="Compact"/>
              <w:spacing w:after="20" w:before="20" w:line="240" w:lineRule="auto"/>
            </w:pPr>
          </w:p>
        </w:tc>
        <w:tc>
          <w:tcPr>
            <w:shd w:val="clear" w:color="auto" w:fill="DDEBF7"/>
          </w:tcPr>
          <w:p>
            <w:pPr>
              <w:pStyle w:val="Compact"/>
              <w:spacing w:after="20" w:before="20" w:line="240" w:lineRule="auto"/>
              <w:jc w:val="left"/>
            </w:pPr>
            <w:r>
              <w:rPr>
                <w:b/>
                <w:sz w:val="21"/>
              </w:rPr>
              <w:t xml:space="preserve">Yaponiya (avgust 2024)</w:t>
            </w:r>
          </w:p>
        </w:tc>
        <w:tc>
          <w:tcPr>
            <w:shd w:val="clear" w:color="auto" w:fill="DDEBF7"/>
          </w:tcPr>
          <w:p>
            <w:pPr>
              <w:pStyle w:val="Compact"/>
              <w:spacing w:after="20" w:before="20" w:line="240" w:lineRule="auto"/>
              <w:jc w:val="left"/>
            </w:pPr>
            <w:r>
              <w:rPr>
                <w:b/>
                <w:sz w:val="21"/>
              </w:rPr>
              <w:t xml:space="preserve">AQSh (aprel 2025)</w:t>
            </w:r>
          </w:p>
        </w:tc>
      </w:tr>
      <w:tr>
        <w:tc>
          <w:tcPr/>
          <w:p>
            <w:pPr>
              <w:pStyle w:val="Compact"/>
              <w:spacing w:after="20" w:before="20" w:line="240" w:lineRule="auto"/>
              <w:jc w:val="left"/>
            </w:pPr>
            <w:r>
              <w:rPr>
                <w:sz w:val="21"/>
              </w:rPr>
              <w:t xml:space="preserve">Sabab</w:t>
            </w:r>
          </w:p>
        </w:tc>
        <w:tc>
          <w:tcPr/>
          <w:p>
            <w:pPr>
              <w:pStyle w:val="Compact"/>
              <w:spacing w:after="20" w:before="20" w:line="240" w:lineRule="auto"/>
              <w:jc w:val="left"/>
            </w:pPr>
            <w:r>
              <w:rPr>
                <w:sz w:val="21"/>
              </w:rPr>
              <w:t xml:space="preserve">Markaziy bank stavkasining oshishi, yenning kuchayishi, yen qarzi bilan qilingan investitsiyalarning yopilishi</w:t>
            </w:r>
          </w:p>
        </w:tc>
        <w:tc>
          <w:tcPr/>
          <w:p>
            <w:pPr>
              <w:pStyle w:val="Compact"/>
              <w:spacing w:after="20" w:before="20" w:line="240" w:lineRule="auto"/>
              <w:jc w:val="left"/>
            </w:pPr>
            <w:r>
              <w:rPr>
                <w:sz w:val="21"/>
              </w:rPr>
              <w:t xml:space="preserve">Keng ko‘lamli import tariflari, savdo urushi va retsessiya xavfi</w:t>
            </w:r>
          </w:p>
        </w:tc>
      </w:tr>
      <w:tr>
        <w:tc>
          <w:tcPr/>
          <w:p>
            <w:pPr>
              <w:pStyle w:val="Compact"/>
              <w:spacing w:after="20" w:before="20" w:line="240" w:lineRule="auto"/>
              <w:jc w:val="left"/>
            </w:pPr>
            <w:r>
              <w:rPr>
                <w:sz w:val="21"/>
              </w:rPr>
              <w:t xml:space="preserve">Kuchaytiruvchi omil</w:t>
            </w:r>
          </w:p>
        </w:tc>
        <w:tc>
          <w:tcPr/>
          <w:p>
            <w:pPr>
              <w:pStyle w:val="Compact"/>
              <w:spacing w:after="20" w:before="20" w:line="240" w:lineRule="auto"/>
              <w:jc w:val="left"/>
            </w:pPr>
            <w:r>
              <w:rPr>
                <w:sz w:val="21"/>
              </w:rPr>
              <w:t xml:space="preserve">AQShda bandlik bo‘yicha zaif ma’lumotlar, leveraj</w:t>
            </w:r>
          </w:p>
        </w:tc>
        <w:tc>
          <w:tcPr/>
          <w:p>
            <w:pPr>
              <w:pStyle w:val="Compact"/>
              <w:spacing w:after="20" w:before="20" w:line="240" w:lineRule="auto"/>
              <w:jc w:val="left"/>
            </w:pPr>
            <w:r>
              <w:rPr>
                <w:sz w:val="21"/>
              </w:rPr>
              <w:t xml:space="preserve">Tariflar ko‘lamining kutilganidan kattaligi</w:t>
            </w:r>
          </w:p>
        </w:tc>
      </w:tr>
      <w:tr>
        <w:tc>
          <w:tcPr/>
          <w:p>
            <w:pPr>
              <w:pStyle w:val="Compact"/>
              <w:spacing w:after="20" w:before="20" w:line="240" w:lineRule="auto"/>
              <w:jc w:val="left"/>
            </w:pPr>
            <w:r>
              <w:rPr>
                <w:sz w:val="21"/>
              </w:rPr>
              <w:t xml:space="preserve">Oqibat</w:t>
            </w:r>
          </w:p>
        </w:tc>
        <w:tc>
          <w:tcPr/>
          <w:p>
            <w:pPr>
              <w:pStyle w:val="Compact"/>
              <w:spacing w:after="20" w:before="20" w:line="240" w:lineRule="auto"/>
              <w:jc w:val="left"/>
            </w:pPr>
            <w:r>
              <w:rPr>
                <w:sz w:val="21"/>
              </w:rPr>
              <w:t xml:space="preserve">Bir kunda −12,4%, global bozorlarga tarqalish, VIX 38,6</w:t>
            </w:r>
          </w:p>
        </w:tc>
        <w:tc>
          <w:tcPr/>
          <w:p>
            <w:pPr>
              <w:pStyle w:val="Compact"/>
              <w:spacing w:after="20" w:before="20" w:line="240" w:lineRule="auto"/>
              <w:jc w:val="left"/>
            </w:pPr>
            <w:r>
              <w:rPr>
                <w:sz w:val="21"/>
              </w:rPr>
              <w:t xml:space="preserve">7 haftada −18,9%, VIX 52,3</w:t>
            </w:r>
          </w:p>
        </w:tc>
      </w:tr>
      <w:tr>
        <w:tc>
          <w:tcPr/>
          <w:p>
            <w:pPr>
              <w:pStyle w:val="Compact"/>
              <w:spacing w:after="20" w:before="20" w:line="240" w:lineRule="auto"/>
              <w:jc w:val="left"/>
            </w:pPr>
            <w:r>
              <w:rPr>
                <w:sz w:val="21"/>
              </w:rPr>
              <w:t xml:space="preserve">Yakun</w:t>
            </w:r>
          </w:p>
        </w:tc>
        <w:tc>
          <w:tcPr/>
          <w:p>
            <w:pPr>
              <w:pStyle w:val="Compact"/>
              <w:spacing w:after="20" w:before="20" w:line="240" w:lineRule="auto"/>
              <w:jc w:val="left"/>
            </w:pPr>
            <w:r>
              <w:rPr>
                <w:sz w:val="21"/>
              </w:rPr>
              <w:t xml:space="preserve">Ertasi kuni +10,2%, bir necha haftada tiklanish</w:t>
            </w:r>
          </w:p>
        </w:tc>
        <w:tc>
          <w:tcPr/>
          <w:p>
            <w:pPr>
              <w:pStyle w:val="Compact"/>
              <w:spacing w:after="20" w:before="20" w:line="240" w:lineRule="auto"/>
              <w:jc w:val="left"/>
            </w:pPr>
            <w:r>
              <w:rPr>
                <w:sz w:val="21"/>
              </w:rPr>
              <w:t xml:space="preserve">Tariflar to‘xtatilgach +9,5%, iyun oxirida to‘liq tiklanish</w:t>
            </w:r>
          </w:p>
        </w:tc>
      </w:tr>
    </w:tbl>
    <w:bookmarkEnd w:id="93"/>
    <w:bookmarkStart w:id="94" w:name="asos-14"/>
    <w:p>
      <w:pPr>
        <w:pStyle w:val="Heading2"/>
      </w:pPr>
      <w:r>
        <w:t xml:space="preserve">Asos</w:t>
      </w:r>
    </w:p>
    <w:p>
      <w:pPr>
        <w:numPr>
          <w:ilvl w:val="0"/>
          <w:numId w:val="1045"/>
        </w:numPr>
        <w:pStyle w:val="Compact"/>
      </w:pPr>
      <w:r>
        <w:t xml:space="preserve">Indeks va VIX qiymatlari: FRED (NIKKEI225, SP500, VIXCLS), muallif hisob-kitobi.</w:t>
      </w:r>
    </w:p>
    <w:p>
      <w:pPr>
        <w:numPr>
          <w:ilvl w:val="0"/>
          <w:numId w:val="1045"/>
        </w:numPr>
        <w:pStyle w:val="Compact"/>
      </w:pPr>
      <w:r>
        <w:t xml:space="preserve">Yaponiya markaziy banki qarori: Bank of Japan, 31.07.2024 (stavka 0,25% ga oshirildi).</w:t>
      </w:r>
    </w:p>
    <w:p>
      <w:pPr>
        <w:numPr>
          <w:ilvl w:val="0"/>
          <w:numId w:val="1045"/>
        </w:numPr>
        <w:pStyle w:val="Compact"/>
      </w:pPr>
      <w:r>
        <w:t xml:space="preserve">AQSh tariflari: AQSh Prezidentining 2025-yil 2-apreldagi farmoni; tariflarning 90 kunga to‘xtatilishi — 9.04.2025.</w:t>
      </w:r>
    </w:p>
    <w:bookmarkEnd w:id="94"/>
    <w:bookmarkEnd w:id="95"/>
    <w:bookmarkStart w:id="100" w:name="X4812e239a395dbe984b2d04491ec2cf0ba5d693"/>
    <w:p>
      <w:pPr>
        <w:pStyle w:val="Heading1"/>
      </w:pPr>
      <w:r>
        <w:t xml:space="preserve">18-slayd uchun: O‘zbekiston — kichik bozor, yuqori likvidlik riski</w:t>
      </w:r>
    </w:p>
    <w:p>
      <w:pPr>
        <w:pStyle w:val="FirstParagraph"/>
      </w:pPr>
      <w:r>
        <w:rPr>
          <w:bCs/>
          <w:b/>
        </w:rPr>
        <w:t xml:space="preserve">Slayd maqsadi:</w:t>
      </w:r>
      <w:r>
        <w:t xml:space="preserve"> </w:t>
      </w:r>
      <w:r>
        <w:t xml:space="preserve">O‘zbekiston fond bozorining asosiy riski — likvidlik va konsentratsiyani real ma’lumotlarda ko‘rsatish.</w:t>
      </w:r>
      <w:r>
        <w:t xml:space="preserve"> </w:t>
      </w:r>
      <w:r>
        <w:rPr>
          <w:bCs/>
          <w:b/>
        </w:rPr>
        <w:t xml:space="preserve">Vaqt:</w:t>
      </w:r>
      <w:r>
        <w:t xml:space="preserve"> </w:t>
      </w:r>
      <w:r>
        <w:t xml:space="preserve">4 daqiqa.</w:t>
      </w:r>
    </w:p>
    <w:bookmarkStart w:id="96" w:name="nutq-17"/>
    <w:p>
      <w:pPr>
        <w:pStyle w:val="Heading2"/>
      </w:pPr>
      <w:r>
        <w:t xml:space="preserve">Nutq</w:t>
      </w:r>
    </w:p>
    <w:p>
      <w:pPr>
        <w:pStyle w:val="FirstParagraph"/>
      </w:pPr>
      <w:r>
        <w:t xml:space="preserve">“Endi o‘z bozorimizga qaytamiz. Toshkent Respublika fond birjasida 2024-yilda savdo hajmi 21,95 trln so‘mni tashkil etdi — bu 2023-yildagi 2,89 trln so‘mdan 7,6 barobar ko‘p. Bu yaxshi yangilikmi? Ha, lekin uning ortidagi sababga qaraylik.</w:t>
      </w:r>
    </w:p>
    <w:p>
      <w:pPr>
        <w:pStyle w:val="BodyText"/>
      </w:pPr>
      <w:r>
        <w:t xml:space="preserve">2024-yilning birinchi choragida savdo hajmi, aksincha, o‘tgan yilning shu davriga nisbatan 9,7 barobar kamaydi. Sabab: 2023-yilning birinchi choragida bir nechta yirik bitim — kompaniyalarni sotib olish va qo‘shilish — bo‘lgan. 2024-yil noyabrdagi bir haftada esa birjadagi umumiy savdoning taxminan 86 foizi bitta bank — Biznesni rivojlantirish banki aksiyalariga to‘g‘ri keldi.</w:t>
      </w:r>
    </w:p>
    <w:p>
      <w:pPr>
        <w:pStyle w:val="BodyText"/>
      </w:pPr>
      <w:r>
        <w:t xml:space="preserve">Bu nimani anglatadi? Bozor hajmi bir nechta yirik bitimga bog‘liq. Oddiy kunlarda ko‘plab aksiyalar bo‘yicha savdo juda kam. Investor uchun bu likvidlik riski: aksiyani kerakli paytda adolatli narxda sotish qiyin. Xorijiy investorlar uchun bu bozorga kirishning asosiy to‘sig‘i.”</w:t>
      </w:r>
    </w:p>
    <w:bookmarkEnd w:id="96"/>
    <w:bookmarkStart w:id="97" w:name="misol-va-batafsil-yechim-13"/>
    <w:p>
      <w:pPr>
        <w:pStyle w:val="Heading2"/>
      </w:pPr>
      <w:r>
        <w:t xml:space="preserve">Misol va batafsil yechim</w:t>
      </w:r>
    </w:p>
    <w:p>
      <w:pPr>
        <w:numPr>
          <w:ilvl w:val="0"/>
          <w:numId w:val="1046"/>
        </w:numPr>
        <w:pStyle w:val="Compact"/>
      </w:pPr>
      <w:r>
        <w:t xml:space="preserve">Yillik o‘sish: 21,95 / 2,89 =</w:t>
      </w:r>
      <w:r>
        <w:t xml:space="preserve"> </w:t>
      </w:r>
      <w:r>
        <w:rPr>
          <w:bCs/>
          <w:b/>
        </w:rPr>
        <w:t xml:space="preserve">7,6 barobar</w:t>
      </w:r>
      <w:r>
        <w:t xml:space="preserve">.</w:t>
      </w:r>
    </w:p>
    <w:p>
      <w:pPr>
        <w:numPr>
          <w:ilvl w:val="0"/>
          <w:numId w:val="1046"/>
        </w:numPr>
        <w:pStyle w:val="Compact"/>
      </w:pPr>
      <w:r>
        <w:t xml:space="preserve">Dollarda: 21,95 trln so‘m ≈ 1,7 mlrd $ (2024-yildagi o‘rtacha kurs bo‘yicha taxminan 12 900 so‘m/$).</w:t>
      </w:r>
    </w:p>
    <w:p>
      <w:pPr>
        <w:numPr>
          <w:ilvl w:val="0"/>
          <w:numId w:val="1046"/>
        </w:numPr>
        <w:pStyle w:val="Compact"/>
      </w:pPr>
      <w:r>
        <w:t xml:space="preserve">2023-yil I chorak hajmi (teskari hisob): 171,9 mlrd × 9,7 ≈</w:t>
      </w:r>
      <w:r>
        <w:t xml:space="preserve"> </w:t>
      </w:r>
      <w:r>
        <w:rPr>
          <w:bCs/>
          <w:b/>
        </w:rPr>
        <w:t xml:space="preserve">1,67 trln so‘m</w:t>
      </w:r>
      <w:r>
        <w:t xml:space="preserve">; 2024-yil I chorak — 171,9 mlrd so‘m.</w:t>
      </w:r>
    </w:p>
    <w:p>
      <w:pPr>
        <w:numPr>
          <w:ilvl w:val="0"/>
          <w:numId w:val="1046"/>
        </w:numPr>
        <w:pStyle w:val="Compact"/>
      </w:pPr>
      <w:r>
        <w:t xml:space="preserve">Konsentratsiya: BRBN bo‘yicha savdo 1,6 trln so‘m, umumiy haftalik aylanmaning 86% i → haftalik aylanma ≈ 1,6 / 0,86 ≈</w:t>
      </w:r>
      <w:r>
        <w:t xml:space="preserve"> </w:t>
      </w:r>
      <w:r>
        <w:rPr>
          <w:bCs/>
          <w:b/>
        </w:rPr>
        <w:t xml:space="preserve">1,86 trln so‘m</w:t>
      </w:r>
      <w:r>
        <w:t xml:space="preserve"> </w:t>
      </w:r>
      <w:r>
        <w:t xml:space="preserve">(≈145 mln $). Qolgan barcha aksiyalarga atigi ≈ 0,26 trln so‘m to‘g‘ri kelgan.</w:t>
      </w:r>
    </w:p>
    <w:p>
      <w:pPr>
        <w:pStyle w:val="FirstParagraph"/>
      </w:pPr>
      <w:r>
        <w:rPr>
          <w:bCs/>
          <w:b/>
        </w:rPr>
        <w:t xml:space="preserve">Likvidlik riskining amaliy misoli (o‘quv faraz):</w:t>
      </w:r>
      <w:r>
        <w:t xml:space="preserve"> </w:t>
      </w:r>
      <w:r>
        <w:t xml:space="preserve">agar biror aksiya bo‘yicha kunlik savdo 20 mln so‘m bo‘lsa va investor 400 mln so‘mlik pozitsiyani narxga katta ta’sir qilmasdan sotmoqchi bo‘lsa (kunlik hajmning 20% idan ko‘p sotmaslik), sotish uchun 400 / (20 × 0,2) =</w:t>
      </w:r>
      <w:r>
        <w:t xml:space="preserve"> </w:t>
      </w:r>
      <w:r>
        <w:rPr>
          <w:bCs/>
          <w:b/>
        </w:rPr>
        <w:t xml:space="preserve">100 savdo kuni</w:t>
      </w:r>
      <w:r>
        <w:t xml:space="preserve">, ya’ni taxminan 5 oy kerak bo‘ladi.</w:t>
      </w:r>
    </w:p>
    <w:bookmarkEnd w:id="97"/>
    <w:bookmarkStart w:id="98" w:name="sabab-va-oqibat-7"/>
    <w:p>
      <w:pPr>
        <w:pStyle w:val="Heading2"/>
      </w:pPr>
      <w:r>
        <w:t xml:space="preserve">Sabab va oqibat</w:t>
      </w:r>
    </w:p>
    <w:p>
      <w:pPr>
        <w:pStyle w:val="FirstParagraph"/>
      </w:pPr>
      <w:r>
        <w:rPr>
          <w:bCs/>
          <w:b/>
        </w:rPr>
        <w:t xml:space="preserve">Sabablar:</w:t>
      </w:r>
    </w:p>
    <w:p>
      <w:pPr>
        <w:numPr>
          <w:ilvl w:val="0"/>
          <w:numId w:val="1047"/>
        </w:numPr>
        <w:pStyle w:val="Compact"/>
      </w:pPr>
      <w:r>
        <w:t xml:space="preserve">Birjada savdoga qo‘yilgan kompaniyalar va erkin muomaladagi aksiyalar ulushi kam.</w:t>
      </w:r>
    </w:p>
    <w:p>
      <w:pPr>
        <w:numPr>
          <w:ilvl w:val="0"/>
          <w:numId w:val="1047"/>
        </w:numPr>
        <w:pStyle w:val="Compact"/>
      </w:pPr>
      <w:r>
        <w:t xml:space="preserve">Institutsional investorlar (pensiya, investitsiya fondlari) va chakana investorlar bazasi tor.</w:t>
      </w:r>
    </w:p>
    <w:p>
      <w:pPr>
        <w:numPr>
          <w:ilvl w:val="0"/>
          <w:numId w:val="1047"/>
        </w:numPr>
        <w:pStyle w:val="Compact"/>
      </w:pPr>
      <w:r>
        <w:t xml:space="preserve">Savdo hajmining katta qismi bir martalik yirik bitimlardan iborat.</w:t>
      </w:r>
    </w:p>
    <w:p>
      <w:pPr>
        <w:numPr>
          <w:ilvl w:val="0"/>
          <w:numId w:val="1047"/>
        </w:numPr>
        <w:pStyle w:val="Compact"/>
      </w:pPr>
      <w:r>
        <w:t xml:space="preserve">Aholining fond bozori haqidagi moliyaviy savodxonligi yetarli emas.</w:t>
      </w:r>
    </w:p>
    <w:p>
      <w:pPr>
        <w:pStyle w:val="FirstParagraph"/>
      </w:pPr>
      <w:r>
        <w:rPr>
          <w:bCs/>
          <w:b/>
        </w:rPr>
        <w:t xml:space="preserve">Oqibatlar:</w:t>
      </w:r>
    </w:p>
    <w:p>
      <w:pPr>
        <w:numPr>
          <w:ilvl w:val="0"/>
          <w:numId w:val="1048"/>
        </w:numPr>
        <w:pStyle w:val="Compact"/>
      </w:pPr>
      <w:r>
        <w:t xml:space="preserve">Narxlar kam sonli bitimlar bilan shakllanadi va adolatli qiymatni har doim ham aks ettirmaydi.</w:t>
      </w:r>
    </w:p>
    <w:p>
      <w:pPr>
        <w:numPr>
          <w:ilvl w:val="0"/>
          <w:numId w:val="1048"/>
        </w:numPr>
        <w:pStyle w:val="Compact"/>
      </w:pPr>
      <w:r>
        <w:t xml:space="preserve">Aksiyani tez sotish qiyin — likvidlik riski yuqori.</w:t>
      </w:r>
    </w:p>
    <w:p>
      <w:pPr>
        <w:numPr>
          <w:ilvl w:val="0"/>
          <w:numId w:val="1048"/>
        </w:numPr>
        <w:pStyle w:val="Compact"/>
      </w:pPr>
      <w:r>
        <w:t xml:space="preserve">Yirik IPOlarni joylashtirish qiyinlashadi (19-slayd).</w:t>
      </w:r>
    </w:p>
    <w:p>
      <w:pPr>
        <w:numPr>
          <w:ilvl w:val="0"/>
          <w:numId w:val="1048"/>
        </w:numPr>
        <w:pStyle w:val="Compact"/>
      </w:pPr>
      <w:r>
        <w:t xml:space="preserve">Xorijiy investorlar uchun bozor jozibadorligi pasayadi.</w:t>
      </w:r>
    </w:p>
    <w:bookmarkEnd w:id="98"/>
    <w:bookmarkStart w:id="99" w:name="asos-15"/>
    <w:p>
      <w:pPr>
        <w:pStyle w:val="Heading2"/>
      </w:pPr>
      <w:r>
        <w:t xml:space="preserve">Asos</w:t>
      </w:r>
    </w:p>
    <w:p>
      <w:pPr>
        <w:numPr>
          <w:ilvl w:val="0"/>
          <w:numId w:val="1049"/>
        </w:numPr>
        <w:pStyle w:val="Compact"/>
      </w:pPr>
      <w:r>
        <w:t xml:space="preserve">UzDaily,</w:t>
      </w:r>
      <w:r>
        <w:t xml:space="preserve"> </w:t>
      </w:r>
      <w:r>
        <w:t xml:space="preserve">“</w:t>
      </w:r>
      <w:r>
        <w:t xml:space="preserve">UZSE closes the year with a net profit of 12.3 billion soums</w:t>
      </w:r>
      <w:r>
        <w:t xml:space="preserve">”</w:t>
      </w:r>
      <w:r>
        <w:t xml:space="preserve"> </w:t>
      </w:r>
      <w:r>
        <w:t xml:space="preserve">(2025) — 2024 va 2023-yillar savdo hajmi va bitimlar soni.</w:t>
      </w:r>
    </w:p>
    <w:p>
      <w:pPr>
        <w:numPr>
          <w:ilvl w:val="0"/>
          <w:numId w:val="1049"/>
        </w:numPr>
        <w:pStyle w:val="Compact"/>
      </w:pPr>
      <w:r>
        <w:t xml:space="preserve">Kun.uz,</w:t>
      </w:r>
      <w:r>
        <w:t xml:space="preserve"> </w:t>
      </w:r>
      <w:r>
        <w:t xml:space="preserve">“</w:t>
      </w:r>
      <w:r>
        <w:t xml:space="preserve">Trading volume on stock exchange plummets over tenfold in Q1</w:t>
      </w:r>
      <w:r>
        <w:t xml:space="preserve">”</w:t>
      </w:r>
      <w:r>
        <w:t xml:space="preserve"> </w:t>
      </w:r>
      <w:r>
        <w:t xml:space="preserve">(2024-yil may); bne IntelliNews (2024) — I chorak ma’lumotlari va sababi.</w:t>
      </w:r>
    </w:p>
    <w:p>
      <w:pPr>
        <w:numPr>
          <w:ilvl w:val="0"/>
          <w:numId w:val="1049"/>
        </w:numPr>
        <w:pStyle w:val="Compact"/>
      </w:pPr>
      <w:r>
        <w:t xml:space="preserve">Daryo.uz,</w:t>
      </w:r>
      <w:r>
        <w:t xml:space="preserve"> </w:t>
      </w:r>
      <w:r>
        <w:t xml:space="preserve">“</w:t>
      </w:r>
      <w:r>
        <w:t xml:space="preserve">Tashkent Stock Exchange weekly turnover reaches $145mn amid M&amp;A surge</w:t>
      </w:r>
      <w:r>
        <w:t xml:space="preserve">”</w:t>
      </w:r>
      <w:r>
        <w:t xml:space="preserve"> </w:t>
      </w:r>
      <w:r>
        <w:t xml:space="preserve">(2024-yil 18-noyabr) — BRBN ulushi.</w:t>
      </w:r>
    </w:p>
    <w:p>
      <w:pPr>
        <w:numPr>
          <w:ilvl w:val="0"/>
          <w:numId w:val="1049"/>
        </w:numPr>
        <w:pStyle w:val="Compact"/>
      </w:pPr>
      <w:r>
        <w:t xml:space="preserve">Eslatma: raqamlarni darsdan oldin uzse.uz saytidagi rasmiy ma’lumotlar bilan solishtirish tavsiya etiladi.</w:t>
      </w:r>
    </w:p>
    <w:bookmarkEnd w:id="99"/>
    <w:bookmarkEnd w:id="100"/>
    <w:bookmarkStart w:id="105" w:name="Xaeb80f5c38a27cdb4121bdbd842e969388ba098"/>
    <w:p>
      <w:pPr>
        <w:pStyle w:val="Heading1"/>
      </w:pPr>
      <w:r>
        <w:t xml:space="preserve">19-slayd uchun: Keys 7 — UzAuto Motors IPO (2022–2023)</w:t>
      </w:r>
    </w:p>
    <w:p>
      <w:pPr>
        <w:pStyle w:val="FirstParagraph"/>
      </w:pPr>
      <w:r>
        <w:rPr>
          <w:bCs/>
          <w:b/>
        </w:rPr>
        <w:t xml:space="preserve">Slayd maqsadi:</w:t>
      </w:r>
      <w:r>
        <w:t xml:space="preserve"> </w:t>
      </w:r>
      <w:r>
        <w:t xml:space="preserve">kichik bozorda yirik emissiyani joylashtirish riski — talab va likvidlik riskini ko‘rsatish.</w:t>
      </w:r>
      <w:r>
        <w:t xml:space="preserve"> </w:t>
      </w:r>
      <w:r>
        <w:rPr>
          <w:bCs/>
          <w:b/>
        </w:rPr>
        <w:t xml:space="preserve">Vaqt:</w:t>
      </w:r>
      <w:r>
        <w:t xml:space="preserve"> </w:t>
      </w:r>
      <w:r>
        <w:t xml:space="preserve">3 daqiqa.</w:t>
      </w:r>
    </w:p>
    <w:bookmarkStart w:id="101" w:name="nutq-18"/>
    <w:p>
      <w:pPr>
        <w:pStyle w:val="Heading2"/>
      </w:pPr>
      <w:r>
        <w:t xml:space="preserve">Nutq</w:t>
      </w:r>
    </w:p>
    <w:p>
      <w:pPr>
        <w:pStyle w:val="FirstParagraph"/>
      </w:pPr>
      <w:r>
        <w:t xml:space="preserve">“UzAuto Motors — O‘zbekistonning eng yirik avtomobil ishlab chiqaruvchisi. 2022-yil oxirida u aksiyalarining 5 foizigacha qismini fond birjasida sotib, 90 mln dollargacha mablag‘ jalb qilishni rejalashtirdi. Bu mamlakat tarixidagi eng yirik IPOlardan biri bo‘lishi kerak edi.</w:t>
      </w:r>
    </w:p>
    <w:p>
      <w:pPr>
        <w:pStyle w:val="BodyText"/>
      </w:pPr>
      <w:r>
        <w:t xml:space="preserve">Ammo talab kutilganidan ancha kam bo‘ldi: rejalashtirilgan arizalarning faqat beshdan bir qismi yig‘ildi. Anderrayter — joylashtirishni tashkil qilgan broker kompaniya — bozor aksiyalarning faqat 1 foizigacha qismini qabul qila olishini tan oldi. Arizalar qabul qilish muddati ikki marta uzaytirildi: avval 28-dekabrgacha, keyin 2023-yil 15-fevralgacha.</w:t>
      </w:r>
    </w:p>
    <w:p>
      <w:pPr>
        <w:pStyle w:val="BodyText"/>
      </w:pPr>
      <w:r>
        <w:t xml:space="preserve">Nima uchun bunday bo‘ldi? Bizning bozorimiz kichik, investorlar soni kam, 18-slaydda ko‘rganimizdek likvidlik past. Bundan tashqari, joylashtirish dekabr oxiriga — xalqaro investorlarning bayram ta’tiliga to‘g‘ri keldi. Saboq: IPO hajmi, narxi va vaqti bozor imkoniyatiga mos bo‘lishi kerak.”</w:t>
      </w:r>
    </w:p>
    <w:bookmarkEnd w:id="101"/>
    <w:bookmarkStart w:id="102" w:name="misol-va-batafsil-yechim-14"/>
    <w:p>
      <w:pPr>
        <w:pStyle w:val="Heading2"/>
      </w:pPr>
      <w:r>
        <w:t xml:space="preserve">Misol va batafsil yechim</w:t>
      </w:r>
    </w:p>
    <w:p>
      <w:pPr>
        <w:numPr>
          <w:ilvl w:val="0"/>
          <w:numId w:val="1050"/>
        </w:numPr>
        <w:pStyle w:val="Compact"/>
      </w:pPr>
      <w:r>
        <w:t xml:space="preserve">Rejadagi baholash: 90 mln $ = 5% → kompaniya qiymati 90 / 0,05 =</w:t>
      </w:r>
      <w:r>
        <w:t xml:space="preserve"> </w:t>
      </w:r>
      <w:r>
        <w:rPr>
          <w:bCs/>
          <w:b/>
        </w:rPr>
        <w:t xml:space="preserve">1,8 mlrd $</w:t>
      </w:r>
      <w:r>
        <w:t xml:space="preserve">.</w:t>
      </w:r>
    </w:p>
    <w:p>
      <w:pPr>
        <w:numPr>
          <w:ilvl w:val="0"/>
          <w:numId w:val="1050"/>
        </w:numPr>
        <w:pStyle w:val="Compact"/>
      </w:pPr>
      <w:r>
        <w:t xml:space="preserve">Bozor qabul qila olgan hajm: 1% → e’lon qilingan narxlarda 17,3–19,5 mln $. Tekshirish: 17,3 / 0,01 = 1,73 mlrd $; 19,5 / 0,01 = 1,95 mlrd $ — ya’ni narx oralig‘i taxminan 1,8 mlrd $ lik baholashga mos.</w:t>
      </w:r>
    </w:p>
    <w:p>
      <w:pPr>
        <w:numPr>
          <w:ilvl w:val="0"/>
          <w:numId w:val="1050"/>
        </w:numPr>
        <w:pStyle w:val="Compact"/>
      </w:pPr>
      <w:r>
        <w:t xml:space="preserve">Talab yetishmovchiligi: rejadagi 90 mln $ o‘rniga ≈ 18 mln $ —</w:t>
      </w:r>
      <w:r>
        <w:t xml:space="preserve"> </w:t>
      </w:r>
      <w:r>
        <w:rPr>
          <w:bCs/>
          <w:b/>
        </w:rPr>
        <w:t xml:space="preserve">5 barobar kam</w:t>
      </w:r>
      <w:r>
        <w:t xml:space="preserve">, ya’ni rejaning beshdan biri.</w:t>
      </w:r>
    </w:p>
    <w:bookmarkEnd w:id="102"/>
    <w:bookmarkStart w:id="103" w:name="sabab-va-oqibat-8"/>
    <w:p>
      <w:pPr>
        <w:pStyle w:val="Heading2"/>
      </w:pPr>
      <w:r>
        <w:t xml:space="preserve">Sabab va oqibat</w:t>
      </w:r>
    </w:p>
    <w:p>
      <w:pPr>
        <w:pStyle w:val="FirstParagraph"/>
      </w:pPr>
      <w:r>
        <w:rPr>
          <w:bCs/>
          <w:b/>
        </w:rPr>
        <w:t xml:space="preserve">Sabablar:</w:t>
      </w:r>
    </w:p>
    <w:p>
      <w:pPr>
        <w:numPr>
          <w:ilvl w:val="0"/>
          <w:numId w:val="1051"/>
        </w:numPr>
        <w:pStyle w:val="Compact"/>
      </w:pPr>
      <w:r>
        <w:t xml:space="preserve">Mahalliy fond bozorining kichikligi va likvidligining pastligi.</w:t>
      </w:r>
    </w:p>
    <w:p>
      <w:pPr>
        <w:numPr>
          <w:ilvl w:val="0"/>
          <w:numId w:val="1051"/>
        </w:numPr>
        <w:pStyle w:val="Compact"/>
      </w:pPr>
      <w:r>
        <w:t xml:space="preserve">Chakana va institutsional investorlar bazasining torligi.</w:t>
      </w:r>
    </w:p>
    <w:p>
      <w:pPr>
        <w:numPr>
          <w:ilvl w:val="0"/>
          <w:numId w:val="1051"/>
        </w:numPr>
        <w:pStyle w:val="Compact"/>
      </w:pPr>
      <w:r>
        <w:t xml:space="preserve">Joylashtirish vaqtining noqulayligi (yil oxiri, xalqaro investorlar ta’tili).</w:t>
      </w:r>
    </w:p>
    <w:p>
      <w:pPr>
        <w:numPr>
          <w:ilvl w:val="0"/>
          <w:numId w:val="1051"/>
        </w:numPr>
        <w:pStyle w:val="Compact"/>
      </w:pPr>
      <w:r>
        <w:t xml:space="preserve">Tahlilchilar fikricha, IPO tayyorgarligi shoshilinch o‘tkazilgan.</w:t>
      </w:r>
    </w:p>
    <w:p>
      <w:pPr>
        <w:pStyle w:val="FirstParagraph"/>
      </w:pPr>
      <w:r>
        <w:rPr>
          <w:bCs/>
          <w:b/>
        </w:rPr>
        <w:t xml:space="preserve">Oqibatlar:</w:t>
      </w:r>
    </w:p>
    <w:p>
      <w:pPr>
        <w:numPr>
          <w:ilvl w:val="0"/>
          <w:numId w:val="1052"/>
        </w:numPr>
        <w:pStyle w:val="Compact"/>
      </w:pPr>
      <w:r>
        <w:t xml:space="preserve">Obuna muddati ikki marta uzaytirildi, rejadagi hajm qisqardi.</w:t>
      </w:r>
    </w:p>
    <w:p>
      <w:pPr>
        <w:numPr>
          <w:ilvl w:val="0"/>
          <w:numId w:val="1052"/>
        </w:numPr>
        <w:pStyle w:val="Compact"/>
      </w:pPr>
      <w:r>
        <w:t xml:space="preserve">Mahalliy bozorda yirik IPO o‘tkazish imkoniyatlariga ishonch pasaydi.</w:t>
      </w:r>
    </w:p>
    <w:p>
      <w:pPr>
        <w:numPr>
          <w:ilvl w:val="0"/>
          <w:numId w:val="1052"/>
        </w:numPr>
        <w:pStyle w:val="Compact"/>
      </w:pPr>
      <w:r>
        <w:t xml:space="preserve">Keyingi xususiylashtirish rejalarida bozor imkoniyatini oldindan baholash, chakana investorlarni jalb qilish va xalqaro joylashtirish masalalari dolzarblashdi.</w:t>
      </w:r>
    </w:p>
    <w:p>
      <w:pPr>
        <w:pStyle w:val="FirstParagraph"/>
      </w:pPr>
      <w:r>
        <w:rPr>
          <w:bCs/>
          <w:b/>
        </w:rPr>
        <w:t xml:space="preserve">Eslatma:</w:t>
      </w:r>
      <w:r>
        <w:t xml:space="preserve"> </w:t>
      </w:r>
      <w:r>
        <w:t xml:space="preserve">IPOning yakuniy natijasi bo‘yicha manbalar turlicha ma’lumot beradi (aksiyalar UZMT tikeri bilan birjaga chiqarilgani qayd etilgan); darsda faqat tasdiqlangan faktlarga tayaning.</w:t>
      </w:r>
    </w:p>
    <w:bookmarkEnd w:id="103"/>
    <w:bookmarkStart w:id="104" w:name="asos-16"/>
    <w:p>
      <w:pPr>
        <w:pStyle w:val="Heading2"/>
      </w:pPr>
      <w:r>
        <w:t xml:space="preserve">Asos</w:t>
      </w:r>
    </w:p>
    <w:p>
      <w:pPr>
        <w:numPr>
          <w:ilvl w:val="0"/>
          <w:numId w:val="1053"/>
        </w:numPr>
        <w:pStyle w:val="Compact"/>
      </w:pPr>
      <w:r>
        <w:t xml:space="preserve">bne IntelliNews,</w:t>
      </w:r>
      <w:r>
        <w:t xml:space="preserve"> </w:t>
      </w:r>
      <w:r>
        <w:t xml:space="preserve">“</w:t>
      </w:r>
      <w:r>
        <w:t xml:space="preserve">UzAuto Motors launches subscription campaign for third IPO in Uzbekistan’s history</w:t>
      </w:r>
      <w:r>
        <w:t xml:space="preserve">”</w:t>
      </w:r>
      <w:r>
        <w:t xml:space="preserve"> </w:t>
      </w:r>
      <w:r>
        <w:t xml:space="preserve">(2022) va</w:t>
      </w:r>
      <w:r>
        <w:t xml:space="preserve"> </w:t>
      </w:r>
      <w:r>
        <w:t xml:space="preserve">“</w:t>
      </w:r>
      <w:r>
        <w:t xml:space="preserve">Uzbekistan fights gloom as stock market fails to spark</w:t>
      </w:r>
      <w:r>
        <w:t xml:space="preserve">”</w:t>
      </w:r>
      <w:r>
        <w:t xml:space="preserve"> </w:t>
      </w:r>
      <w:r>
        <w:t xml:space="preserve">(2023) — reja (5%, 90 mln $), talab (beshdan bir qismi), anderrayter bahosi (1%, 17,3–19,5 mln $).</w:t>
      </w:r>
    </w:p>
    <w:p>
      <w:pPr>
        <w:numPr>
          <w:ilvl w:val="0"/>
          <w:numId w:val="1053"/>
        </w:numPr>
        <w:pStyle w:val="Compact"/>
      </w:pPr>
      <w:r>
        <w:t xml:space="preserve">Spot.uz, IPO muddatini uzaytirish to‘g‘risidagi xabar (2022-yil 29-dekabr).</w:t>
      </w:r>
    </w:p>
    <w:bookmarkEnd w:id="104"/>
    <w:bookmarkEnd w:id="105"/>
    <w:bookmarkStart w:id="110" w:name="X4aa5fd92b3811f5c928a6eb626692f4b42e5a09"/>
    <w:p>
      <w:pPr>
        <w:pStyle w:val="Heading1"/>
      </w:pPr>
      <w:r>
        <w:t xml:space="preserve">20-slayd uchun: Investor uchun beshta himoya usuli</w:t>
      </w:r>
    </w:p>
    <w:p>
      <w:pPr>
        <w:pStyle w:val="FirstParagraph"/>
      </w:pPr>
      <w:r>
        <w:rPr>
          <w:bCs/>
          <w:b/>
        </w:rPr>
        <w:t xml:space="preserve">Slayd maqsadi:</w:t>
      </w:r>
      <w:r>
        <w:t xml:space="preserve"> </w:t>
      </w:r>
      <w:r>
        <w:t xml:space="preserve">keyslardan kelib chiqqan holda riskni boshqarish usullarini tizimlashtirish.</w:t>
      </w:r>
      <w:r>
        <w:t xml:space="preserve"> </w:t>
      </w:r>
      <w:r>
        <w:rPr>
          <w:bCs/>
          <w:b/>
        </w:rPr>
        <w:t xml:space="preserve">Vaqt:</w:t>
      </w:r>
      <w:r>
        <w:t xml:space="preserve"> </w:t>
      </w:r>
      <w:r>
        <w:t xml:space="preserve">4 daqiqa.</w:t>
      </w:r>
    </w:p>
    <w:bookmarkStart w:id="106" w:name="nutq-19"/>
    <w:p>
      <w:pPr>
        <w:pStyle w:val="Heading2"/>
      </w:pPr>
      <w:r>
        <w:t xml:space="preserve">Nutq</w:t>
      </w:r>
    </w:p>
    <w:p>
      <w:pPr>
        <w:pStyle w:val="FirstParagraph"/>
      </w:pPr>
      <w:r>
        <w:t xml:space="preserve">“Keyslardan qanday xulosa chiqaramiz? Investor riskdan himoyalanish uchun beshta asosiy usuldan foydalanadi.</w:t>
      </w:r>
    </w:p>
    <w:p>
      <w:pPr>
        <w:pStyle w:val="BodyText"/>
      </w:pPr>
      <w:r>
        <w:t xml:space="preserve">Birinchisi — diversifikatsiya: mablag‘ni turli kompaniya, tarmoq va mamlakatlarga taqsimlash. U notizimli riskni kamaytiradi, lekin 2008 va 2020-yillarda ko‘rganimizdek, tizimli shokdan to‘liq himoya qilmaydi.</w:t>
      </w:r>
    </w:p>
    <w:p>
      <w:pPr>
        <w:pStyle w:val="BodyText"/>
      </w:pPr>
      <w:r>
        <w:t xml:space="preserve">Ikkinchisi — aktivlar taqsimoti: portfelning bir qismini aksiyada, bir qismini obligatsiya va depozitda saqlash. Aksiyalar tushganda boshqa aktivlar portfelni barqarorlashtiradi.</w:t>
      </w:r>
    </w:p>
    <w:p>
      <w:pPr>
        <w:pStyle w:val="BodyText"/>
      </w:pPr>
      <w:r>
        <w:t xml:space="preserve">Uchinchisi — limit va stop-loss: bitta aksiyaga portfelning ko‘pi bilan 5–10 foizini ajratish va zarar chegarasini oldindan belgilash. GameStop va Archegos keyslarida aynan shu yetishmagan.</w:t>
      </w:r>
    </w:p>
    <w:p>
      <w:pPr>
        <w:pStyle w:val="BodyText"/>
      </w:pPr>
      <w:r>
        <w:t xml:space="preserve">To‘rtinchisi — hejlash: indeks fyuchersini sotish yoki put opsion sotib olish. Bu sug‘urtaga o‘xshaydi — u himoya beradi, lekin uning ham narxi bor.</w:t>
      </w:r>
    </w:p>
    <w:p>
      <w:pPr>
        <w:pStyle w:val="BodyText"/>
      </w:pPr>
      <w:r>
        <w:t xml:space="preserve">Beshinchisi — qarzni cheklash. Archegos misoli ko‘rsatdiki, qarz kichik pasayishni bankrotlikka aylantirishi mumkin.”</w:t>
      </w:r>
    </w:p>
    <w:bookmarkEnd w:id="106"/>
    <w:bookmarkStart w:id="107" w:name="misol-va-batafsil-yechim-15"/>
    <w:p>
      <w:pPr>
        <w:pStyle w:val="Heading2"/>
      </w:pPr>
      <w:r>
        <w:t xml:space="preserve">Misol va batafsil yechim</w:t>
      </w:r>
    </w:p>
    <w:p>
      <w:pPr>
        <w:pStyle w:val="FirstParagraph"/>
      </w:pPr>
      <w:r>
        <w:rPr>
          <w:bCs/>
          <w:b/>
        </w:rPr>
        <w:t xml:space="preserve">Aktivlar taqsimoti misoli.</w:t>
      </w:r>
      <w:r>
        <w:t xml:space="preserve"> </w:t>
      </w:r>
      <w:r>
        <w:t xml:space="preserve">100 mln so‘mlik portfel: 60% aksiya, 40% depozit (yillik 18% deb faraz qilamiz — o‘quv faraz). Aksiyalar bozori 2020-yil martidagidek 34% tushdi.</w:t>
      </w:r>
    </w:p>
    <w:p>
      <w:pPr>
        <w:numPr>
          <w:ilvl w:val="0"/>
          <w:numId w:val="1054"/>
        </w:numPr>
        <w:pStyle w:val="Compact"/>
      </w:pPr>
      <w:r>
        <w:t xml:space="preserve">Aksiya qismi: 60 mln × (−0,34) = −20,4 mln so‘m.</w:t>
      </w:r>
    </w:p>
    <w:p>
      <w:pPr>
        <w:numPr>
          <w:ilvl w:val="0"/>
          <w:numId w:val="1054"/>
        </w:numPr>
        <w:pStyle w:val="Compact"/>
      </w:pPr>
      <w:r>
        <w:t xml:space="preserve">Depozit qismi: 40 mln × 18% × (1/12) ≈ +0,6 mln so‘m (bir oylik foiz).</w:t>
      </w:r>
    </w:p>
    <w:p>
      <w:pPr>
        <w:numPr>
          <w:ilvl w:val="0"/>
          <w:numId w:val="1054"/>
        </w:numPr>
        <w:pStyle w:val="Compact"/>
      </w:pPr>
      <w:r>
        <w:t xml:space="preserve">Jami: −20,4 + 0,6 =</w:t>
      </w:r>
      <w:r>
        <w:t xml:space="preserve"> </w:t>
      </w:r>
      <w:r>
        <w:rPr>
          <w:bCs/>
          <w:b/>
        </w:rPr>
        <w:t xml:space="preserve">−19,8 mln so‘m (−19,8%)</w:t>
      </w:r>
      <w:r>
        <w:t xml:space="preserve">, to‘liq aksiyali portfelda esa −34 mln so‘m (−34%).</w:t>
      </w:r>
    </w:p>
    <w:p>
      <w:pPr>
        <w:pStyle w:val="FirstParagraph"/>
      </w:pPr>
      <w:r>
        <w:rPr>
          <w:bCs/>
          <w:b/>
        </w:rPr>
        <w:t xml:space="preserve">Limit misoli.</w:t>
      </w:r>
      <w:r>
        <w:t xml:space="preserve"> </w:t>
      </w:r>
      <w:r>
        <w:t xml:space="preserve">100 mln so‘mlik portfelda bitta aksiyaga limit 10% (10 mln so‘m). Kompaniya bankrot bo‘lsa ham portfel ko‘pi bilan 10% yo‘qotadi.</w:t>
      </w:r>
    </w:p>
    <w:bookmarkEnd w:id="107"/>
    <w:bookmarkStart w:id="108" w:name="asos-17"/>
    <w:p>
      <w:pPr>
        <w:pStyle w:val="Heading2"/>
      </w:pPr>
      <w:r>
        <w:t xml:space="preserve">Asos</w:t>
      </w:r>
    </w:p>
    <w:p>
      <w:pPr>
        <w:numPr>
          <w:ilvl w:val="0"/>
          <w:numId w:val="1055"/>
        </w:numPr>
        <w:pStyle w:val="Compact"/>
      </w:pPr>
      <w:r>
        <w:t xml:space="preserve">Diversifikatsiya: H. Markowitz (1952); notizimli riskning kamayishi — Evans va Archer (1968), Statman (1987).</w:t>
      </w:r>
    </w:p>
    <w:p>
      <w:pPr>
        <w:numPr>
          <w:ilvl w:val="0"/>
          <w:numId w:val="1055"/>
        </w:numPr>
        <w:pStyle w:val="Compact"/>
      </w:pPr>
      <w:r>
        <w:t xml:space="preserve">Inqirozda korrelyatsiyaning oshishi va diversifikatsiyaning kuchsizlanishi: Longin va Solnik (2001).</w:t>
      </w:r>
    </w:p>
    <w:p>
      <w:pPr>
        <w:numPr>
          <w:ilvl w:val="0"/>
          <w:numId w:val="1055"/>
        </w:numPr>
        <w:pStyle w:val="Compact"/>
      </w:pPr>
      <w:r>
        <w:t xml:space="preserve">Hejlash vositalari (fyuchers, opsion): J. Hull,</w:t>
      </w:r>
      <w:r>
        <w:t xml:space="preserve"> </w:t>
      </w:r>
      <w:r>
        <w:t xml:space="preserve">“</w:t>
      </w:r>
      <w:r>
        <w:t xml:space="preserve">Options, Futures, and Other Derivatives</w:t>
      </w:r>
      <w:r>
        <w:t xml:space="preserve">”</w:t>
      </w:r>
      <w:r>
        <w:t xml:space="preserve"> </w:t>
      </w:r>
      <w:r>
        <w:t xml:space="preserve">(11-nashr, 2022).</w:t>
      </w:r>
    </w:p>
    <w:bookmarkEnd w:id="108"/>
    <w:bookmarkStart w:id="109" w:name="talabalarga-savollar-6"/>
    <w:p>
      <w:pPr>
        <w:pStyle w:val="Heading2"/>
      </w:pPr>
      <w:r>
        <w:t xml:space="preserve">Talabalarga savollar</w:t>
      </w:r>
    </w:p>
    <w:p>
      <w:pPr>
        <w:numPr>
          <w:ilvl w:val="0"/>
          <w:numId w:val="1056"/>
        </w:numPr>
        <w:pStyle w:val="Compact"/>
      </w:pPr>
      <w:r>
        <w:rPr>
          <w:iCs/>
          <w:i/>
        </w:rPr>
        <w:t xml:space="preserve">O‘zbekiston bozorida bu usullardan qaysilari hozir mavjud?</w:t>
      </w:r>
      <w:r>
        <w:t xml:space="preserve"> </w:t>
      </w:r>
      <w:r>
        <w:t xml:space="preserve">— Diversifikatsiya, aktivlar taqsimoti, limitlar — mavjud; birja derivativlari (fyuchers, opsion) hali rivojlanmagan, shuning uchun hejlash imkoniyati cheklangan.</w:t>
      </w:r>
    </w:p>
    <w:bookmarkEnd w:id="109"/>
    <w:bookmarkEnd w:id="110"/>
    <w:bookmarkStart w:id="114" w:name="Xef3f2e05b40351715b03d1176cb7b6801123e29"/>
    <w:p>
      <w:pPr>
        <w:pStyle w:val="Heading1"/>
      </w:pPr>
      <w:r>
        <w:t xml:space="preserve">21-slayd uchun: Regulyator qanday himoya qiladi?</w:t>
      </w:r>
    </w:p>
    <w:p>
      <w:pPr>
        <w:pStyle w:val="FirstParagraph"/>
      </w:pPr>
      <w:r>
        <w:rPr>
          <w:bCs/>
          <w:b/>
        </w:rPr>
        <w:t xml:space="preserve">Slayd maqsadi:</w:t>
      </w:r>
      <w:r>
        <w:t xml:space="preserve"> </w:t>
      </w:r>
      <w:r>
        <w:t xml:space="preserve">bozor darajasidagi himoya mexanizmlarini tushuntirish.</w:t>
      </w:r>
      <w:r>
        <w:t xml:space="preserve"> </w:t>
      </w:r>
      <w:r>
        <w:rPr>
          <w:bCs/>
          <w:b/>
        </w:rPr>
        <w:t xml:space="preserve">Vaqt:</w:t>
      </w:r>
      <w:r>
        <w:t xml:space="preserve"> </w:t>
      </w:r>
      <w:r>
        <w:t xml:space="preserve">3 daqiqa.</w:t>
      </w:r>
    </w:p>
    <w:bookmarkStart w:id="111" w:name="nutq-20"/>
    <w:p>
      <w:pPr>
        <w:pStyle w:val="Heading2"/>
      </w:pPr>
      <w:r>
        <w:t xml:space="preserve">Nutq</w:t>
      </w:r>
    </w:p>
    <w:p>
      <w:pPr>
        <w:pStyle w:val="FirstParagraph"/>
      </w:pPr>
      <w:r>
        <w:t xml:space="preserve">“Investor o‘zini himoya qilishi bilan birga, butun bozorni ham himoya qiladigan mexanizmlar bor. Ularni regulyator — davlat organi va birja belgilaydi.</w:t>
      </w:r>
    </w:p>
    <w:p>
      <w:pPr>
        <w:pStyle w:val="BodyText"/>
      </w:pPr>
      <w:r>
        <w:t xml:space="preserve">Birinchisi — circuit breaker: keskin tushishda savdo vaqtincha to‘xtatiladi. AQShda S&amp;P 500 bir kunda 7% tushsa — 15 daqiqa, 13% tushsa — yana 15 daqiqa, 20% tushsa — kun oxirigacha savdo to‘xtaydi. 2020-yil martida bu to‘rt marta ishga tushdi.</w:t>
      </w:r>
    </w:p>
    <w:p>
      <w:pPr>
        <w:pStyle w:val="BodyText"/>
      </w:pPr>
      <w:r>
        <w:t xml:space="preserve">Ikkinchisi — marja talablari: investor qarz bilan savdo qilganda o‘z mablag‘ining minimal ulushi belgilanadi. Archegos keysida banklar bu nazoratni yetarli qilmagan.</w:t>
      </w:r>
    </w:p>
    <w:p>
      <w:pPr>
        <w:pStyle w:val="BodyText"/>
      </w:pPr>
      <w:r>
        <w:t xml:space="preserve">Uchinchisi — oshkoralik: birjadagi kompaniyalar moliyaviy hisobotlarini va muhim voqealarni e’lon qilishi shart, shunda investorlar riskni baholay oladi.</w:t>
      </w:r>
    </w:p>
    <w:p>
      <w:pPr>
        <w:pStyle w:val="BodyText"/>
      </w:pPr>
      <w:r>
        <w:t xml:space="preserve">To‘rtinchisi — insayder savdosini taqiqlash: hali e’lon qilinmagan yopiq axborotdan foydalanib savdo qilish man etiladi.</w:t>
      </w:r>
    </w:p>
    <w:p>
      <w:pPr>
        <w:pStyle w:val="BodyText"/>
      </w:pPr>
      <w:r>
        <w:t xml:space="preserve">O‘zbekistonda bu sohani</w:t>
      </w:r>
      <w:r>
        <w:t xml:space="preserve"> </w:t>
      </w:r>
      <w:r>
        <w:t xml:space="preserve">“</w:t>
      </w:r>
      <w:r>
        <w:t xml:space="preserve">Qimmatli qog‘ozlar bozori to‘g‘risida</w:t>
      </w:r>
      <w:r>
        <w:t xml:space="preserve">”</w:t>
      </w:r>
      <w:r>
        <w:t xml:space="preserve">gi Qonun tartibga soladi. 2023-yildan kapital bozorini Istiqbolli loyihalar milliy agentligi tartibga solib kelmoqda.”</w:t>
      </w:r>
    </w:p>
    <w:bookmarkEnd w:id="111"/>
    <w:bookmarkStart w:id="112" w:name="misol-va-batafsil-yechim-16"/>
    <w:p>
      <w:pPr>
        <w:pStyle w:val="Heading2"/>
      </w:pPr>
      <w:r>
        <w:t xml:space="preserve">Misol va batafsil yechim</w:t>
      </w:r>
    </w:p>
    <w:p>
      <w:pPr>
        <w:pStyle w:val="FirstParagraph"/>
      </w:pPr>
      <w:r>
        <w:rPr>
          <w:bCs/>
          <w:b/>
        </w:rPr>
        <w:t xml:space="preserve">Circuit breaker darajalari (AQSh).</w:t>
      </w:r>
      <w:r>
        <w:t xml:space="preserve"> </w:t>
      </w:r>
      <w:r>
        <w:t xml:space="preserve">Oldingi kun yopilish qiymati 5 000 punkt bo‘lsa:</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2112"/>
        <w:gridCol w:w="2112"/>
        <w:gridCol w:w="2112"/>
        <w:gridCol w:w="1584"/>
      </w:tblGrid>
      <w:tr>
        <w:trPr>
          <w:tblHeader w:val="true"/>
        </w:trPr>
        <w:tc>
          <w:tcPr>
            <w:shd w:val="clear" w:color="auto" w:fill="DDEBF7"/>
          </w:tcPr>
          <w:p>
            <w:pPr>
              <w:pStyle w:val="Compact"/>
              <w:spacing w:after="20" w:before="20" w:line="240" w:lineRule="auto"/>
              <w:jc w:val="center"/>
            </w:pPr>
            <w:r>
              <w:rPr>
                <w:b/>
                <w:sz w:val="21"/>
              </w:rPr>
              <w:t xml:space="preserve">Daraja</w:t>
            </w:r>
          </w:p>
        </w:tc>
        <w:tc>
          <w:tcPr>
            <w:shd w:val="clear" w:color="auto" w:fill="DDEBF7"/>
          </w:tcPr>
          <w:p>
            <w:pPr>
              <w:pStyle w:val="Compact"/>
              <w:spacing w:after="20" w:before="20" w:line="240" w:lineRule="auto"/>
              <w:jc w:val="center"/>
            </w:pPr>
            <w:r>
              <w:rPr>
                <w:b/>
                <w:sz w:val="21"/>
              </w:rPr>
              <w:t xml:space="preserve">Pasayish</w:t>
            </w:r>
          </w:p>
        </w:tc>
        <w:tc>
          <w:tcPr>
            <w:shd w:val="clear" w:color="auto" w:fill="DDEBF7"/>
          </w:tcPr>
          <w:p>
            <w:pPr>
              <w:pStyle w:val="Compact"/>
              <w:spacing w:after="20" w:before="20" w:line="240" w:lineRule="auto"/>
              <w:jc w:val="center"/>
            </w:pPr>
            <w:r>
              <w:rPr>
                <w:b/>
                <w:sz w:val="21"/>
              </w:rPr>
              <w:t xml:space="preserve">Indeks darajasi</w:t>
            </w:r>
          </w:p>
        </w:tc>
        <w:tc>
          <w:tcPr>
            <w:shd w:val="clear" w:color="auto" w:fill="DDEBF7"/>
          </w:tcPr>
          <w:p>
            <w:pPr>
              <w:pStyle w:val="Compact"/>
              <w:spacing w:after="20" w:before="20" w:line="240" w:lineRule="auto"/>
              <w:jc w:val="left"/>
            </w:pPr>
            <w:r>
              <w:rPr>
                <w:b/>
                <w:sz w:val="21"/>
              </w:rPr>
              <w:t xml:space="preserve">Choralar</w:t>
            </w:r>
          </w:p>
        </w:tc>
      </w:tr>
      <w:tr>
        <w:tc>
          <w:tcPr/>
          <w:p>
            <w:pPr>
              <w:pStyle w:val="Compact"/>
              <w:spacing w:after="20" w:before="20" w:line="240" w:lineRule="auto"/>
              <w:jc w:val="center"/>
            </w:pPr>
            <w:r>
              <w:rPr>
                <w:sz w:val="21"/>
              </w:rPr>
              <w:t xml:space="preserve">1</w:t>
            </w:r>
          </w:p>
        </w:tc>
        <w:tc>
          <w:tcPr/>
          <w:p>
            <w:pPr>
              <w:pStyle w:val="Compact"/>
              <w:spacing w:after="20" w:before="20" w:line="240" w:lineRule="auto"/>
              <w:jc w:val="center"/>
            </w:pPr>
            <w:r>
              <w:rPr>
                <w:sz w:val="21"/>
              </w:rPr>
              <w:t xml:space="preserve">7%</w:t>
            </w:r>
          </w:p>
        </w:tc>
        <w:tc>
          <w:tcPr/>
          <w:p>
            <w:pPr>
              <w:pStyle w:val="Compact"/>
              <w:spacing w:after="20" w:before="20" w:line="240" w:lineRule="auto"/>
              <w:jc w:val="center"/>
            </w:pPr>
            <w:r>
              <w:rPr>
                <w:sz w:val="21"/>
              </w:rPr>
              <w:t xml:space="preserve">5 000 × 0,93 = 4 650</w:t>
            </w:r>
          </w:p>
        </w:tc>
        <w:tc>
          <w:tcPr/>
          <w:p>
            <w:pPr>
              <w:pStyle w:val="Compact"/>
              <w:spacing w:after="20" w:before="20" w:line="240" w:lineRule="auto"/>
              <w:jc w:val="left"/>
            </w:pPr>
            <w:r>
              <w:rPr>
                <w:sz w:val="21"/>
              </w:rPr>
              <w:t xml:space="preserve">15 daqiqa to‘xtatish (agar soat 15:25 dan oldin bo‘lsa)</w:t>
            </w:r>
          </w:p>
        </w:tc>
      </w:tr>
      <w:tr>
        <w:tc>
          <w:tcPr/>
          <w:p>
            <w:pPr>
              <w:pStyle w:val="Compact"/>
              <w:spacing w:after="20" w:before="20" w:line="240" w:lineRule="auto"/>
              <w:jc w:val="center"/>
            </w:pPr>
            <w:r>
              <w:rPr>
                <w:sz w:val="21"/>
              </w:rPr>
              <w:t xml:space="preserve">2</w:t>
            </w:r>
          </w:p>
        </w:tc>
        <w:tc>
          <w:tcPr/>
          <w:p>
            <w:pPr>
              <w:pStyle w:val="Compact"/>
              <w:spacing w:after="20" w:before="20" w:line="240" w:lineRule="auto"/>
              <w:jc w:val="center"/>
            </w:pPr>
            <w:r>
              <w:rPr>
                <w:sz w:val="21"/>
              </w:rPr>
              <w:t xml:space="preserve">13%</w:t>
            </w:r>
          </w:p>
        </w:tc>
        <w:tc>
          <w:tcPr/>
          <w:p>
            <w:pPr>
              <w:pStyle w:val="Compact"/>
              <w:spacing w:after="20" w:before="20" w:line="240" w:lineRule="auto"/>
              <w:jc w:val="center"/>
            </w:pPr>
            <w:r>
              <w:rPr>
                <w:sz w:val="21"/>
              </w:rPr>
              <w:t xml:space="preserve">5 000 × 0,87 = 4 350</w:t>
            </w:r>
          </w:p>
        </w:tc>
        <w:tc>
          <w:tcPr/>
          <w:p>
            <w:pPr>
              <w:pStyle w:val="Compact"/>
              <w:spacing w:after="20" w:before="20" w:line="240" w:lineRule="auto"/>
              <w:jc w:val="left"/>
            </w:pPr>
            <w:r>
              <w:rPr>
                <w:sz w:val="21"/>
              </w:rPr>
              <w:t xml:space="preserve">15 daqiqa to‘xtatish (agar soat 15:25 dan oldin bo‘lsa)</w:t>
            </w:r>
          </w:p>
        </w:tc>
      </w:tr>
      <w:tr>
        <w:tc>
          <w:tcPr/>
          <w:p>
            <w:pPr>
              <w:pStyle w:val="Compact"/>
              <w:spacing w:after="20" w:before="20" w:line="240" w:lineRule="auto"/>
              <w:jc w:val="center"/>
            </w:pPr>
            <w:r>
              <w:rPr>
                <w:sz w:val="21"/>
              </w:rPr>
              <w:t xml:space="preserve">3</w:t>
            </w:r>
          </w:p>
        </w:tc>
        <w:tc>
          <w:tcPr/>
          <w:p>
            <w:pPr>
              <w:pStyle w:val="Compact"/>
              <w:spacing w:after="20" w:before="20" w:line="240" w:lineRule="auto"/>
              <w:jc w:val="center"/>
            </w:pPr>
            <w:r>
              <w:rPr>
                <w:sz w:val="21"/>
              </w:rPr>
              <w:t xml:space="preserve">20%</w:t>
            </w:r>
          </w:p>
        </w:tc>
        <w:tc>
          <w:tcPr/>
          <w:p>
            <w:pPr>
              <w:pStyle w:val="Compact"/>
              <w:spacing w:after="20" w:before="20" w:line="240" w:lineRule="auto"/>
              <w:jc w:val="center"/>
            </w:pPr>
            <w:r>
              <w:rPr>
                <w:sz w:val="21"/>
              </w:rPr>
              <w:t xml:space="preserve">5 000 × 0,80 = 4 000</w:t>
            </w:r>
          </w:p>
        </w:tc>
        <w:tc>
          <w:tcPr/>
          <w:p>
            <w:pPr>
              <w:pStyle w:val="Compact"/>
              <w:spacing w:after="20" w:before="20" w:line="240" w:lineRule="auto"/>
              <w:jc w:val="left"/>
            </w:pPr>
            <w:r>
              <w:rPr>
                <w:sz w:val="21"/>
              </w:rPr>
              <w:t xml:space="preserve">kun oxirigacha savdo to‘xtatiladi</w:t>
            </w:r>
          </w:p>
        </w:tc>
      </w:tr>
    </w:tbl>
    <w:bookmarkEnd w:id="112"/>
    <w:bookmarkStart w:id="113" w:name="asos-18"/>
    <w:p>
      <w:pPr>
        <w:pStyle w:val="Heading2"/>
      </w:pPr>
      <w:r>
        <w:t xml:space="preserve">Asos</w:t>
      </w:r>
    </w:p>
    <w:p>
      <w:pPr>
        <w:numPr>
          <w:ilvl w:val="0"/>
          <w:numId w:val="1057"/>
        </w:numPr>
        <w:pStyle w:val="Compact"/>
      </w:pPr>
      <w:r>
        <w:t xml:space="preserve">Market-Wide Circuit Breakers qoidalari: AQSh birjalari (NYSE Rule 7.12), SEC tomonidan 2012-yilda tasdiqlangan.</w:t>
      </w:r>
    </w:p>
    <w:p>
      <w:pPr>
        <w:numPr>
          <w:ilvl w:val="0"/>
          <w:numId w:val="1057"/>
        </w:numPr>
        <w:pStyle w:val="Compact"/>
      </w:pPr>
      <w:r>
        <w:t xml:space="preserve">O‘zbekiston Respublikasining</w:t>
      </w:r>
      <w:r>
        <w:t xml:space="preserve"> </w:t>
      </w:r>
      <w:r>
        <w:t xml:space="preserve">“</w:t>
      </w:r>
      <w:r>
        <w:t xml:space="preserve">Qimmatli qog‘ozlar bozori to‘g‘risida</w:t>
      </w:r>
      <w:r>
        <w:t xml:space="preserve">”</w:t>
      </w:r>
      <w:r>
        <w:t xml:space="preserve">gi Qonuni (O‘RQ-387-son, 2015-yil 3-iyun) — emitentlarning axborotni oshkor qilish majburiyatlari va insayder axborotdan foydalanish cheklovlari.</w:t>
      </w:r>
    </w:p>
    <w:p>
      <w:pPr>
        <w:numPr>
          <w:ilvl w:val="0"/>
          <w:numId w:val="1057"/>
        </w:numPr>
        <w:pStyle w:val="Compact"/>
      </w:pPr>
      <w:r>
        <w:t xml:space="preserve">Regulyator: CAREC tadbiridagi O‘zbekiston vakili taqdimoti (2023) — kapital bozorining regulyatori sifatida Istiqbolli loyihalar milliy agentligi (2023-yil sentabrdan). 2021-yilda Kapital bozorini rivojlantirish agentligi tugatilib, vakolatlari Moliya vazirligiga o‘tkazilgan (Prezident qarori, 2021-yil 13-aprel). Darsdan oldin regulyator haqidagi ma’lumotni rasmiy manbalarda tekshirish tavsiya etiladi.</w:t>
      </w:r>
    </w:p>
    <w:bookmarkEnd w:id="113"/>
    <w:bookmarkEnd w:id="114"/>
    <w:bookmarkStart w:id="118" w:name="X8714efb5b55de34391ebfbbf32af0e3237a10e6"/>
    <w:p>
      <w:pPr>
        <w:pStyle w:val="Heading1"/>
      </w:pPr>
      <w:r>
        <w:t xml:space="preserve">22-slayd uchun: Amaliy misol 3 — Bozor 20% tushsa nima bo‘ladi?</w:t>
      </w:r>
    </w:p>
    <w:p>
      <w:pPr>
        <w:pStyle w:val="FirstParagraph"/>
      </w:pPr>
      <w:r>
        <w:rPr>
          <w:bCs/>
          <w:b/>
        </w:rPr>
        <w:t xml:space="preserve">Slayd maqsadi:</w:t>
      </w:r>
      <w:r>
        <w:t xml:space="preserve"> </w:t>
      </w:r>
      <w:r>
        <w:t xml:space="preserve">leveraj xavfini va stop-loss ishlashini hisoblab ko‘rsatish.</w:t>
      </w:r>
      <w:r>
        <w:t xml:space="preserve"> </w:t>
      </w:r>
      <w:r>
        <w:rPr>
          <w:bCs/>
          <w:b/>
        </w:rPr>
        <w:t xml:space="preserve">Vaqt:</w:t>
      </w:r>
      <w:r>
        <w:t xml:space="preserve"> </w:t>
      </w:r>
      <w:r>
        <w:t xml:space="preserve">5 daqiqa.</w:t>
      </w:r>
    </w:p>
    <w:bookmarkStart w:id="115" w:name="nutq-21"/>
    <w:p>
      <w:pPr>
        <w:pStyle w:val="Heading2"/>
      </w:pPr>
      <w:r>
        <w:t xml:space="preserve">Nutq</w:t>
      </w:r>
    </w:p>
    <w:p>
      <w:pPr>
        <w:pStyle w:val="FirstParagraph"/>
      </w:pPr>
      <w:r>
        <w:t xml:space="preserve">“Ikki investorni solishtiramiz. Ikkalasining ham o‘z puli 100 mln so‘m. Birinchisi faqat o‘z puliga aksiya sotib oldi. Ikkinchisi yana 400 mln so‘m qarz olib, 500 mln so‘mlik aksiya sotib oldi. Bozor 20% tushdi. Kim qancha yo‘qotdi?</w:t>
      </w:r>
    </w:p>
    <w:p>
      <w:pPr>
        <w:pStyle w:val="BodyText"/>
      </w:pPr>
      <w:r>
        <w:t xml:space="preserve">Birinchi investor 20 mln so‘m yo‘qotdi — o‘z pulining 20 foizi. Ikkinchi investorning aksiyalari 500 mln so‘mdan 400 mln so‘mga tushdi. Bu 400 mln so‘m faqat qarzni qoplaydi. Uning o‘z puli to‘liq — 100 foiz yo‘qoldi. Mana, qarz kichik pasayishni to‘liq bankrotlikka qanday aylantiradi. Archegos bilan aynan shu sodir bo‘ldi.</w:t>
      </w:r>
    </w:p>
    <w:p>
      <w:pPr>
        <w:pStyle w:val="BodyText"/>
      </w:pPr>
      <w:r>
        <w:t xml:space="preserve">O‘ng tomonda stop-loss misoli. Investor 10 000 dona aksiyani 20 000 so‘mdan sotib oldi va brokerga</w:t>
      </w:r>
      <w:r>
        <w:t xml:space="preserve"> </w:t>
      </w:r>
      <w:r>
        <w:t xml:space="preserve">‘</w:t>
      </w:r>
      <w:r>
        <w:t xml:space="preserve">narx 18 000 so‘mga tushsa, avtomatik soting</w:t>
      </w:r>
      <w:r>
        <w:t xml:space="preserve">’</w:t>
      </w:r>
      <w:r>
        <w:t xml:space="preserve"> </w:t>
      </w:r>
      <w:r>
        <w:t xml:space="preserve">degan buyruq berdi. Shunda maksimal zarari taxminan 20 mln so‘m bilan cheklanadi. Lekin bir ogohlantirish bor: agar kechasi yomon yangilik chiqsa va ertalab narx to‘g‘ridan-to‘g‘ri 16 500 so‘mdan ochilsa, aksiya 18 000 dan emas, 16 500 dan sotiladi. Kam likvid bozorda esa xaridor topilmasligi ham mumkin.”</w:t>
      </w:r>
    </w:p>
    <w:bookmarkEnd w:id="115"/>
    <w:bookmarkStart w:id="116" w:name="misol-va-batafsil-yechim-17"/>
    <w:p>
      <w:pPr>
        <w:pStyle w:val="Heading2"/>
      </w:pPr>
      <w:r>
        <w:t xml:space="preserve">Misol va batafsil yechim</w:t>
      </w:r>
    </w:p>
    <w:p>
      <w:pPr>
        <w:pStyle w:val="FirstParagraph"/>
      </w:pPr>
      <w:r>
        <w:rPr>
          <w:bCs/>
          <w:b/>
        </w:rPr>
        <w:t xml:space="preserve">1-qism. Leveraj.</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2640"/>
        <w:gridCol w:w="2640"/>
        <w:gridCol w:w="2640"/>
      </w:tblGrid>
      <w:tr>
        <w:trPr>
          <w:tblHeader w:val="true"/>
        </w:trPr>
        <w:tc>
          <w:tcPr>
            <w:shd w:val="clear" w:color="auto" w:fill="DDEBF7"/>
          </w:tcPr>
          <w:p>
            <w:pPr>
              <w:pStyle w:val="Compact"/>
              <w:spacing w:after="20" w:before="20" w:line="240" w:lineRule="auto"/>
              <w:jc w:val="left"/>
            </w:pPr>
            <w:r>
              <w:rPr>
                <w:b/>
                <w:sz w:val="21"/>
              </w:rPr>
              <w:t xml:space="preserve">mln so‘m</w:t>
            </w:r>
          </w:p>
        </w:tc>
        <w:tc>
          <w:tcPr>
            <w:shd w:val="clear" w:color="auto" w:fill="DDEBF7"/>
          </w:tcPr>
          <w:p>
            <w:pPr>
              <w:pStyle w:val="Compact"/>
              <w:spacing w:after="20" w:before="20" w:line="240" w:lineRule="auto"/>
              <w:jc w:val="right"/>
            </w:pPr>
            <w:r>
              <w:rPr>
                <w:b/>
                <w:sz w:val="21"/>
              </w:rPr>
              <w:t xml:space="preserve">Qarzsiz</w:t>
            </w:r>
          </w:p>
        </w:tc>
        <w:tc>
          <w:tcPr>
            <w:shd w:val="clear" w:color="auto" w:fill="DDEBF7"/>
          </w:tcPr>
          <w:p>
            <w:pPr>
              <w:pStyle w:val="Compact"/>
              <w:spacing w:after="20" w:before="20" w:line="240" w:lineRule="auto"/>
              <w:jc w:val="right"/>
            </w:pPr>
            <w:r>
              <w:rPr>
                <w:b/>
                <w:sz w:val="21"/>
              </w:rPr>
              <w:t xml:space="preserve">Qarz bilan (5×)</w:t>
            </w:r>
          </w:p>
        </w:tc>
      </w:tr>
      <w:tr>
        <w:tc>
          <w:tcPr/>
          <w:p>
            <w:pPr>
              <w:pStyle w:val="Compact"/>
              <w:spacing w:after="20" w:before="20" w:line="240" w:lineRule="auto"/>
              <w:jc w:val="left"/>
            </w:pPr>
            <w:r>
              <w:rPr>
                <w:sz w:val="21"/>
              </w:rPr>
              <w:t xml:space="preserve">O‘z puli</w:t>
            </w:r>
          </w:p>
        </w:tc>
        <w:tc>
          <w:tcPr/>
          <w:p>
            <w:pPr>
              <w:pStyle w:val="Compact"/>
              <w:spacing w:after="20" w:before="20" w:line="240" w:lineRule="auto"/>
              <w:jc w:val="right"/>
            </w:pPr>
            <w:r>
              <w:rPr>
                <w:sz w:val="21"/>
              </w:rPr>
              <w:t xml:space="preserve">100</w:t>
            </w:r>
          </w:p>
        </w:tc>
        <w:tc>
          <w:tcPr/>
          <w:p>
            <w:pPr>
              <w:pStyle w:val="Compact"/>
              <w:spacing w:after="20" w:before="20" w:line="240" w:lineRule="auto"/>
              <w:jc w:val="right"/>
            </w:pPr>
            <w:r>
              <w:rPr>
                <w:sz w:val="21"/>
              </w:rPr>
              <w:t xml:space="preserve">100</w:t>
            </w:r>
          </w:p>
        </w:tc>
      </w:tr>
      <w:tr>
        <w:tc>
          <w:tcPr/>
          <w:p>
            <w:pPr>
              <w:pStyle w:val="Compact"/>
              <w:spacing w:after="20" w:before="20" w:line="240" w:lineRule="auto"/>
              <w:jc w:val="left"/>
            </w:pPr>
            <w:r>
              <w:rPr>
                <w:sz w:val="21"/>
              </w:rPr>
              <w:t xml:space="preserve">Qarz</w:t>
            </w:r>
          </w:p>
        </w:tc>
        <w:tc>
          <w:tcPr/>
          <w:p>
            <w:pPr>
              <w:pStyle w:val="Compact"/>
              <w:spacing w:after="20" w:before="20" w:line="240" w:lineRule="auto"/>
              <w:jc w:val="right"/>
            </w:pPr>
            <w:r>
              <w:rPr>
                <w:sz w:val="21"/>
              </w:rPr>
              <w:t xml:space="preserve">0</w:t>
            </w:r>
          </w:p>
        </w:tc>
        <w:tc>
          <w:tcPr/>
          <w:p>
            <w:pPr>
              <w:pStyle w:val="Compact"/>
              <w:spacing w:after="20" w:before="20" w:line="240" w:lineRule="auto"/>
              <w:jc w:val="right"/>
            </w:pPr>
            <w:r>
              <w:rPr>
                <w:sz w:val="21"/>
              </w:rPr>
              <w:t xml:space="preserve">400</w:t>
            </w:r>
          </w:p>
        </w:tc>
      </w:tr>
      <w:tr>
        <w:tc>
          <w:tcPr/>
          <w:p>
            <w:pPr>
              <w:pStyle w:val="Compact"/>
              <w:spacing w:after="20" w:before="20" w:line="240" w:lineRule="auto"/>
              <w:jc w:val="left"/>
            </w:pPr>
            <w:r>
              <w:rPr>
                <w:sz w:val="21"/>
              </w:rPr>
              <w:t xml:space="preserve">Aksiyalar qiymati</w:t>
            </w:r>
          </w:p>
        </w:tc>
        <w:tc>
          <w:tcPr/>
          <w:p>
            <w:pPr>
              <w:pStyle w:val="Compact"/>
              <w:spacing w:after="20" w:before="20" w:line="240" w:lineRule="auto"/>
              <w:jc w:val="right"/>
            </w:pPr>
            <w:r>
              <w:rPr>
                <w:sz w:val="21"/>
              </w:rPr>
              <w:t xml:space="preserve">100</w:t>
            </w:r>
          </w:p>
        </w:tc>
        <w:tc>
          <w:tcPr/>
          <w:p>
            <w:pPr>
              <w:pStyle w:val="Compact"/>
              <w:spacing w:after="20" w:before="20" w:line="240" w:lineRule="auto"/>
              <w:jc w:val="right"/>
            </w:pPr>
            <w:r>
              <w:rPr>
                <w:sz w:val="21"/>
              </w:rPr>
              <w:t xml:space="preserve">500</w:t>
            </w:r>
          </w:p>
        </w:tc>
      </w:tr>
      <w:tr>
        <w:tc>
          <w:tcPr/>
          <w:p>
            <w:pPr>
              <w:pStyle w:val="Compact"/>
              <w:spacing w:after="20" w:before="20" w:line="240" w:lineRule="auto"/>
              <w:jc w:val="left"/>
            </w:pPr>
            <w:r>
              <w:rPr>
                <w:sz w:val="21"/>
              </w:rPr>
              <w:t xml:space="preserve">Bozor −20% dan keyin aksiyalar</w:t>
            </w:r>
          </w:p>
        </w:tc>
        <w:tc>
          <w:tcPr/>
          <w:p>
            <w:pPr>
              <w:pStyle w:val="Compact"/>
              <w:spacing w:after="20" w:before="20" w:line="240" w:lineRule="auto"/>
              <w:jc w:val="right"/>
            </w:pPr>
            <w:r>
              <w:rPr>
                <w:sz w:val="21"/>
              </w:rPr>
              <w:t xml:space="preserve">100 × 0,8 = 80</w:t>
            </w:r>
          </w:p>
        </w:tc>
        <w:tc>
          <w:tcPr/>
          <w:p>
            <w:pPr>
              <w:pStyle w:val="Compact"/>
              <w:spacing w:after="20" w:before="20" w:line="240" w:lineRule="auto"/>
              <w:jc w:val="right"/>
            </w:pPr>
            <w:r>
              <w:rPr>
                <w:sz w:val="21"/>
              </w:rPr>
              <w:t xml:space="preserve">500 × 0,8 = 400</w:t>
            </w:r>
          </w:p>
        </w:tc>
      </w:tr>
      <w:tr>
        <w:tc>
          <w:tcPr/>
          <w:p>
            <w:pPr>
              <w:pStyle w:val="Compact"/>
              <w:spacing w:after="20" w:before="20" w:line="240" w:lineRule="auto"/>
              <w:jc w:val="left"/>
            </w:pPr>
            <w:r>
              <w:rPr>
                <w:sz w:val="21"/>
              </w:rPr>
              <w:t xml:space="preserve">Qarzni qaytargandan keyin qoladi</w:t>
            </w:r>
          </w:p>
        </w:tc>
        <w:tc>
          <w:tcPr/>
          <w:p>
            <w:pPr>
              <w:pStyle w:val="Compact"/>
              <w:spacing w:after="20" w:before="20" w:line="240" w:lineRule="auto"/>
              <w:jc w:val="right"/>
            </w:pPr>
            <w:r>
              <w:rPr>
                <w:sz w:val="21"/>
              </w:rPr>
              <w:t xml:space="preserve">80</w:t>
            </w:r>
          </w:p>
        </w:tc>
        <w:tc>
          <w:tcPr/>
          <w:p>
            <w:pPr>
              <w:pStyle w:val="Compact"/>
              <w:spacing w:after="20" w:before="20" w:line="240" w:lineRule="auto"/>
              <w:jc w:val="right"/>
            </w:pPr>
            <w:r>
              <w:rPr>
                <w:sz w:val="21"/>
              </w:rPr>
              <w:t xml:space="preserve">400 − 400 = 0</w:t>
            </w:r>
          </w:p>
        </w:tc>
      </w:tr>
      <w:tr>
        <w:tc>
          <w:tcPr/>
          <w:p>
            <w:pPr>
              <w:pStyle w:val="Compact"/>
              <w:spacing w:after="20" w:before="20" w:line="240" w:lineRule="auto"/>
              <w:jc w:val="left"/>
            </w:pPr>
            <w:r>
              <w:rPr>
                <w:sz w:val="21"/>
              </w:rPr>
              <w:t xml:space="preserve">Zarar</w:t>
            </w:r>
          </w:p>
        </w:tc>
        <w:tc>
          <w:tcPr/>
          <w:p>
            <w:pPr>
              <w:pStyle w:val="Compact"/>
              <w:spacing w:after="20" w:before="20" w:line="240" w:lineRule="auto"/>
              <w:jc w:val="right"/>
            </w:pPr>
            <w:r>
              <w:rPr>
                <w:sz w:val="21"/>
              </w:rPr>
              <w:t xml:space="preserve">−20</w:t>
            </w:r>
          </w:p>
        </w:tc>
        <w:tc>
          <w:tcPr/>
          <w:p>
            <w:pPr>
              <w:pStyle w:val="Compact"/>
              <w:spacing w:after="20" w:before="20" w:line="240" w:lineRule="auto"/>
              <w:jc w:val="right"/>
            </w:pPr>
            <w:r>
              <w:rPr>
                <w:sz w:val="21"/>
              </w:rPr>
              <w:t xml:space="preserve">−100</w:t>
            </w:r>
          </w:p>
        </w:tc>
      </w:tr>
      <w:tr>
        <w:tc>
          <w:tcPr/>
          <w:p>
            <w:pPr>
              <w:pStyle w:val="Compact"/>
              <w:spacing w:after="20" w:before="20" w:line="240" w:lineRule="auto"/>
              <w:jc w:val="left"/>
            </w:pPr>
            <w:r>
              <w:rPr>
                <w:sz w:val="21"/>
              </w:rPr>
              <w:t xml:space="preserve">O‘z pulidan zarar</w:t>
            </w:r>
          </w:p>
        </w:tc>
        <w:tc>
          <w:tcPr/>
          <w:p>
            <w:pPr>
              <w:pStyle w:val="Compact"/>
              <w:spacing w:after="20" w:before="20" w:line="240" w:lineRule="auto"/>
              <w:jc w:val="right"/>
            </w:pPr>
            <w:r>
              <w:rPr>
                <w:sz w:val="21"/>
              </w:rPr>
              <w:t xml:space="preserve">−20%</w:t>
            </w:r>
          </w:p>
        </w:tc>
        <w:tc>
          <w:tcPr/>
          <w:p>
            <w:pPr>
              <w:pStyle w:val="Compact"/>
              <w:spacing w:after="20" w:before="20" w:line="240" w:lineRule="auto"/>
              <w:jc w:val="right"/>
            </w:pPr>
            <w:r>
              <w:rPr>
                <w:sz w:val="21"/>
              </w:rPr>
              <w:t xml:space="preserve">−100%</w:t>
            </w:r>
          </w:p>
        </w:tc>
      </w:tr>
    </w:tbl>
    <w:p>
      <w:pPr>
        <w:pStyle w:val="BodyText"/>
      </w:pPr>
      <w:r>
        <w:t xml:space="preserve">Umumiy qoida: o‘z pulidan zarar = bozor pasayishi × leveraj. Leveraj = aksiyalar qiymati / o‘z puli = 500 / 100 = 5. Zarar = 20% × 5 = 100%.</w:t>
      </w:r>
    </w:p>
    <w:p>
      <w:pPr>
        <w:pStyle w:val="BodyText"/>
      </w:pPr>
      <w:r>
        <w:t xml:space="preserve">Qo‘shimcha (talabalar o‘zi hisoblaydi): leveraj 2 bo‘lsa (100 o‘z puli + 100 qarz): zarar = 200 × 0,2 = 40 mln so‘m = o‘z pulining</w:t>
      </w:r>
      <w:r>
        <w:t xml:space="preserve"> </w:t>
      </w:r>
      <w:r>
        <w:rPr>
          <w:bCs/>
          <w:b/>
        </w:rPr>
        <w:t xml:space="preserve">40%</w:t>
      </w:r>
      <w:r>
        <w:t xml:space="preserve"> </w:t>
      </w:r>
      <w:r>
        <w:t xml:space="preserve">i. To‘liq barbod bo‘lish uchun bozor 1 / 5 =</w:t>
      </w:r>
      <w:r>
        <w:t xml:space="preserve"> </w:t>
      </w:r>
      <w:r>
        <w:rPr>
          <w:bCs/>
          <w:b/>
        </w:rPr>
        <w:t xml:space="preserve">20%</w:t>
      </w:r>
      <w:r>
        <w:t xml:space="preserve"> </w:t>
      </w:r>
      <w:r>
        <w:t xml:space="preserve">(5× da) yoki 1 / 2 =</w:t>
      </w:r>
      <w:r>
        <w:t xml:space="preserve"> </w:t>
      </w:r>
      <w:r>
        <w:rPr>
          <w:bCs/>
          <w:b/>
        </w:rPr>
        <w:t xml:space="preserve">50%</w:t>
      </w:r>
      <w:r>
        <w:t xml:space="preserve"> </w:t>
      </w:r>
      <w:r>
        <w:t xml:space="preserve">(2× da) tushishi yetarli.</w:t>
      </w:r>
    </w:p>
    <w:p>
      <w:pPr>
        <w:pStyle w:val="BodyText"/>
      </w:pPr>
      <w:r>
        <w:rPr>
          <w:bCs/>
          <w:b/>
        </w:rPr>
        <w:t xml:space="preserve">2-qism. Stop-loss.</w:t>
      </w:r>
    </w:p>
    <w:p>
      <w:pPr>
        <w:numPr>
          <w:ilvl w:val="0"/>
          <w:numId w:val="1058"/>
        </w:numPr>
        <w:pStyle w:val="Compact"/>
      </w:pPr>
      <w:r>
        <w:t xml:space="preserve">Investitsiya: 10 000 × 20 000 =</w:t>
      </w:r>
      <w:r>
        <w:t xml:space="preserve"> </w:t>
      </w:r>
      <w:r>
        <w:rPr>
          <w:bCs/>
          <w:b/>
        </w:rPr>
        <w:t xml:space="preserve">200 mln so‘m</w:t>
      </w:r>
      <w:r>
        <w:t xml:space="preserve">.</w:t>
      </w:r>
    </w:p>
    <w:p>
      <w:pPr>
        <w:numPr>
          <w:ilvl w:val="0"/>
          <w:numId w:val="1058"/>
        </w:numPr>
        <w:pStyle w:val="Compact"/>
      </w:pPr>
      <w:r>
        <w:t xml:space="preserve">Stop-loss darajasi: 20 000 × (1 − 0,10) =</w:t>
      </w:r>
      <w:r>
        <w:t xml:space="preserve"> </w:t>
      </w:r>
      <w:r>
        <w:rPr>
          <w:bCs/>
          <w:b/>
        </w:rPr>
        <w:t xml:space="preserve">18 000 so‘m</w:t>
      </w:r>
      <w:r>
        <w:t xml:space="preserve">.</w:t>
      </w:r>
    </w:p>
    <w:p>
      <w:pPr>
        <w:numPr>
          <w:ilvl w:val="0"/>
          <w:numId w:val="1058"/>
        </w:numPr>
        <w:pStyle w:val="Compact"/>
      </w:pPr>
      <w:r>
        <w:t xml:space="preserve">Rejalashtirilgan maksimal zarar: (20 000 − 18 000) × 10 000 =</w:t>
      </w:r>
      <w:r>
        <w:t xml:space="preserve"> </w:t>
      </w:r>
      <w:r>
        <w:rPr>
          <w:bCs/>
          <w:b/>
        </w:rPr>
        <w:t xml:space="preserve">20 mln so‘m</w:t>
      </w:r>
      <w:r>
        <w:t xml:space="preserve"> </w:t>
      </w:r>
      <w:r>
        <w:t xml:space="preserve">(−10%).</w:t>
      </w:r>
    </w:p>
    <w:p>
      <w:pPr>
        <w:numPr>
          <w:ilvl w:val="0"/>
          <w:numId w:val="1058"/>
        </w:numPr>
        <w:pStyle w:val="Compact"/>
      </w:pPr>
      <w:r>
        <w:t xml:space="preserve">“</w:t>
      </w:r>
      <w:r>
        <w:t xml:space="preserve">Narx sakrashi</w:t>
      </w:r>
      <w:r>
        <w:t xml:space="preserve">”</w:t>
      </w:r>
      <w:r>
        <w:t xml:space="preserve"> </w:t>
      </w:r>
      <w:r>
        <w:t xml:space="preserve">holati: narx 16 500 so‘mdan ochildi → zarar (20 000 − 16 500) × 10 000 =</w:t>
      </w:r>
      <w:r>
        <w:t xml:space="preserve"> </w:t>
      </w:r>
      <w:r>
        <w:rPr>
          <w:bCs/>
          <w:b/>
        </w:rPr>
        <w:t xml:space="preserve">35 mln so‘m</w:t>
      </w:r>
      <w:r>
        <w:t xml:space="preserve"> </w:t>
      </w:r>
      <w:r>
        <w:t xml:space="preserve">(−17,5%).</w:t>
      </w:r>
    </w:p>
    <w:bookmarkEnd w:id="116"/>
    <w:bookmarkStart w:id="117" w:name="asos-19"/>
    <w:p>
      <w:pPr>
        <w:pStyle w:val="Heading2"/>
      </w:pPr>
      <w:r>
        <w:t xml:space="preserve">Asos</w:t>
      </w:r>
    </w:p>
    <w:p>
      <w:pPr>
        <w:numPr>
          <w:ilvl w:val="0"/>
          <w:numId w:val="1059"/>
        </w:numPr>
        <w:pStyle w:val="Compact"/>
      </w:pPr>
      <w:r>
        <w:t xml:space="preserve">Leveraj zararni ko‘paytirishi: Archegos keysi (16-slayd), Credit Suisse hisoboti (2021).</w:t>
      </w:r>
    </w:p>
    <w:p>
      <w:pPr>
        <w:numPr>
          <w:ilvl w:val="0"/>
          <w:numId w:val="1059"/>
        </w:numPr>
        <w:pStyle w:val="Compact"/>
      </w:pPr>
      <w:r>
        <w:t xml:space="preserve">Stop-loss buyrug‘i belgilangan narxga yetganda bozor buyrug‘iga aylanadi va keyingi mavjud narxda bajariladi; narx sakrashida (gap) bajarilish narxi belgilangan darajadan yomonroq bo‘lishi mumkin — SEC investorlar uchun qo‘llanmasi (Investor.gov,</w:t>
      </w:r>
      <w:r>
        <w:t xml:space="preserve"> </w:t>
      </w:r>
      <w:r>
        <w:t xml:space="preserve">“</w:t>
      </w:r>
      <w:r>
        <w:t xml:space="preserve">Stop Orders</w:t>
      </w:r>
      <w:r>
        <w:t xml:space="preserve">”</w:t>
      </w:r>
      <w:r>
        <w:t xml:space="preserve">).</w:t>
      </w:r>
    </w:p>
    <w:bookmarkEnd w:id="117"/>
    <w:bookmarkEnd w:id="118"/>
    <w:bookmarkStart w:id="121" w:name="slayd-uchun-guruh-ishi"/>
    <w:p>
      <w:pPr>
        <w:pStyle w:val="Heading1"/>
      </w:pPr>
      <w:r>
        <w:t xml:space="preserve">23-slayd uchun: Guruh ishi</w:t>
      </w:r>
    </w:p>
    <w:p>
      <w:pPr>
        <w:pStyle w:val="FirstParagraph"/>
      </w:pPr>
      <w:r>
        <w:rPr>
          <w:bCs/>
          <w:b/>
        </w:rPr>
        <w:t xml:space="preserve">Slayd maqsadi:</w:t>
      </w:r>
      <w:r>
        <w:t xml:space="preserve"> </w:t>
      </w:r>
      <w:r>
        <w:t xml:space="preserve">keyslar bo‘yicha mustaqil tahlil ko‘nikmasini mustahkamlash.</w:t>
      </w:r>
      <w:r>
        <w:t xml:space="preserve"> </w:t>
      </w:r>
      <w:r>
        <w:rPr>
          <w:bCs/>
          <w:b/>
        </w:rPr>
        <w:t xml:space="preserve">Vaqt:</w:t>
      </w:r>
      <w:r>
        <w:t xml:space="preserve"> </w:t>
      </w:r>
      <w:r>
        <w:t xml:space="preserve">10 daqiqa (6 daqiqa tayyorgarlik, har bir guruhga 2 daqiqa taqdimot — vaqtga qarab).</w:t>
      </w:r>
    </w:p>
    <w:bookmarkStart w:id="119" w:name="nutq-22"/>
    <w:p>
      <w:pPr>
        <w:pStyle w:val="Heading2"/>
      </w:pPr>
      <w:r>
        <w:t xml:space="preserve">Nutq</w:t>
      </w:r>
    </w:p>
    <w:p>
      <w:pPr>
        <w:pStyle w:val="FirstParagraph"/>
      </w:pPr>
      <w:r>
        <w:t xml:space="preserve">“</w:t>
      </w:r>
      <w:r>
        <w:t xml:space="preserve">Endi navbat sizga. Guruhni to‘rtga bo‘lamiz. Har bir guruh bitta keys oladi: birinchi guruh — 2020-yilgi pandemiya, ikkinchisi — GameStop, uchinchisi — Archegos, to‘rtinchisi — UzAuto IPO. Tarqatma materialdan foydalanib, uchta savolga javob tayyorlaysiz: qaysi risklar amalga oshdi, qaysi belgi oldindan ogohlantirishi mumkin edi va siz risk menejer bo‘lsangiz nima qilardingiz. Tayyorgarlik uchun 6 daqiqa, har bir guruh 2 daqiqada taqdimot qiladi. Javoblaringizda aniq raqamlardan foydalaning.</w:t>
      </w:r>
      <w:r>
        <w:t xml:space="preserve">”</w:t>
      </w:r>
    </w:p>
    <w:bookmarkEnd w:id="119"/>
    <w:bookmarkStart w:id="120" w:name="kutilayotgan-javoblar"/>
    <w:p>
      <w:pPr>
        <w:pStyle w:val="Heading2"/>
      </w:pPr>
      <w:r>
        <w:t xml:space="preserve">Kutilayotgan javoblar</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980"/>
        <w:gridCol w:w="1980"/>
        <w:gridCol w:w="1980"/>
        <w:gridCol w:w="1980"/>
      </w:tblGrid>
      <w:tr>
        <w:trPr>
          <w:tblHeader w:val="true"/>
        </w:trPr>
        <w:tc>
          <w:tcPr>
            <w:shd w:val="clear" w:color="auto" w:fill="DDEBF7"/>
          </w:tcPr>
          <w:p>
            <w:pPr>
              <w:pStyle w:val="Compact"/>
              <w:spacing w:after="20" w:before="20" w:line="240" w:lineRule="auto"/>
              <w:jc w:val="left"/>
            </w:pPr>
            <w:r>
              <w:rPr>
                <w:b/>
                <w:sz w:val="21"/>
              </w:rPr>
              <w:t xml:space="preserve">Guruh</w:t>
            </w:r>
          </w:p>
        </w:tc>
        <w:tc>
          <w:tcPr>
            <w:shd w:val="clear" w:color="auto" w:fill="DDEBF7"/>
          </w:tcPr>
          <w:p>
            <w:pPr>
              <w:pStyle w:val="Compact"/>
              <w:spacing w:after="20" w:before="20" w:line="240" w:lineRule="auto"/>
              <w:jc w:val="left"/>
            </w:pPr>
            <w:r>
              <w:rPr>
                <w:b/>
                <w:sz w:val="21"/>
              </w:rPr>
              <w:t xml:space="preserve">Qaysi risklar?</w:t>
            </w:r>
          </w:p>
        </w:tc>
        <w:tc>
          <w:tcPr>
            <w:shd w:val="clear" w:color="auto" w:fill="DDEBF7"/>
          </w:tcPr>
          <w:p>
            <w:pPr>
              <w:pStyle w:val="Compact"/>
              <w:spacing w:after="20" w:before="20" w:line="240" w:lineRule="auto"/>
              <w:jc w:val="left"/>
            </w:pPr>
            <w:r>
              <w:rPr>
                <w:b/>
                <w:sz w:val="21"/>
              </w:rPr>
              <w:t xml:space="preserve">Ogohlantiruvchi belgi</w:t>
            </w:r>
          </w:p>
        </w:tc>
        <w:tc>
          <w:tcPr>
            <w:shd w:val="clear" w:color="auto" w:fill="DDEBF7"/>
          </w:tcPr>
          <w:p>
            <w:pPr>
              <w:pStyle w:val="Compact"/>
              <w:spacing w:after="20" w:before="20" w:line="240" w:lineRule="auto"/>
              <w:jc w:val="left"/>
            </w:pPr>
            <w:r>
              <w:rPr>
                <w:b/>
                <w:sz w:val="21"/>
              </w:rPr>
              <w:t xml:space="preserve">Risk menejer choralari</w:t>
            </w:r>
          </w:p>
        </w:tc>
      </w:tr>
      <w:tr>
        <w:tc>
          <w:tcPr/>
          <w:p>
            <w:pPr>
              <w:pStyle w:val="Compact"/>
              <w:spacing w:after="20" w:before="20" w:line="240" w:lineRule="auto"/>
              <w:jc w:val="left"/>
            </w:pPr>
            <w:r>
              <w:rPr>
                <w:sz w:val="21"/>
              </w:rPr>
              <w:t xml:space="preserve">1. Pandemiya 2020</w:t>
            </w:r>
          </w:p>
        </w:tc>
        <w:tc>
          <w:tcPr/>
          <w:p>
            <w:pPr>
              <w:pStyle w:val="Compact"/>
              <w:spacing w:after="20" w:before="20" w:line="240" w:lineRule="auto"/>
              <w:jc w:val="left"/>
            </w:pPr>
            <w:r>
              <w:rPr>
                <w:sz w:val="21"/>
              </w:rPr>
              <w:t xml:space="preserve">Tizimli risk, likvidlik riski</w:t>
            </w:r>
          </w:p>
        </w:tc>
        <w:tc>
          <w:tcPr/>
          <w:p>
            <w:pPr>
              <w:pStyle w:val="Compact"/>
              <w:spacing w:after="20" w:before="20" w:line="240" w:lineRule="auto"/>
              <w:jc w:val="left"/>
            </w:pPr>
            <w:r>
              <w:rPr>
                <w:sz w:val="21"/>
              </w:rPr>
              <w:t xml:space="preserve">Fevral oxirida VIX ning keskin oshishi, virusning Yevropaga tarqalishi</w:t>
            </w:r>
          </w:p>
        </w:tc>
        <w:tc>
          <w:tcPr/>
          <w:p>
            <w:pPr>
              <w:pStyle w:val="Compact"/>
              <w:spacing w:after="20" w:before="20" w:line="240" w:lineRule="auto"/>
              <w:jc w:val="left"/>
            </w:pPr>
            <w:r>
              <w:rPr>
                <w:sz w:val="21"/>
              </w:rPr>
              <w:t xml:space="preserve">Aksiya ulushini kamaytirish, hejlash (put opsion), vahimada sotmaslik, aktivlar taqsimotini saqlash</w:t>
            </w:r>
          </w:p>
        </w:tc>
      </w:tr>
      <w:tr>
        <w:tc>
          <w:tcPr/>
          <w:p>
            <w:pPr>
              <w:pStyle w:val="Compact"/>
              <w:spacing w:after="20" w:before="20" w:line="240" w:lineRule="auto"/>
              <w:jc w:val="left"/>
            </w:pPr>
            <w:r>
              <w:rPr>
                <w:sz w:val="21"/>
              </w:rPr>
              <w:t xml:space="preserve">2. GameStop</w:t>
            </w:r>
          </w:p>
        </w:tc>
        <w:tc>
          <w:tcPr/>
          <w:p>
            <w:pPr>
              <w:pStyle w:val="Compact"/>
              <w:spacing w:after="20" w:before="20" w:line="240" w:lineRule="auto"/>
              <w:jc w:val="left"/>
            </w:pPr>
            <w:r>
              <w:rPr>
                <w:sz w:val="21"/>
              </w:rPr>
              <w:t xml:space="preserve">Qisqa pozitsiya riski, konsentratsiya,</w:t>
            </w:r>
            <w:r>
              <w:rPr>
                <w:sz w:val="21"/>
              </w:rPr>
              <w:t xml:space="preserve"> </w:t>
            </w:r>
            <w:r>
              <w:rPr>
                <w:sz w:val="21"/>
              </w:rPr>
              <w:t xml:space="preserve">“</w:t>
            </w:r>
            <w:r>
              <w:rPr>
                <w:sz w:val="21"/>
              </w:rPr>
              <w:t xml:space="preserve">gavjum savdo</w:t>
            </w:r>
            <w:r>
              <w:rPr>
                <w:sz w:val="21"/>
              </w:rPr>
              <w:t xml:space="preserve">”</w:t>
            </w:r>
          </w:p>
        </w:tc>
        <w:tc>
          <w:tcPr/>
          <w:p>
            <w:pPr>
              <w:pStyle w:val="Compact"/>
              <w:spacing w:after="20" w:before="20" w:line="240" w:lineRule="auto"/>
              <w:jc w:val="left"/>
            </w:pPr>
            <w:r>
              <w:rPr>
                <w:sz w:val="21"/>
              </w:rPr>
              <w:t xml:space="preserve">Qisqa pozitsiyalar muomaladagi aksiyalardan ko‘p, ijtimoiy tarmoqlarda faollikning oshishi</w:t>
            </w:r>
          </w:p>
        </w:tc>
        <w:tc>
          <w:tcPr/>
          <w:p>
            <w:pPr>
              <w:pStyle w:val="Compact"/>
              <w:spacing w:after="20" w:before="20" w:line="240" w:lineRule="auto"/>
              <w:jc w:val="left"/>
            </w:pPr>
            <w:r>
              <w:rPr>
                <w:sz w:val="21"/>
              </w:rPr>
              <w:t xml:space="preserve">Qisqa pozitsiyaga limit, stop-loss, pozitsiyani kichraytirish</w:t>
            </w:r>
          </w:p>
        </w:tc>
      </w:tr>
      <w:tr>
        <w:tc>
          <w:tcPr/>
          <w:p>
            <w:pPr>
              <w:pStyle w:val="Compact"/>
              <w:spacing w:after="20" w:before="20" w:line="240" w:lineRule="auto"/>
              <w:jc w:val="left"/>
            </w:pPr>
            <w:r>
              <w:rPr>
                <w:sz w:val="21"/>
              </w:rPr>
              <w:t xml:space="preserve">3. Archegos</w:t>
            </w:r>
          </w:p>
        </w:tc>
        <w:tc>
          <w:tcPr/>
          <w:p>
            <w:pPr>
              <w:pStyle w:val="Compact"/>
              <w:spacing w:after="20" w:before="20" w:line="240" w:lineRule="auto"/>
              <w:jc w:val="left"/>
            </w:pPr>
            <w:r>
              <w:rPr>
                <w:sz w:val="21"/>
              </w:rPr>
              <w:t xml:space="preserve">Leveraj, konsentratsiya, kontragent riski</w:t>
            </w:r>
          </w:p>
        </w:tc>
        <w:tc>
          <w:tcPr/>
          <w:p>
            <w:pPr>
              <w:pStyle w:val="Compact"/>
              <w:spacing w:after="20" w:before="20" w:line="240" w:lineRule="auto"/>
              <w:jc w:val="left"/>
            </w:pPr>
            <w:r>
              <w:rPr>
                <w:sz w:val="21"/>
              </w:rPr>
              <w:t xml:space="preserve">Bir mijozda bir necha aksiya bo‘yicha ulkan pozitsiyalar, past garov</w:t>
            </w:r>
          </w:p>
        </w:tc>
        <w:tc>
          <w:tcPr/>
          <w:p>
            <w:pPr>
              <w:pStyle w:val="Compact"/>
              <w:spacing w:after="20" w:before="20" w:line="240" w:lineRule="auto"/>
              <w:jc w:val="left"/>
            </w:pPr>
            <w:r>
              <w:rPr>
                <w:sz w:val="21"/>
              </w:rPr>
              <w:t xml:space="preserve">Garov talabini oshirish, pozitsiyalarni cheklash, mijozning boshqa banklardagi pozitsiyalarini so‘rash</w:t>
            </w:r>
          </w:p>
        </w:tc>
      </w:tr>
      <w:tr>
        <w:tc>
          <w:tcPr/>
          <w:p>
            <w:pPr>
              <w:pStyle w:val="Compact"/>
              <w:spacing w:after="20" w:before="20" w:line="240" w:lineRule="auto"/>
              <w:jc w:val="left"/>
            </w:pPr>
            <w:r>
              <w:rPr>
                <w:sz w:val="21"/>
              </w:rPr>
              <w:t xml:space="preserve">4. UzAuto IPO</w:t>
            </w:r>
          </w:p>
        </w:tc>
        <w:tc>
          <w:tcPr/>
          <w:p>
            <w:pPr>
              <w:pStyle w:val="Compact"/>
              <w:spacing w:after="20" w:before="20" w:line="240" w:lineRule="auto"/>
              <w:jc w:val="left"/>
            </w:pPr>
            <w:r>
              <w:rPr>
                <w:sz w:val="21"/>
              </w:rPr>
              <w:t xml:space="preserve">Likvidlik va talab riski</w:t>
            </w:r>
          </w:p>
        </w:tc>
        <w:tc>
          <w:tcPr/>
          <w:p>
            <w:pPr>
              <w:pStyle w:val="Compact"/>
              <w:spacing w:after="20" w:before="20" w:line="240" w:lineRule="auto"/>
              <w:jc w:val="left"/>
            </w:pPr>
            <w:r>
              <w:rPr>
                <w:sz w:val="21"/>
              </w:rPr>
              <w:t xml:space="preserve">Birjadagi past savdo hajmi, kam sonli investorlar</w:t>
            </w:r>
          </w:p>
        </w:tc>
        <w:tc>
          <w:tcPr/>
          <w:p>
            <w:pPr>
              <w:pStyle w:val="Compact"/>
              <w:spacing w:after="20" w:before="20" w:line="240" w:lineRule="auto"/>
              <w:jc w:val="left"/>
            </w:pPr>
            <w:r>
              <w:rPr>
                <w:sz w:val="21"/>
              </w:rPr>
              <w:t xml:space="preserve">IPO hajmini kamaytirish, bosqichma-bosqich joylashtirish, chakana investorlarni jalb qilish, qulay vaqt tanlash</w:t>
            </w:r>
          </w:p>
        </w:tc>
      </w:tr>
    </w:tbl>
    <w:p>
      <w:pPr>
        <w:pStyle w:val="BodyText"/>
      </w:pPr>
      <w:r>
        <w:rPr>
          <w:bCs/>
          <w:b/>
        </w:rPr>
        <w:t xml:space="preserve">Baholash mezonlari (har bir guruhga 10 ball):</w:t>
      </w:r>
      <w:r>
        <w:t xml:space="preserve"> </w:t>
      </w:r>
      <w:r>
        <w:t xml:space="preserve">risk turlarini to‘g‘ri aniqlash — 4 ball; aniq raqamlardan foydalanish — 3 ball; taklif qilingan choralarning amaliyligi — 3 ball.</w:t>
      </w:r>
    </w:p>
    <w:bookmarkEnd w:id="120"/>
    <w:bookmarkEnd w:id="121"/>
    <w:bookmarkStart w:id="124" w:name="slayd-uchun-xulosa-va-uy-vazifasi"/>
    <w:p>
      <w:pPr>
        <w:pStyle w:val="Heading1"/>
      </w:pPr>
      <w:r>
        <w:t xml:space="preserve">24-slayd uchun: Xulosa va uy vazifasi</w:t>
      </w:r>
    </w:p>
    <w:p>
      <w:pPr>
        <w:pStyle w:val="FirstParagraph"/>
      </w:pPr>
      <w:r>
        <w:rPr>
          <w:bCs/>
          <w:b/>
        </w:rPr>
        <w:t xml:space="preserve">Slayd maqsadi:</w:t>
      </w:r>
      <w:r>
        <w:t xml:space="preserve"> </w:t>
      </w:r>
      <w:r>
        <w:t xml:space="preserve">darsni yakunlash va mustaqil ishni berish.</w:t>
      </w:r>
      <w:r>
        <w:t xml:space="preserve"> </w:t>
      </w:r>
      <w:r>
        <w:rPr>
          <w:bCs/>
          <w:b/>
        </w:rPr>
        <w:t xml:space="preserve">Vaqt:</w:t>
      </w:r>
      <w:r>
        <w:t xml:space="preserve"> </w:t>
      </w:r>
      <w:r>
        <w:t xml:space="preserve">3 daqiqa.</w:t>
      </w:r>
    </w:p>
    <w:bookmarkStart w:id="122" w:name="nutq-23"/>
    <w:p>
      <w:pPr>
        <w:pStyle w:val="Heading2"/>
      </w:pPr>
      <w:r>
        <w:t xml:space="preserve">Nutq</w:t>
      </w:r>
    </w:p>
    <w:p>
      <w:pPr>
        <w:pStyle w:val="FirstParagraph"/>
      </w:pPr>
      <w:r>
        <w:t xml:space="preserve">“Darsni yakunlaymiz. Bugun to‘rtta asosiy saboq oldik.</w:t>
      </w:r>
    </w:p>
    <w:p>
      <w:pPr>
        <w:pStyle w:val="BodyText"/>
      </w:pPr>
      <w:r>
        <w:t xml:space="preserve">Birinchi: tizimli riskdan diversifikatsiya himoya qilmaydi. 2008 va 2020-yillarda deyarli barcha aksiyalar birga tushdi. Undan himoyalanish uchun aktivlar taqsimoti va hejlash kerak.</w:t>
      </w:r>
    </w:p>
    <w:p>
      <w:pPr>
        <w:pStyle w:val="BodyText"/>
      </w:pPr>
      <w:r>
        <w:t xml:space="preserve">Ikkinchi: qarz va konsentratsiya — eng xavfli birikma. Archegos fondini aynan shu barbod qildi.</w:t>
      </w:r>
    </w:p>
    <w:p>
      <w:pPr>
        <w:pStyle w:val="BodyText"/>
      </w:pPr>
      <w:r>
        <w:t xml:space="preserve">Uchinchi: katta zararni qoplash juda qiyin. 50% tushgan aksiya 100% o‘sishi kerak. Shuning uchun riskni oldindan cheklash zararni keyin qoplashdan osonroq.</w:t>
      </w:r>
    </w:p>
    <w:p>
      <w:pPr>
        <w:pStyle w:val="BodyText"/>
      </w:pPr>
      <w:r>
        <w:t xml:space="preserve">To‘rtinchi: O‘zbekiston kabi kichik bozorlarda asosiy risk — likvidlik. Aksiyani istalgan paytda adolatli narxda sotib bo‘lmasligi mumkin.</w:t>
      </w:r>
    </w:p>
    <w:p>
      <w:pPr>
        <w:pStyle w:val="BodyText"/>
      </w:pPr>
      <w:r>
        <w:t xml:space="preserve">Uy vazifasi: uzse.uz saytidan bitta aksiyani tanlang. Oxirgi 3 oydagi narx va savdo hajmini ko‘rib chiqing, eng katta pasayishni va savdo bo‘lmagan kunlar sonini aniqlang hamda aksiyaning asosiy risklarini bir betda yozing. E’tiboringiz uchun rahmat!”</w:t>
      </w:r>
    </w:p>
    <w:bookmarkEnd w:id="122"/>
    <w:bookmarkStart w:id="123" w:name="uy-vazifasi-boyicha-namunaviy-tuzilma"/>
    <w:p>
      <w:pPr>
        <w:pStyle w:val="Heading2"/>
      </w:pPr>
      <w:r>
        <w:t xml:space="preserve">Uy vazifasi bo‘yicha namunaviy tuzilma</w:t>
      </w:r>
    </w:p>
    <w:p>
      <w:pPr>
        <w:numPr>
          <w:ilvl w:val="0"/>
          <w:numId w:val="1060"/>
        </w:numPr>
        <w:pStyle w:val="Compact"/>
      </w:pPr>
      <w:r>
        <w:rPr>
          <w:bCs/>
          <w:b/>
        </w:rPr>
        <w:t xml:space="preserve">Aksiya va kompaniya:</w:t>
      </w:r>
      <w:r>
        <w:t xml:space="preserve"> </w:t>
      </w:r>
      <w:r>
        <w:t xml:space="preserve">nomi, tarmog‘i, birjadagi tikeri.</w:t>
      </w:r>
    </w:p>
    <w:p>
      <w:pPr>
        <w:numPr>
          <w:ilvl w:val="0"/>
          <w:numId w:val="1060"/>
        </w:numPr>
        <w:pStyle w:val="Compact"/>
      </w:pPr>
      <w:r>
        <w:rPr>
          <w:bCs/>
          <w:b/>
        </w:rPr>
        <w:t xml:space="preserve">Narx tahlili:</w:t>
      </w:r>
      <w:r>
        <w:t xml:space="preserve"> </w:t>
      </w:r>
      <w:r>
        <w:t xml:space="preserve">3 oy boshidagi va oxiridagi narx, o‘zgarish foizi; eng yuqori va eng past narx; maksimal pasayish = eng past narx / undan oldingi eng yuqori narx − 1.</w:t>
      </w:r>
    </w:p>
    <w:p>
      <w:pPr>
        <w:numPr>
          <w:ilvl w:val="0"/>
          <w:numId w:val="1060"/>
        </w:numPr>
        <w:pStyle w:val="Compact"/>
      </w:pPr>
      <w:r>
        <w:rPr>
          <w:bCs/>
          <w:b/>
        </w:rPr>
        <w:t xml:space="preserve">Likvidlik tahlili:</w:t>
      </w:r>
      <w:r>
        <w:t xml:space="preserve"> </w:t>
      </w:r>
      <w:r>
        <w:t xml:space="preserve">savdo bo‘lgan va bo‘lmagan kunlar soni; o‘rtacha kunlik savdo hajmi (so‘mda).</w:t>
      </w:r>
    </w:p>
    <w:p>
      <w:pPr>
        <w:numPr>
          <w:ilvl w:val="0"/>
          <w:numId w:val="1060"/>
        </w:numPr>
        <w:pStyle w:val="Compact"/>
      </w:pPr>
      <w:r>
        <w:rPr>
          <w:bCs/>
          <w:b/>
        </w:rPr>
        <w:t xml:space="preserve">Asosiy risklar:</w:t>
      </w:r>
      <w:r>
        <w:t xml:space="preserve"> </w:t>
      </w:r>
      <w:r>
        <w:t xml:space="preserve">narx, likvidlik, konsentratsiya, axborot (hisobotlar e’lon qilinadimi?).</w:t>
      </w:r>
    </w:p>
    <w:p>
      <w:pPr>
        <w:numPr>
          <w:ilvl w:val="0"/>
          <w:numId w:val="1060"/>
        </w:numPr>
        <w:pStyle w:val="Compact"/>
      </w:pPr>
      <w:r>
        <w:rPr>
          <w:bCs/>
          <w:b/>
        </w:rPr>
        <w:t xml:space="preserve">Xulosa:</w:t>
      </w:r>
      <w:r>
        <w:t xml:space="preserve"> </w:t>
      </w:r>
      <w:r>
        <w:t xml:space="preserve">bu aksiyaga investitsiya qilish uchun qanday himoya choralarini tavsiya qilasiz?</w:t>
      </w:r>
    </w:p>
    <w:p>
      <w:pPr>
        <w:pStyle w:val="FirstParagraph"/>
      </w:pPr>
      <w:r>
        <w:rPr>
          <w:bCs/>
          <w:b/>
        </w:rPr>
        <w:t xml:space="preserve">Baholash (10 ball):</w:t>
      </w:r>
      <w:r>
        <w:t xml:space="preserve"> </w:t>
      </w:r>
      <w:r>
        <w:t xml:space="preserve">hisob-kitoblarning to‘g‘riligi — 4 ball; risklarni to‘g‘ri aniqlash — 3 ball; xulosa va tavsiyalarning asoslanganligi — 3 ball.</w:t>
      </w:r>
    </w:p>
    <w:bookmarkEnd w:id="123"/>
    <w:bookmarkEnd w:id="124"/>
    <w:bookmarkStart w:id="125" w:name="manbalar"/>
    <w:p>
      <w:pPr>
        <w:pStyle w:val="Heading1"/>
      </w:pPr>
      <w:r>
        <w:t xml:space="preserve">Manbalar</w:t>
      </w:r>
    </w:p>
    <w:p>
      <w:pPr>
        <w:numPr>
          <w:ilvl w:val="0"/>
          <w:numId w:val="1061"/>
        </w:numPr>
        <w:pStyle w:val="Compact"/>
      </w:pPr>
      <w:r>
        <w:t xml:space="preserve">FRED, Federal Reserve Bank of St. Louis — SP500, VIXCLS, NIKKEI225 qatorlari: https://fred.stlouisfed.org</w:t>
      </w:r>
    </w:p>
    <w:p>
      <w:pPr>
        <w:numPr>
          <w:ilvl w:val="0"/>
          <w:numId w:val="1061"/>
        </w:numPr>
        <w:pStyle w:val="Compact"/>
      </w:pPr>
      <w:r>
        <w:t xml:space="preserve">Markowitz H. Portfolio Selection // The Journal of Finance. 1952. Vol. 7, No. 1.</w:t>
      </w:r>
    </w:p>
    <w:p>
      <w:pPr>
        <w:numPr>
          <w:ilvl w:val="0"/>
          <w:numId w:val="1061"/>
        </w:numPr>
        <w:pStyle w:val="Compact"/>
      </w:pPr>
      <w:r>
        <w:t xml:space="preserve">Sharpe W. Capital Asset Prices: A Theory of Market Equilibrium under Conditions of Risk // The Journal of Finance. 1964. Vol. 19, No. 3.</w:t>
      </w:r>
    </w:p>
    <w:p>
      <w:pPr>
        <w:numPr>
          <w:ilvl w:val="0"/>
          <w:numId w:val="1061"/>
        </w:numPr>
        <w:pStyle w:val="Compact"/>
      </w:pPr>
      <w:r>
        <w:t xml:space="preserve">Knight F. Risk, Uncertainty and Profit. — Boston: Houghton Mifflin, 1921.</w:t>
      </w:r>
    </w:p>
    <w:p>
      <w:pPr>
        <w:numPr>
          <w:ilvl w:val="0"/>
          <w:numId w:val="1061"/>
        </w:numPr>
        <w:pStyle w:val="Compact"/>
      </w:pPr>
      <w:r>
        <w:t xml:space="preserve">Evans J., Archer S. Diversification and the Reduction of Dispersion // The Journal of Finance. 1968. Vol. 23, No. 5.</w:t>
      </w:r>
    </w:p>
    <w:p>
      <w:pPr>
        <w:numPr>
          <w:ilvl w:val="0"/>
          <w:numId w:val="1061"/>
        </w:numPr>
        <w:pStyle w:val="Compact"/>
      </w:pPr>
      <w:r>
        <w:t xml:space="preserve">Statman M. How Many Stocks Make a Diversified Portfolio? // Journal of Financial and Quantitative Analysis. 1987. Vol. 22, No. 3.</w:t>
      </w:r>
    </w:p>
    <w:p>
      <w:pPr>
        <w:numPr>
          <w:ilvl w:val="0"/>
          <w:numId w:val="1061"/>
        </w:numPr>
        <w:pStyle w:val="Compact"/>
      </w:pPr>
      <w:r>
        <w:t xml:space="preserve">Longin F., Solnik B. Extreme Correlation of International Equity Markets // The Journal of Finance. 2001. Vol. 56, No. 2.</w:t>
      </w:r>
    </w:p>
    <w:p>
      <w:pPr>
        <w:numPr>
          <w:ilvl w:val="0"/>
          <w:numId w:val="1061"/>
        </w:numPr>
        <w:pStyle w:val="Compact"/>
      </w:pPr>
      <w:r>
        <w:t xml:space="preserve">Jorion P. Value at Risk. 3rd ed. — McGraw-Hill, 2007.</w:t>
      </w:r>
    </w:p>
    <w:p>
      <w:pPr>
        <w:numPr>
          <w:ilvl w:val="0"/>
          <w:numId w:val="1061"/>
        </w:numPr>
        <w:pStyle w:val="Compact"/>
      </w:pPr>
      <w:r>
        <w:t xml:space="preserve">Hull J. Options, Futures, and Other Derivatives. 11th ed. — Pearson, 2022.</w:t>
      </w:r>
    </w:p>
    <w:p>
      <w:pPr>
        <w:numPr>
          <w:ilvl w:val="0"/>
          <w:numId w:val="1061"/>
        </w:numPr>
        <w:pStyle w:val="Compact"/>
      </w:pPr>
      <w:r>
        <w:t xml:space="preserve">J.P. Morgan/Reuters. RiskMetrics — Technical Document. 4th ed., 1996.</w:t>
      </w:r>
    </w:p>
    <w:p>
      <w:pPr>
        <w:numPr>
          <w:ilvl w:val="0"/>
          <w:numId w:val="1061"/>
        </w:numPr>
        <w:pStyle w:val="Compact"/>
      </w:pPr>
      <w:r>
        <w:t xml:space="preserve">Report of the Presidential Task Force on Market Mechanisms (Brady Report), 1988.</w:t>
      </w:r>
    </w:p>
    <w:p>
      <w:pPr>
        <w:numPr>
          <w:ilvl w:val="0"/>
          <w:numId w:val="1061"/>
        </w:numPr>
        <w:pStyle w:val="Compact"/>
      </w:pPr>
      <w:r>
        <w:t xml:space="preserve">Federal Reserve History:</w:t>
      </w:r>
      <w:r>
        <w:t xml:space="preserve"> </w:t>
      </w:r>
      <w:r>
        <w:t xml:space="preserve">“</w:t>
      </w:r>
      <w:r>
        <w:t xml:space="preserve">Stock Market Crash of 1987</w:t>
      </w:r>
      <w:r>
        <w:t xml:space="preserve">”</w:t>
      </w:r>
      <w:r>
        <w:t xml:space="preserve">: https://www.federalreservehistory.org/essays/stock-market-crash-of-1987</w:t>
      </w:r>
    </w:p>
    <w:p>
      <w:pPr>
        <w:numPr>
          <w:ilvl w:val="0"/>
          <w:numId w:val="1061"/>
        </w:numPr>
        <w:pStyle w:val="Compact"/>
      </w:pPr>
      <w:r>
        <w:t xml:space="preserve">SEC. Staff Report on Equity and Options Market Structure Conditions in Early 2021. October 2021.</w:t>
      </w:r>
    </w:p>
    <w:p>
      <w:pPr>
        <w:numPr>
          <w:ilvl w:val="0"/>
          <w:numId w:val="1061"/>
        </w:numPr>
        <w:pStyle w:val="Compact"/>
      </w:pPr>
      <w:r>
        <w:t xml:space="preserve">Credit Suisse Group. Special Committee Report on Archegos Capital Management. July 2021.</w:t>
      </w:r>
    </w:p>
    <w:p>
      <w:pPr>
        <w:numPr>
          <w:ilvl w:val="0"/>
          <w:numId w:val="1061"/>
        </w:numPr>
        <w:pStyle w:val="Compact"/>
      </w:pPr>
      <w:r>
        <w:t xml:space="preserve">Risk.net. Archegos report details margin failings at Credit Suisse (2021).</w:t>
      </w:r>
    </w:p>
    <w:p>
      <w:pPr>
        <w:numPr>
          <w:ilvl w:val="0"/>
          <w:numId w:val="1061"/>
        </w:numPr>
        <w:pStyle w:val="Compact"/>
      </w:pPr>
      <w:r>
        <w:t xml:space="preserve">Bloomberg. Melvin Lost 53% in January, Hurt by GameStop, Other Bets (31.01.2021).</w:t>
      </w:r>
    </w:p>
    <w:p>
      <w:pPr>
        <w:numPr>
          <w:ilvl w:val="0"/>
          <w:numId w:val="1061"/>
        </w:numPr>
        <w:pStyle w:val="Compact"/>
      </w:pPr>
      <w:r>
        <w:t xml:space="preserve">CNBC. Wall Street’s fear gauge hits highest level ever (16.03.2020).</w:t>
      </w:r>
    </w:p>
    <w:p>
      <w:pPr>
        <w:numPr>
          <w:ilvl w:val="0"/>
          <w:numId w:val="1061"/>
        </w:numPr>
        <w:pStyle w:val="Compact"/>
      </w:pPr>
      <w:r>
        <w:t xml:space="preserve">UzDaily. UZSE closes the year with a net profit of 12.3 billion soums (2025).</w:t>
      </w:r>
    </w:p>
    <w:p>
      <w:pPr>
        <w:numPr>
          <w:ilvl w:val="0"/>
          <w:numId w:val="1061"/>
        </w:numPr>
        <w:pStyle w:val="Compact"/>
      </w:pPr>
      <w:r>
        <w:t xml:space="preserve">Kun.uz. Trading volume on stock exchange plummets over tenfold in Q1 (2024).</w:t>
      </w:r>
    </w:p>
    <w:p>
      <w:pPr>
        <w:numPr>
          <w:ilvl w:val="0"/>
          <w:numId w:val="1061"/>
        </w:numPr>
        <w:pStyle w:val="Compact"/>
      </w:pPr>
      <w:r>
        <w:t xml:space="preserve">Daryo.uz. Tashkent Stock Exchange weekly turnover reaches $145mn amid M&amp;A surge (18.11.2024).</w:t>
      </w:r>
    </w:p>
    <w:p>
      <w:pPr>
        <w:numPr>
          <w:ilvl w:val="0"/>
          <w:numId w:val="1061"/>
        </w:numPr>
        <w:pStyle w:val="Compact"/>
      </w:pPr>
      <w:r>
        <w:t xml:space="preserve">bne IntelliNews. Uzbekistan fights gloom as stock market fails to spark (2023).</w:t>
      </w:r>
    </w:p>
    <w:p>
      <w:pPr>
        <w:numPr>
          <w:ilvl w:val="0"/>
          <w:numId w:val="1061"/>
        </w:numPr>
        <w:pStyle w:val="Compact"/>
      </w:pPr>
      <w:r>
        <w:t xml:space="preserve">O‘zbekiston Respublikasining</w:t>
      </w:r>
      <w:r>
        <w:t xml:space="preserve"> </w:t>
      </w:r>
      <w:r>
        <w:t xml:space="preserve">“</w:t>
      </w:r>
      <w:r>
        <w:t xml:space="preserve">Qimmatli qog‘ozlar bozori to‘g‘risida</w:t>
      </w:r>
      <w:r>
        <w:t xml:space="preserve">”</w:t>
      </w:r>
      <w:r>
        <w:t xml:space="preserve">gi Qonuni (O‘RQ-387-son, 03.06.2015).</w:t>
      </w:r>
    </w:p>
    <w:p>
      <w:pPr>
        <w:numPr>
          <w:ilvl w:val="0"/>
          <w:numId w:val="1061"/>
        </w:numPr>
        <w:pStyle w:val="Compact"/>
      </w:pPr>
      <w:r>
        <w:t xml:space="preserve">Toshkent Respublika fond birjasi: https://uzse.uz</w:t>
      </w:r>
    </w:p>
    <w:bookmarkEnd w:id="125"/>
    <w:sectPr>
      <w:footerReference w:type="default" r:id="rId9"/>
      <w:pgSz w:h="16838" w:w="11906"/>
      <w:pgMar w:bottom="1134"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Times New Roman" w:cs="Times New Roman" w:eastAsia="Times New Roman" w:hAnsi="Times New Roman"/>
      <w:sz w:val="24"/>
    </w:rPr>
  </w:style>
  <w:style w:styleId="BodyText" w:type="paragraph">
    <w:name w:val="Body Text"/>
    <w:basedOn w:val="Normal"/>
    <w:link w:val="BodyTextChar"/>
    <w:pPr>
      <w:spacing w:after="120" w:before="180" w:line="276" w:lineRule="auto"/>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36" w:line="276" w:lineRule="auto"/>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1F3864"/>
      <w:sz w:val="44"/>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b/>
      <w:color w:val="1F3864"/>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20" w:before="240"/>
      <w:outlineLvl w:val="0"/>
    </w:pPr>
    <w:rPr>
      <w:rFonts w:ascii="Times New Roman" w:cs="Times New Roman" w:eastAsia="Times New Roman" w:hAnsi="Times New Roman"/>
      <w:b/>
      <w:bCs/>
      <w:i w:val="0"/>
      <w:color w:val="1F3864"/>
      <w:sz w:val="30"/>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Times New Roman" w:hAnsi="Times New Roman"/>
      <w:b/>
      <w:bCs/>
      <w:i w:val="0"/>
      <w:color w:val="1F3864"/>
      <w:sz w:val="26"/>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Times New Roman" w:hAnsi="Times New Roman"/>
      <w:b/>
      <w:bCs/>
      <w:i w:val="0"/>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Fond bozori risklarini boshqarish</dc:title>
  <dc:creator/>
  <cp:keywords/>
  <dcterms:created xsi:type="dcterms:W3CDTF">2026-10-27T19:19:47Z</dcterms:created>
  <dcterms:modified xsi:type="dcterms:W3CDTF">2026-10-27T19:19:47Z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Slaydlar bo‘yicha o‘qituvchi nutqi, misollar yechimi, asoslar va sabab-oqibatlar (2 soatlik amaliy mashg‘ulot)</vt:lpwstr>
  </property>
</Properties>
</file>