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3bc3af2dd64aa3d859b43cc63eba0df007461c7"/>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1.1-§. Tijorat banklari moliyaviy barqarorligining iqtisodiy mazmuni va konseptual modellari</w:t>
      </w:r>
    </w:p>
    <w:p>
      <w:pPr>
        <w:pStyle w:val="FirstParagraph"/>
        <w:spacing w:line="360" w:lineRule="auto" w:before="0" w:after="0"/>
        <w:ind w:firstLine="709"/>
        <w:jc w:val="both"/>
      </w:pPr>
      <w:r>
        <w:rPr>
          <w:rFonts w:ascii="Times New Roman" w:hAnsi="Times New Roman" w:cs="Times New Roman" w:eastAsia="Times New Roman"/>
          <w:sz w:val="28"/>
        </w:rPr>
        <w:t xml:space="preserve">Tijorat banklari iqtisodiyotda pul mablag‘larini jamg‘aruvchilardan qarz oluvchilarga yo‘naltiruvchi asosiy vositachi hisoblanadi. Ayniqsa, moliya bozori hali shakllanish bosqichida bo‘lgan, korxonalar tashqi moliyalashtirishning asosiy qismini bank kreditlari hisobidan oladigan mamlakatlarda banklarning bu roli yanada ortadi. T.F. Cargill ma’lumotlariga ko‘ra, hatto Germaniya va Yaponiya kabi rivojlangan bank-markazli tizimlarda ham nomoliyaviy korxonalar tashqi moliyalashtirishning 86 foizini moliya muassasalaridan olgan</w:t>
      </w:r>
      <w:r>
        <w:rPr>
          <w:rStyle w:val="FootnoteReference"/>
        </w:rPr>
        <w:footnoteReference w:id="20"/>
      </w:r>
      <w:r>
        <w:rPr>
          <w:rFonts w:ascii="Times New Roman" w:hAnsi="Times New Roman" w:cs="Times New Roman" w:eastAsia="Times New Roman"/>
          <w:sz w:val="28"/>
        </w:rPr>
        <w:t xml:space="preserve">. O‘zbekistonda ham iqtisodiyotni moliyalashtirishda tijorat banklari hal qiluvchi o‘rin tutadi. Shu bois alohida bank yoki butun bank tizimi barqarorligining buzilishi to‘lov tizimining uzilishiga, kreditlashning qisqarishiga va oxir-oqibat iqtisodiy o‘sishning sekinlashuviga olib keladi.</w:t>
      </w:r>
    </w:p>
    <w:p>
      <w:pPr>
        <w:pStyle w:val="BodyText"/>
        <w:spacing w:line="360" w:lineRule="auto" w:before="0" w:after="0"/>
        <w:ind w:firstLine="709"/>
        <w:jc w:val="both"/>
      </w:pPr>
      <w:r>
        <w:rPr>
          <w:rFonts w:ascii="Times New Roman" w:hAnsi="Times New Roman" w:cs="Times New Roman" w:eastAsia="Times New Roman"/>
          <w:sz w:val="28"/>
        </w:rPr>
        <w:t xml:space="preserve">Biroq «moliyaviy barqarorlik» tushunchasi iqtisodiy adabiyotda ham, me’yoriy hujjatlarda ham hali yagona talqinga ega emas. Bir mualliflar uni bankning to‘lov qobiliyati bilan tenglashtirsa, boshqalari likvidlik yoki kapital yetarliligi bilan, uchinchilari esa jamiyatning bankka bo‘lgan ishonchi bilan bog‘laydi. Tushunchaning mazmuni aniq belgilanmasa, uni baholash metodikasini ham ilmiy asosda qurib bo‘lmaydi, chunki aynan nima o‘lchanayotgani noma’lum bo‘lib qoladi. Shu sababli ushbu paragrafda tijorat banklari moliyaviy barqarorligining iqtisodiy mazmuni, unga yaqin tushunchalar bilan farqi, darajalari va omillari hamda uni tushuntiruvchi asosiy konseptual modellar tahlil qilinib, muallif yondashuvi asoslanadi.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 tushunchasining mazmunini ochishni unga yaqin, ko‘pincha sinonim sifatida ishlatiladigan tushunchalardan farqlashdan boshlash maqsadga muvofiq. Rus iqtisodiy maktabida bu masalaga alohida e’tibor berilgan. O.I. Lavrushin va I.D. Mamonova G.G. Fetisov yondashuviga tayanib, «barqarorlik» va «stabillik» tushunchalarini qat’iy ajratadi: stabillik – statika, ya’ni holatning o‘zgarmay saqlanishi, barqarorlik esa dinamika, ya’ni rivojlanish tomon harakatdir. Mualliflar fikricha, barqarorlik natija, stabillik esa unga erishish sharti hisoblanadi</w:t>
      </w:r>
      <w:r>
        <w:rPr>
          <w:rStyle w:val="FootnoteReference"/>
        </w:rPr>
        <w:footnoteReference w:id="21"/>
      </w:r>
      <w:r>
        <w:rPr>
          <w:rFonts w:ascii="Times New Roman" w:hAnsi="Times New Roman" w:cs="Times New Roman" w:eastAsia="Times New Roman"/>
          <w:sz w:val="28"/>
        </w:rPr>
        <w:t xml:space="preserve">. O.I. Lavrushin tahriridagi boshqa monografiyada bu qatorga yana ikki tushuncha – «ishonchlilik» va «muvozanat» qo‘shiladi va ularning har biri barqarorlikning alohida jihatini aks ettirishi ta’kidlanadi</w:t>
      </w:r>
      <w:r>
        <w:rPr>
          <w:rStyle w:val="FootnoteReference"/>
        </w:rPr>
        <w:footnoteReference w:id="22"/>
      </w:r>
      <w:r>
        <w:rPr>
          <w:rFonts w:ascii="Times New Roman" w:hAnsi="Times New Roman" w:cs="Times New Roman" w:eastAsia="Times New Roman"/>
          <w:sz w:val="28"/>
        </w:rPr>
        <w:t xml:space="preserve">. Ushbu tushunchalar o‘rtasidagi bog‘liqlik 1.1.1-rasmda umumlashtirildi.</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286000"/>
                <wp:effectExtent l="0" t="0" r="0" b="0"/>
                <wp:docPr id="1001" name="1.1.1-rasm"/>
                <wp:cNvGraphicFramePr/>
                <a:graphic>
                  <a:graphicData uri="http://schemas.microsoft.com/office/word/2010/wordprocessingGroup">
                    <wpg:wgp>
                      <wpg:cNvGrpSpPr/>
                      <wpg:grpSpPr>
                        <a:xfrm>
                          <a:off x="0" y="0"/>
                          <a:ext cx="5904000" cy="2286000"/>
                          <a:chOff x="0" y="0"/>
                          <a:chExt cx="5904000" cy="2286000"/>
                        </a:xfrm>
                      </wpg:grpSpPr>
                      <wps:wsp>
                        <wps:cNvPr id="2" name="Shape 2"/>
                        <wps:cNvSpPr/>
                        <wps:spPr>
                          <a:xfrm>
                            <a:off x="36000" y="36000"/>
                            <a:ext cx="1386000" cy="28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Stabillik</w:t>
                              </w:r>
                            </w:p>
                          </w:txbxContent>
                        </wps:txbx>
                        <wps:bodyPr rot="0" vert="horz" wrap="square" lIns="36000" tIns="18000" rIns="36000" bIns="18000" anchor="ctr" anchorCtr="0">
                          <a:noAutofit/>
                        </wps:bodyPr>
                      </wps:wsp>
                      <wps:wsp>
                        <wps:cNvPr id="3" name="Shape 3"/>
                        <wps:cNvSpPr/>
                        <wps:spPr>
                          <a:xfrm>
                            <a:off x="36000" y="360000"/>
                            <a:ext cx="1386000" cy="684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holatning saqlanishi;</w:t>
                              </w:r>
                            </w:p>
                            <w:p>
                              <w:pPr>
                                <w:spacing w:before="0" w:after="0" w:line="228" w:lineRule="auto"/>
                                <w:jc w:val="center"/>
                                <w:ind w:firstLine="0"/>
                              </w:pPr>
                              <w:r>
                                <w:rPr>
                                  <w:rFonts w:ascii="Times New Roman" w:hAnsi="Times New Roman" w:cs="Times New Roman"/>
                                  <w:color w:val="000000"/>
                                  <w:sz w:val="19"/>
                                  <w:szCs w:val="19"/>
                                </w:rPr>
                                <w:t xml:space="preserve">barqarorlik sharti</w:t>
                              </w:r>
                            </w:p>
                          </w:txbxContent>
                        </wps:txbx>
                        <wps:bodyPr rot="0" vert="horz" wrap="square" lIns="36000" tIns="18000" rIns="36000" bIns="18000" anchor="ctr" anchorCtr="0">
                          <a:noAutofit/>
                        </wps:bodyPr>
                      </wps:wsp>
                      <wps:wsp>
                        <wps:cNvPr id="4" name="Connector 4"/>
                        <wps:cNvCnPr/>
                        <wps:spPr>
                          <a:xfrm>
                            <a:off x="729000" y="1044000"/>
                            <a:ext cx="2223000" cy="252000"/>
                          </a:xfrm>
                          <a:prstGeom prst="straightConnector1">
                            <a:avLst/>
                          </a:prstGeom>
                          <a:ln w="15875">
                            <a:solidFill>
                              <a:srgbClr val="404040"/>
                            </a:solidFill>
                            <a:tailEnd type="triangle" w="med" len="med"/>
                          </a:ln>
                        </wps:spPr>
                        <wps:bodyPr/>
                      </wps:wsp>
                      <wps:wsp>
                        <wps:cNvPr id="5" name="Shape 5"/>
                        <wps:cNvSpPr/>
                        <wps:spPr>
                          <a:xfrm>
                            <a:off x="1512000" y="36000"/>
                            <a:ext cx="1386000" cy="28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Ishonchlilik</w:t>
                              </w:r>
                            </w:p>
                          </w:txbxContent>
                        </wps:txbx>
                        <wps:bodyPr rot="0" vert="horz" wrap="square" lIns="36000" tIns="18000" rIns="36000" bIns="18000" anchor="ctr" anchorCtr="0">
                          <a:noAutofit/>
                        </wps:bodyPr>
                      </wps:wsp>
                      <wps:wsp>
                        <wps:cNvPr id="6" name="Shape 6"/>
                        <wps:cNvSpPr/>
                        <wps:spPr>
                          <a:xfrm>
                            <a:off x="1512000" y="360000"/>
                            <a:ext cx="1386000" cy="684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majburiyatlarning</w:t>
                              </w:r>
                            </w:p>
                            <w:p>
                              <w:pPr>
                                <w:spacing w:before="0" w:after="0" w:line="228" w:lineRule="auto"/>
                                <w:jc w:val="center"/>
                                <w:ind w:firstLine="0"/>
                              </w:pPr>
                              <w:r>
                                <w:rPr>
                                  <w:rFonts w:ascii="Times New Roman" w:hAnsi="Times New Roman" w:cs="Times New Roman"/>
                                  <w:color w:val="000000"/>
                                  <w:sz w:val="19"/>
                                  <w:szCs w:val="19"/>
                                </w:rPr>
                                <w:t xml:space="preserve">o‘z vaqtida</w:t>
                              </w:r>
                            </w:p>
                            <w:p>
                              <w:pPr>
                                <w:spacing w:before="0" w:after="0" w:line="228" w:lineRule="auto"/>
                                <w:jc w:val="center"/>
                                <w:ind w:firstLine="0"/>
                              </w:pPr>
                              <w:r>
                                <w:rPr>
                                  <w:rFonts w:ascii="Times New Roman" w:hAnsi="Times New Roman" w:cs="Times New Roman"/>
                                  <w:color w:val="000000"/>
                                  <w:sz w:val="19"/>
                                  <w:szCs w:val="19"/>
                                </w:rPr>
                                <w:t xml:space="preserve">bajarilishi</w:t>
                              </w:r>
                            </w:p>
                          </w:txbxContent>
                        </wps:txbx>
                        <wps:bodyPr rot="0" vert="horz" wrap="square" lIns="36000" tIns="18000" rIns="36000" bIns="18000" anchor="ctr" anchorCtr="0">
                          <a:noAutofit/>
                        </wps:bodyPr>
                      </wps:wsp>
                      <wps:wsp>
                        <wps:cNvPr id="7" name="Connector 7"/>
                        <wps:cNvCnPr/>
                        <wps:spPr>
                          <a:xfrm>
                            <a:off x="2205000" y="1044000"/>
                            <a:ext cx="747000" cy="252000"/>
                          </a:xfrm>
                          <a:prstGeom prst="straightConnector1">
                            <a:avLst/>
                          </a:prstGeom>
                          <a:ln w="15875">
                            <a:solidFill>
                              <a:srgbClr val="404040"/>
                            </a:solidFill>
                            <a:tailEnd type="triangle" w="med" len="med"/>
                          </a:ln>
                        </wps:spPr>
                        <wps:bodyPr/>
                      </wps:wsp>
                      <wps:wsp>
                        <wps:cNvPr id="8" name="Shape 8"/>
                        <wps:cNvSpPr/>
                        <wps:spPr>
                          <a:xfrm>
                            <a:off x="2988000" y="36000"/>
                            <a:ext cx="1386000" cy="288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Muvozanat</w:t>
                              </w:r>
                            </w:p>
                          </w:txbxContent>
                        </wps:txbx>
                        <wps:bodyPr rot="0" vert="horz" wrap="square" lIns="36000" tIns="18000" rIns="36000" bIns="18000" anchor="ctr" anchorCtr="0">
                          <a:noAutofit/>
                        </wps:bodyPr>
                      </wps:wsp>
                      <wps:wsp>
                        <wps:cNvPr id="9" name="Shape 9"/>
                        <wps:cNvSpPr/>
                        <wps:spPr>
                          <a:xfrm>
                            <a:off x="2988000" y="360000"/>
                            <a:ext cx="1386000" cy="684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kapital, aktivlar,</w:t>
                              </w:r>
                            </w:p>
                            <w:p>
                              <w:pPr>
                                <w:spacing w:before="0" w:after="0" w:line="228" w:lineRule="auto"/>
                                <w:jc w:val="center"/>
                                <w:ind w:firstLine="0"/>
                              </w:pPr>
                              <w:r>
                                <w:rPr>
                                  <w:rFonts w:ascii="Times New Roman" w:hAnsi="Times New Roman" w:cs="Times New Roman"/>
                                  <w:color w:val="000000"/>
                                  <w:sz w:val="19"/>
                                  <w:szCs w:val="19"/>
                                </w:rPr>
                                <w:t xml:space="preserve">majburiyatlar va</w:t>
                              </w:r>
                            </w:p>
                            <w:p>
                              <w:pPr>
                                <w:spacing w:before="0" w:after="0" w:line="228" w:lineRule="auto"/>
                                <w:jc w:val="center"/>
                                <w:ind w:firstLine="0"/>
                              </w:pPr>
                              <w:r>
                                <w:rPr>
                                  <w:rFonts w:ascii="Times New Roman" w:hAnsi="Times New Roman" w:cs="Times New Roman"/>
                                  <w:color w:val="000000"/>
                                  <w:sz w:val="19"/>
                                  <w:szCs w:val="19"/>
                                </w:rPr>
                                <w:t xml:space="preserve">foydaning mutanosib</w:t>
                              </w:r>
                            </w:p>
                            <w:p>
                              <w:pPr>
                                <w:spacing w:before="0" w:after="0" w:line="228" w:lineRule="auto"/>
                                <w:jc w:val="center"/>
                                <w:ind w:firstLine="0"/>
                              </w:pPr>
                              <w:r>
                                <w:rPr>
                                  <w:rFonts w:ascii="Times New Roman" w:hAnsi="Times New Roman" w:cs="Times New Roman"/>
                                  <w:color w:val="000000"/>
                                  <w:sz w:val="19"/>
                                  <w:szCs w:val="19"/>
                                </w:rPr>
                                <w:t xml:space="preserve">o‘sishi</w:t>
                              </w:r>
                            </w:p>
                          </w:txbxContent>
                        </wps:txbx>
                        <wps:bodyPr rot="0" vert="horz" wrap="square" lIns="36000" tIns="18000" rIns="36000" bIns="18000" anchor="ctr" anchorCtr="0">
                          <a:noAutofit/>
                        </wps:bodyPr>
                      </wps:wsp>
                      <wps:wsp>
                        <wps:cNvPr id="10" name="Connector 10"/>
                        <wps:cNvCnPr/>
                        <wps:spPr>
                          <a:xfrm flipH="1">
                            <a:off x="2952000" y="1044000"/>
                            <a:ext cx="729000" cy="252000"/>
                          </a:xfrm>
                          <a:prstGeom prst="straightConnector1">
                            <a:avLst/>
                          </a:prstGeom>
                          <a:ln w="15875">
                            <a:solidFill>
                              <a:srgbClr val="404040"/>
                            </a:solidFill>
                            <a:tailEnd type="triangle" w="med" len="med"/>
                          </a:ln>
                        </wps:spPr>
                        <wps:bodyPr/>
                      </wps:wsp>
                      <wps:wsp>
                        <wps:cNvPr id="11" name="Shape 11"/>
                        <wps:cNvSpPr/>
                        <wps:spPr>
                          <a:xfrm>
                            <a:off x="4464000" y="36000"/>
                            <a:ext cx="1386000" cy="28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Rivojlanish</w:t>
                              </w:r>
                            </w:p>
                          </w:txbxContent>
                        </wps:txbx>
                        <wps:bodyPr rot="0" vert="horz" wrap="square" lIns="36000" tIns="18000" rIns="36000" bIns="18000" anchor="ctr" anchorCtr="0">
                          <a:noAutofit/>
                        </wps:bodyPr>
                      </wps:wsp>
                      <wps:wsp>
                        <wps:cNvPr id="12" name="Shape 12"/>
                        <wps:cNvSpPr/>
                        <wps:spPr>
                          <a:xfrm>
                            <a:off x="4464000" y="360000"/>
                            <a:ext cx="1386000" cy="684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resurslarni</w:t>
                              </w:r>
                            </w:p>
                            <w:p>
                              <w:pPr>
                                <w:spacing w:before="0" w:after="0" w:line="228" w:lineRule="auto"/>
                                <w:jc w:val="center"/>
                                <w:ind w:firstLine="0"/>
                              </w:pPr>
                              <w:r>
                                <w:rPr>
                                  <w:rFonts w:ascii="Times New Roman" w:hAnsi="Times New Roman" w:cs="Times New Roman"/>
                                  <w:color w:val="000000"/>
                                  <w:sz w:val="19"/>
                                  <w:szCs w:val="19"/>
                                </w:rPr>
                                <w:t xml:space="preserve">kengaytirilgan</w:t>
                              </w:r>
                            </w:p>
                            <w:p>
                              <w:pPr>
                                <w:spacing w:before="0" w:after="0" w:line="228" w:lineRule="auto"/>
                                <w:jc w:val="center"/>
                                <w:ind w:firstLine="0"/>
                              </w:pPr>
                              <w:r>
                                <w:rPr>
                                  <w:rFonts w:ascii="Times New Roman" w:hAnsi="Times New Roman" w:cs="Times New Roman"/>
                                  <w:color w:val="000000"/>
                                  <w:sz w:val="19"/>
                                  <w:szCs w:val="19"/>
                                </w:rPr>
                                <w:t xml:space="preserve">takror ishlab</w:t>
                              </w:r>
                            </w:p>
                            <w:p>
                              <w:pPr>
                                <w:spacing w:before="0" w:after="0" w:line="228" w:lineRule="auto"/>
                                <w:jc w:val="center"/>
                                <w:ind w:firstLine="0"/>
                              </w:pPr>
                              <w:r>
                                <w:rPr>
                                  <w:rFonts w:ascii="Times New Roman" w:hAnsi="Times New Roman" w:cs="Times New Roman"/>
                                  <w:color w:val="000000"/>
                                  <w:sz w:val="19"/>
                                  <w:szCs w:val="19"/>
                                </w:rPr>
                                <w:t xml:space="preserve">chiqarish</w:t>
                              </w:r>
                            </w:p>
                          </w:txbxContent>
                        </wps:txbx>
                        <wps:bodyPr rot="0" vert="horz" wrap="square" lIns="36000" tIns="18000" rIns="36000" bIns="18000" anchor="ctr" anchorCtr="0">
                          <a:noAutofit/>
                        </wps:bodyPr>
                      </wps:wsp>
                      <wps:wsp>
                        <wps:cNvPr id="13" name="Connector 13"/>
                        <wps:cNvCnPr/>
                        <wps:spPr>
                          <a:xfrm flipH="1">
                            <a:off x="2952000" y="1044000"/>
                            <a:ext cx="2205000" cy="252000"/>
                          </a:xfrm>
                          <a:prstGeom prst="straightConnector1">
                            <a:avLst/>
                          </a:prstGeom>
                          <a:ln w="15875">
                            <a:solidFill>
                              <a:srgbClr val="404040"/>
                            </a:solidFill>
                            <a:tailEnd type="triangle" w="med" len="med"/>
                          </a:ln>
                        </wps:spPr>
                        <wps:bodyPr/>
                      </wps:wsp>
                      <wps:wsp>
                        <wps:cNvPr id="14" name="Shape 14"/>
                        <wps:cNvSpPr/>
                        <wps:spPr>
                          <a:xfrm>
                            <a:off x="1152000" y="1296000"/>
                            <a:ext cx="3600000" cy="43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Moliyaviy barqarorlik</w:t>
                              </w:r>
                            </w:p>
                            <w:p>
                              <w:pPr>
                                <w:spacing w:before="0" w:after="0" w:line="228" w:lineRule="auto"/>
                                <w:jc w:val="center"/>
                                <w:ind w:firstLine="0"/>
                              </w:pPr>
                              <w:r>
                                <w:rPr>
                                  <w:rFonts w:ascii="Times New Roman" w:hAnsi="Times New Roman" w:cs="Times New Roman"/>
                                  <w:b/>
                                  <w:color w:val="FFFFFF"/>
                                  <w:sz w:val="22"/>
                                  <w:szCs w:val="22"/>
                                </w:rPr>
                                <w:t xml:space="preserve">(natija, dinamik va kompleks xususiyat)</w:t>
                              </w:r>
                            </w:p>
                          </w:txbxContent>
                        </wps:txbx>
                        <wps:bodyPr rot="0" vert="horz" wrap="square" lIns="36000" tIns="18000" rIns="36000" bIns="18000" anchor="ctr" anchorCtr="0">
                          <a:noAutofit/>
                        </wps:bodyPr>
                      </wps:wsp>
                      <wps:wsp>
                        <wps:cNvPr id="15" name="Connector 15"/>
                        <wps:cNvCnPr/>
                        <wps:spPr>
                          <a:xfrm>
                            <a:off x="2952000" y="1728000"/>
                            <a:ext cx="0" cy="198000"/>
                          </a:xfrm>
                          <a:prstGeom prst="straightConnector1">
                            <a:avLst/>
                          </a:prstGeom>
                          <a:ln w="12700">
                            <a:solidFill>
                              <a:srgbClr val="7F7F7F"/>
                            </a:solidFill>
                            <a:prstDash val="dash"/>
                            <a:tailEnd type="triangle" w="med" len="med"/>
                          </a:ln>
                        </wps:spPr>
                        <wps:bodyPr/>
                      </wps:wsp>
                      <wps:wsp>
                        <wps:cNvPr id="16" name="Shape 16"/>
                        <wps:cNvSpPr/>
                        <wps:spPr>
                          <a:xfrm>
                            <a:off x="1152000" y="1926000"/>
                            <a:ext cx="3600000" cy="306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Moliyaviy holat – muayyan sanadagi statik baho</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1.1.1-rasm. Moliyaviy barqarorlik va unga yaqin tushunchalarning o‘zaro bog‘liqligi</w:t>
      </w:r>
      <w:r>
        <w:rPr>
          <w:rStyle w:val="FootnoteReference"/>
        </w:rPr>
        <w:footnoteReference w:id="23"/>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stabillik, ishonchlilik va muvozanat moliyaviy barqarorlikning zaruriy shartlari bo‘lsa-da, ularning har biri alohida olinganda barqarorlikni to‘liq ifodalamaydi. Masalan, bank ko‘rsatkichlari bir necha yil o‘zgarmay qolishi mumkin, ammo bu davrda bank bozordagi o‘rnini yo‘qotib, resurs bazasini kengaytira olmasa, uni barqaror deb bo‘lmaydi. Aksincha, kreditlarning keskin o‘sishi bankning rivojlanayotganidan dalolat bergandek ko‘rinadi, biroq bu o‘sish kapital, zaxiralar va depozitlar o‘sishi bilan muvozanatda bo‘lmasa, kelgusidagi beqarorlik manbaiga aylanadi. Demak, moliyaviy barqarorlik bu tushunchalarning yig‘indisi emas, balki ularning o‘zaro uyg‘unligi natijasida yuzaga keladigan sifat holatidir.</w:t>
      </w:r>
    </w:p>
    <w:p>
      <w:pPr>
        <w:pStyle w:val="BodyText"/>
        <w:spacing w:line="360" w:lineRule="auto" w:before="0" w:after="0"/>
        <w:ind w:firstLine="709"/>
        <w:jc w:val="both"/>
      </w:pPr>
      <w:r>
        <w:rPr>
          <w:rFonts w:ascii="Times New Roman" w:hAnsi="Times New Roman" w:cs="Times New Roman" w:eastAsia="Times New Roman"/>
          <w:sz w:val="28"/>
        </w:rPr>
        <w:t xml:space="preserve">Shu bilan birga, O.I. Lavrushin va I.D. Mamonova moliyaviy barqarorlikni bankning boshqa barqarorlik turlaridan ham ajratadi. Ular iqtisodiy, siyosiy, operatsion, kadrlar va tashkiliy barqarorlik kabi turlarni sanab, moliyaviy barqarorlikni ular orasida asosiy tur deb hisoblaydi; turlar o‘rtasida ziddiyat yuzaga kelsa, ustuvorlik aynan moliyaviy barqarorlikka berilishi kerak</w:t>
      </w:r>
      <w:r>
        <w:rPr>
          <w:rStyle w:val="FootnoteReference"/>
        </w:rPr>
        <w:footnoteReference w:id="24"/>
      </w:r>
      <w:r>
        <w:rPr>
          <w:rFonts w:ascii="Times New Roman" w:hAnsi="Times New Roman" w:cs="Times New Roman" w:eastAsia="Times New Roman"/>
          <w:sz w:val="28"/>
        </w:rPr>
        <w:t xml:space="preserve">. Bu fikr bilan to‘liq qo‘shilish mumkin, chunki bankning boshqa barcha barqarorlik turlari pirovardida uning moliyaviy natijalarida, kapitali va likvidligida o‘z aksini topadi.</w:t>
      </w:r>
    </w:p>
    <w:p>
      <w:pPr>
        <w:pStyle w:val="BodyText"/>
        <w:spacing w:line="360" w:lineRule="auto" w:before="0" w:after="0"/>
        <w:ind w:firstLine="709"/>
        <w:jc w:val="both"/>
      </w:pPr>
      <w:r>
        <w:rPr>
          <w:rFonts w:ascii="Times New Roman" w:hAnsi="Times New Roman" w:cs="Times New Roman" w:eastAsia="Times New Roman"/>
          <w:sz w:val="28"/>
        </w:rPr>
        <w:t xml:space="preserve">Tushunchaning chegaralari aniqlangach, uning ta’rifiga o‘tish mumkin. Iqtisodiy adabiyotda moliyaviy barqarorlikka berilgan ta’riflar juda ko‘p bo‘lib, ularni tahlil qilish natijasida ularning har biri muayyan jihatga urg‘u berishi aniqlandi (1.1.1-jadval).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 tushunchasiga berilgan ta’riflarning qiyosiy tahlili</w:t>
      </w:r>
      <w:r>
        <w:rPr>
          <w:rStyle w:val="FootnoteReference"/>
        </w:rPr>
        <w:footnoteReference w:id="25"/>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Muallif</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Ta’rifning asosiy mazmuni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Urg‘u berilgan jihat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O.I. Lavrushin, I.D. Mamonova</w:t>
            </w:r>
          </w:p>
        </w:tc>
        <w:tc>
          <w:tcPr/>
          <w:p>
            <w:pPr>
              <w:pStyle w:val="Compact"/>
              <w:spacing w:line="240" w:lineRule="auto"/>
              <w:ind w:firstLine="0"/>
              <w:jc w:val="left"/>
            </w:pPr>
            <w:r>
              <w:rPr>
                <w:rFonts w:ascii="Times New Roman" w:hAnsi="Times New Roman" w:cs="Times New Roman" w:eastAsia="Times New Roman"/>
                <w:sz w:val="22"/>
              </w:rPr>
              <w:t xml:space="preserve">Bankning o‘z moliyasini va boshqa sub’ektlar moliyasini kengaytirilgan asosda takror ishlab chiqarishi</w:t>
            </w:r>
          </w:p>
        </w:tc>
        <w:tc>
          <w:tcPr/>
          <w:p>
            <w:pPr>
              <w:pStyle w:val="Compact"/>
              <w:spacing w:line="240" w:lineRule="auto"/>
              <w:ind w:firstLine="0"/>
              <w:jc w:val="left"/>
            </w:pPr>
            <w:r>
              <w:rPr>
                <w:rFonts w:ascii="Times New Roman" w:hAnsi="Times New Roman" w:cs="Times New Roman" w:eastAsia="Times New Roman"/>
                <w:sz w:val="22"/>
              </w:rPr>
              <w:t xml:space="preserve">Resurslarning o‘sishi va rivojlanish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O.I. Lavrushin (tahr.)</w:t>
            </w:r>
          </w:p>
        </w:tc>
        <w:tc>
          <w:tcPr/>
          <w:p>
            <w:pPr>
              <w:pStyle w:val="Compact"/>
              <w:spacing w:line="240" w:lineRule="auto"/>
              <w:ind w:firstLine="0"/>
              <w:jc w:val="left"/>
            </w:pPr>
            <w:r>
              <w:rPr>
                <w:rFonts w:ascii="Times New Roman" w:hAnsi="Times New Roman" w:cs="Times New Roman" w:eastAsia="Times New Roman"/>
                <w:sz w:val="22"/>
              </w:rPr>
              <w:t xml:space="preserve">Bank tizimining ijtimoiy ehtiyojlarga muvofiq faoliyatni kengaytirilgan asosda takror ishlab chiqarishi bilan kechadigan rivojlanish xususiyati</w:t>
            </w:r>
          </w:p>
        </w:tc>
        <w:tc>
          <w:tcPr/>
          <w:p>
            <w:pPr>
              <w:pStyle w:val="Compact"/>
              <w:spacing w:line="240" w:lineRule="auto"/>
              <w:ind w:firstLine="0"/>
              <w:jc w:val="left"/>
            </w:pPr>
            <w:r>
              <w:rPr>
                <w:rFonts w:ascii="Times New Roman" w:hAnsi="Times New Roman" w:cs="Times New Roman" w:eastAsia="Times New Roman"/>
                <w:sz w:val="22"/>
              </w:rPr>
              <w:t xml:space="preserve">Ijtimoiy funksiya va institutsional yondashuv</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G.J. Schinasi</w:t>
            </w:r>
          </w:p>
        </w:tc>
        <w:tc>
          <w:tcPr/>
          <w:p>
            <w:pPr>
              <w:pStyle w:val="Compact"/>
              <w:spacing w:line="240" w:lineRule="auto"/>
              <w:ind w:firstLine="0"/>
              <w:jc w:val="left"/>
            </w:pPr>
            <w:r>
              <w:rPr>
                <w:rFonts w:ascii="Times New Roman" w:hAnsi="Times New Roman" w:cs="Times New Roman" w:eastAsia="Times New Roman"/>
                <w:sz w:val="22"/>
              </w:rPr>
              <w:t xml:space="preserve">Moliya tizimining resurslarni samarali taqsimlash, risklarni baholash va boshqarish hamda shoklarni yutish qobiliyati</w:t>
            </w:r>
          </w:p>
        </w:tc>
        <w:tc>
          <w:tcPr/>
          <w:p>
            <w:pPr>
              <w:pStyle w:val="Compact"/>
              <w:spacing w:line="240" w:lineRule="auto"/>
              <w:ind w:firstLine="0"/>
              <w:jc w:val="left"/>
            </w:pPr>
            <w:r>
              <w:rPr>
                <w:rFonts w:ascii="Times New Roman" w:hAnsi="Times New Roman" w:cs="Times New Roman" w:eastAsia="Times New Roman"/>
                <w:sz w:val="22"/>
              </w:rPr>
              <w:t xml:space="preserve">Funksiyalarni bajarish va shoklarga chidamlilik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F.S. Mishkin</w:t>
            </w:r>
          </w:p>
        </w:tc>
        <w:tc>
          <w:tcPr/>
          <w:p>
            <w:pPr>
              <w:pStyle w:val="Compact"/>
              <w:spacing w:line="240" w:lineRule="auto"/>
              <w:ind w:firstLine="0"/>
              <w:jc w:val="left"/>
            </w:pPr>
            <w:r>
              <w:rPr>
                <w:rFonts w:ascii="Times New Roman" w:hAnsi="Times New Roman" w:cs="Times New Roman" w:eastAsia="Times New Roman"/>
                <w:sz w:val="22"/>
              </w:rPr>
              <w:t xml:space="preserve">Axborot oqimining uzilishi natijasida moliya tizimi mablag‘larni samarali yo‘naltira olmay qoladigan holatning yo‘qligi</w:t>
            </w:r>
          </w:p>
        </w:tc>
        <w:tc>
          <w:tcPr/>
          <w:p>
            <w:pPr>
              <w:pStyle w:val="Compact"/>
              <w:spacing w:line="240" w:lineRule="auto"/>
              <w:ind w:firstLine="0"/>
              <w:jc w:val="left"/>
            </w:pPr>
            <w:r>
              <w:rPr>
                <w:rFonts w:ascii="Times New Roman" w:hAnsi="Times New Roman" w:cs="Times New Roman" w:eastAsia="Times New Roman"/>
                <w:sz w:val="22"/>
              </w:rPr>
              <w:t xml:space="preserve">Axborot asimmetriyasi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J.M. Hendrickson</w:t>
            </w:r>
          </w:p>
        </w:tc>
        <w:tc>
          <w:tcPr/>
          <w:p>
            <w:pPr>
              <w:pStyle w:val="Compact"/>
              <w:spacing w:line="240" w:lineRule="auto"/>
              <w:ind w:firstLine="0"/>
              <w:jc w:val="left"/>
            </w:pPr>
            <w:r>
              <w:rPr>
                <w:rFonts w:ascii="Times New Roman" w:hAnsi="Times New Roman" w:cs="Times New Roman" w:eastAsia="Times New Roman"/>
                <w:sz w:val="22"/>
              </w:rPr>
              <w:t xml:space="preserve">Asosiy moliya institutlari tashqi yordamsiz foydalanuvchilarda yuqori ishonch uyg‘otadigan holat</w:t>
            </w:r>
          </w:p>
        </w:tc>
        <w:tc>
          <w:tcPr/>
          <w:p>
            <w:pPr>
              <w:pStyle w:val="Compact"/>
              <w:spacing w:line="240" w:lineRule="auto"/>
              <w:ind w:firstLine="0"/>
              <w:jc w:val="left"/>
            </w:pPr>
            <w:r>
              <w:rPr>
                <w:rFonts w:ascii="Times New Roman" w:hAnsi="Times New Roman" w:cs="Times New Roman" w:eastAsia="Times New Roman"/>
                <w:sz w:val="22"/>
              </w:rPr>
              <w:t xml:space="preserve">Ishonch va mustaqillik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A.V. Thakor</w:t>
            </w:r>
          </w:p>
        </w:tc>
        <w:tc>
          <w:tcPr/>
          <w:p>
            <w:pPr>
              <w:pStyle w:val="Compact"/>
              <w:spacing w:line="240" w:lineRule="auto"/>
              <w:ind w:firstLine="0"/>
              <w:jc w:val="left"/>
            </w:pPr>
            <w:r>
              <w:rPr>
                <w:rFonts w:ascii="Times New Roman" w:hAnsi="Times New Roman" w:cs="Times New Roman" w:eastAsia="Times New Roman"/>
                <w:sz w:val="22"/>
              </w:rPr>
              <w:t xml:space="preserve">Sog‘lom tizim inqirozdan butunlay himoyalangan tizim emas; unda alohida banklar davlat yordamisiz bankrot bo‘lishi mumkin</w:t>
            </w:r>
          </w:p>
        </w:tc>
        <w:tc>
          <w:tcPr/>
          <w:p>
            <w:pPr>
              <w:pStyle w:val="Compact"/>
              <w:spacing w:line="240" w:lineRule="auto"/>
              <w:ind w:firstLine="0"/>
              <w:jc w:val="left"/>
            </w:pPr>
            <w:r>
              <w:rPr>
                <w:rFonts w:ascii="Times New Roman" w:hAnsi="Times New Roman" w:cs="Times New Roman" w:eastAsia="Times New Roman"/>
                <w:sz w:val="22"/>
              </w:rPr>
              <w:t xml:space="preserve">Tizim darajasidagi sog‘lomlik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N.H. Sharipova</w:t>
            </w:r>
          </w:p>
        </w:tc>
        <w:tc>
          <w:tcPr/>
          <w:p>
            <w:pPr>
              <w:pStyle w:val="Compact"/>
              <w:spacing w:line="240" w:lineRule="auto"/>
              <w:ind w:firstLine="0"/>
              <w:jc w:val="left"/>
            </w:pPr>
            <w:r>
              <w:rPr>
                <w:rFonts w:ascii="Times New Roman" w:hAnsi="Times New Roman" w:cs="Times New Roman" w:eastAsia="Times New Roman"/>
                <w:sz w:val="22"/>
              </w:rPr>
              <w:t xml:space="preserve">Bankning o‘z funksiyalarini beqaror iqtisodiy sharoitlarda ham uzluksiz va samarali bajarishini ta’minlaydigan tizimli va dinamik holat</w:t>
            </w:r>
          </w:p>
        </w:tc>
        <w:tc>
          <w:tcPr/>
          <w:p>
            <w:pPr>
              <w:pStyle w:val="Compact"/>
              <w:spacing w:line="240" w:lineRule="auto"/>
              <w:ind w:firstLine="0"/>
              <w:jc w:val="left"/>
            </w:pPr>
            <w:r>
              <w:rPr>
                <w:rFonts w:ascii="Times New Roman" w:hAnsi="Times New Roman" w:cs="Times New Roman" w:eastAsia="Times New Roman"/>
                <w:sz w:val="22"/>
              </w:rPr>
              <w:t xml:space="preserve">Uzluksizlik va dinamika</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ta’riflardagi farqlar asosan ikki omil bilan izohlanadi: birinchidan, qaysi daraja – alohida bank yoki butun moliya tizimi nazarda tutilayotgani, ikkinchidan, barqarorlikning qaysi belgisi asosiy deb olinayotgani. O.I. Lavrushin va I.D. Mamonova ta’rifida bankning o‘z moliyasi, ya’ni kapital, foyda, zaxiralar va fondlar markazga qo‘yiladi va mualliflar barqarorlikni aktiv va passivlar muvozanati bilan emas, aynan shu resurslarning barqaror o‘sishi bilan bog‘lash kerakligini ta’kidlaydi</w:t>
      </w:r>
      <w:r>
        <w:rPr>
          <w:rStyle w:val="FootnoteReference"/>
        </w:rPr>
        <w:footnoteReference w:id="26"/>
      </w:r>
      <w:r>
        <w:rPr>
          <w:rFonts w:ascii="Times New Roman" w:hAnsi="Times New Roman" w:cs="Times New Roman" w:eastAsia="Times New Roman"/>
          <w:sz w:val="28"/>
        </w:rPr>
        <w:t xml:space="preserve">. Monografiyada esa bank ijtimoiy institut sifatida qaraladi va uning barqarorligi jamiyat ehtiyojlariga mosligi bilan o‘lchanadi</w:t>
      </w:r>
      <w:r>
        <w:rPr>
          <w:rStyle w:val="FootnoteReference"/>
        </w:rPr>
        <w:footnoteReference w:id="2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G‘arb adabiyotida esa moliyaviy barqarorlik ko‘proq tizim darajasida va funksional nuqtai nazardan talqin qilinadi. G.J. Schinasi moliyaviy barqarorlikni moliya tizimining iqtisodiy resurslarni samarali taqsimlash, moliyaviy risklarni baholash va boshqarish hamda shoklarni yutish qobiliyati sifatida ta’riflaydi va uni ikki holat orasidagi uzluksiz chiziq, ya’ni «kontinuum» deb qaraydi</w:t>
      </w:r>
      <w:r>
        <w:rPr>
          <w:rStyle w:val="FootnoteReference"/>
        </w:rPr>
        <w:footnoteReference w:id="28"/>
      </w:r>
      <w:r>
        <w:rPr>
          <w:rFonts w:ascii="Times New Roman" w:hAnsi="Times New Roman" w:cs="Times New Roman" w:eastAsia="Times New Roman"/>
          <w:sz w:val="28"/>
        </w:rPr>
        <w:t xml:space="preserve">. F.S. Mishkin esa beqarorlikdan kelib chiqib, uni axborot oqimining keskin uzilishi natijasida moliya tizimi mablag‘larni eng samarali investitsiya imkoniyatlariga yo‘naltira olmay qoladigan holat sifatida izohlaydi</w:t>
      </w:r>
      <w:r>
        <w:rPr>
          <w:rStyle w:val="FootnoteReference"/>
        </w:rPr>
        <w:footnoteReference w:id="29"/>
      </w:r>
      <w:r>
        <w:rPr>
          <w:rFonts w:ascii="Times New Roman" w:hAnsi="Times New Roman" w:cs="Times New Roman" w:eastAsia="Times New Roman"/>
          <w:sz w:val="28"/>
        </w:rPr>
        <w:t xml:space="preserve">. J.M. Hendrickson ta’rifida esa asosiy o‘rinni ishonch egallaydi: muallif fikricha, beqarorlikning kaliti iste’molchilar ishonchining kutilmaganda keskin yo‘qolishidir. U yana bir muhim fikrni ilgari suradi: bank inqirozi har doim moliyaviy beqarorlikka olib keladi, biroq moliyaviy beqarorlik bank inqirozisiz ham yuzaga kelishi mumkin</w:t>
      </w:r>
      <w:r>
        <w:rPr>
          <w:rStyle w:val="FootnoteReference"/>
        </w:rPr>
        <w:footnoteReference w:id="3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Mahalliy tadqiqotlarda ham bu masalaga e’tibor kuchayib bormoqda. Xususan, N.H. Sharipova tijorat banki moliyaviy barqarorligini bankning o‘z funksiyalarini beqaror iqtisodiy sharoitlarda ham uzluksiz va samarali bajarish qobiliyatini ta’minlaydigan, moliyaviy resurslar, kapital va likvidlikni optimal boshqarish orqali barqaror rivojlanishga erishadigan tizimli va dinamik holat sifatida ta’riflaydi</w:t>
      </w:r>
      <w:r>
        <w:rPr>
          <w:rStyle w:val="FootnoteReference"/>
        </w:rPr>
        <w:footnoteReference w:id="31"/>
      </w:r>
      <w:r>
        <w:rPr>
          <w:rFonts w:ascii="Times New Roman" w:hAnsi="Times New Roman" w:cs="Times New Roman" w:eastAsia="Times New Roman"/>
          <w:sz w:val="28"/>
        </w:rPr>
        <w:t xml:space="preserve">. Bu ta’rifda uzluksizlik va dinamikaga urg‘u berilgani e’tiborga loyiq, ammo unda barqarorlikni qanday o‘lchash mumkinligi, ya’ni uning miqdoriy chegaralari ochiq qolgan.</w:t>
      </w:r>
    </w:p>
    <w:p>
      <w:pPr>
        <w:pStyle w:val="BodyText"/>
        <w:spacing w:line="360" w:lineRule="auto" w:before="0" w:after="0"/>
        <w:ind w:firstLine="709"/>
        <w:jc w:val="both"/>
      </w:pPr>
      <w:r>
        <w:rPr>
          <w:rFonts w:ascii="Times New Roman" w:hAnsi="Times New Roman" w:cs="Times New Roman" w:eastAsia="Times New Roman"/>
          <w:sz w:val="28"/>
        </w:rPr>
        <w:t xml:space="preserve">Ta’riflardagi xilma-xillikka qaramay, ularning aksariyatida uchta umumiy mezon kuzatiladi. Birinchisi – statik mezon, ya’ni bankning muayyan sanada majburiyatlarini qoplash uchun yetarli kapital va sifatli aktivlarga ega bo‘lishi, boshqacha aytganda, to‘lovga qobiliyatliligi. Ikkinchisi – dinamik mezon, ya’ni kutilmagan shoklar va bozor tebranishlari yuzaga kelganda zararlarni yutib, o‘z holatini tiklay olish qobiliyati. Uchinchisi – funksional mezon, ya’ni stress sharoitida ham iqtisodiyotni kreditlash va to‘lovlarni amalga oshirish funksiyalarini yo‘qotmaslik. A. Krokett ham moliyaviy barqarorlikni asosiy moliya institutlari va bozorlarning barqarorligi sifatida ta’riflab, uning mezoni sifatida institutlarning o‘z shartnoma majburiyatlarini tashqi yordamsiz bajara olishi va bozorlarda narxlarning fundamental omillarni aks ettirishini ko‘rsatadi</w:t>
      </w:r>
      <w:r>
        <w:rPr>
          <w:rStyle w:val="FootnoteReference"/>
        </w:rPr>
        <w:footnoteReference w:id="32"/>
      </w:r>
      <w:r>
        <w:rPr>
          <w:rFonts w:ascii="Times New Roman" w:hAnsi="Times New Roman" w:cs="Times New Roman" w:eastAsia="Times New Roman"/>
          <w:sz w:val="28"/>
        </w:rPr>
        <w:t xml:space="preserve">. Bundan kelib chiqadiki, moliyaviy barqarorlik buxgalteriya balansi ko‘rsatkichlarining normativ talablarga shunchaki mos kelishi emas, balki kapital va likvidlik zaxiralarining kutilayotgan va kutilmagan zararlarga nisbatan miqdor va sifat jihatidan yetarliligini anglatuvchi keng qamrovli iqtisodiy kategoriyadir.</w:t>
      </w:r>
    </w:p>
    <w:p>
      <w:pPr>
        <w:pStyle w:val="BodyText"/>
        <w:spacing w:line="360" w:lineRule="auto" w:before="0" w:after="0"/>
        <w:ind w:firstLine="709"/>
        <w:jc w:val="both"/>
      </w:pPr>
      <w:r>
        <w:rPr>
          <w:rFonts w:ascii="Times New Roman" w:hAnsi="Times New Roman" w:cs="Times New Roman" w:eastAsia="Times New Roman"/>
          <w:sz w:val="28"/>
        </w:rPr>
        <w:t xml:space="preserve">Ta’riflarni umumlashtirib, moliyaviy barqarorlikni tushunishdagi to‘rt asosiy yondashuvni ajratish mumkin (1.1.2-rasm).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538000"/>
                <wp:effectExtent l="0" t="0" r="0" b="0"/>
                <wp:docPr id="1002" name="1.1.2-rasm"/>
                <wp:cNvGraphicFramePr/>
                <a:graphic>
                  <a:graphicData uri="http://schemas.microsoft.com/office/word/2010/wordprocessingGroup">
                    <wpg:wgp>
                      <wpg:cNvGrpSpPr/>
                      <wpg:grpSpPr>
                        <a:xfrm>
                          <a:off x="0" y="0"/>
                          <a:ext cx="5904000" cy="2538000"/>
                          <a:chOff x="0" y="0"/>
                          <a:chExt cx="5904000" cy="2538000"/>
                        </a:xfrm>
                      </wpg:grpSpPr>
                      <wps:wsp>
                        <wps:cNvPr id="17" name="Shape 17"/>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Moliyaviy barqarorlik tushunchasi</w:t>
                              </w:r>
                            </w:p>
                          </w:txbxContent>
                        </wps:txbx>
                        <wps:bodyPr rot="0" vert="horz" wrap="square" lIns="36000" tIns="18000" rIns="36000" bIns="18000" anchor="ctr" anchorCtr="0">
                          <a:noAutofit/>
                        </wps:bodyPr>
                      </wps:wsp>
                      <wps:wsp>
                        <wps:cNvPr id="18" name="Connector 18"/>
                        <wps:cNvCnPr/>
                        <wps:spPr>
                          <a:xfrm flipH="1">
                            <a:off x="729000" y="360000"/>
                            <a:ext cx="2223000" cy="216000"/>
                          </a:xfrm>
                          <a:prstGeom prst="straightConnector1">
                            <a:avLst/>
                          </a:prstGeom>
                          <a:ln w="15875">
                            <a:solidFill>
                              <a:srgbClr val="404040"/>
                            </a:solidFill>
                            <a:tailEnd type="triangle" w="med" len="med"/>
                          </a:ln>
                        </wps:spPr>
                        <wps:bodyPr/>
                      </wps:wsp>
                      <wps:wsp>
                        <wps:cNvPr id="19" name="Shape 19"/>
                        <wps:cNvSpPr/>
                        <wps:spPr>
                          <a:xfrm>
                            <a:off x="36000" y="576000"/>
                            <a:ext cx="138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Resurs</w:t>
                              </w:r>
                            </w:p>
                            <w:p>
                              <w:pPr>
                                <w:spacing w:before="0" w:after="0" w:line="228" w:lineRule="auto"/>
                                <w:jc w:val="center"/>
                                <w:ind w:firstLine="0"/>
                              </w:pPr>
                              <w:r>
                                <w:rPr>
                                  <w:rFonts w:ascii="Times New Roman" w:hAnsi="Times New Roman" w:cs="Times New Roman"/>
                                  <w:b/>
                                  <w:color w:val="FFFFFF"/>
                                  <w:sz w:val="21"/>
                                  <w:szCs w:val="21"/>
                                </w:rPr>
                                <w:t xml:space="preserve">yondashuvi</w:t>
                              </w:r>
                            </w:p>
                          </w:txbxContent>
                        </wps:txbx>
                        <wps:bodyPr rot="0" vert="horz" wrap="square" lIns="36000" tIns="18000" rIns="36000" bIns="18000" anchor="ctr" anchorCtr="0">
                          <a:noAutofit/>
                        </wps:bodyPr>
                      </wps:wsp>
                      <wps:wsp>
                        <wps:cNvPr id="20" name="Shape 20"/>
                        <wps:cNvSpPr/>
                        <wps:spPr>
                          <a:xfrm>
                            <a:off x="36000" y="1026000"/>
                            <a:ext cx="1386000" cy="93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foyda,</w:t>
                              </w:r>
                            </w:p>
                            <w:p>
                              <w:pPr>
                                <w:spacing w:before="0" w:after="0" w:line="228" w:lineRule="auto"/>
                                <w:jc w:val="center"/>
                                <w:ind w:firstLine="0"/>
                              </w:pPr>
                              <w:r>
                                <w:rPr>
                                  <w:rFonts w:ascii="Times New Roman" w:hAnsi="Times New Roman" w:cs="Times New Roman"/>
                                  <w:color w:val="000000"/>
                                  <w:sz w:val="18"/>
                                  <w:szCs w:val="18"/>
                                </w:rPr>
                                <w:t xml:space="preserve">zaxiralarning</w:t>
                              </w:r>
                            </w:p>
                            <w:p>
                              <w:pPr>
                                <w:spacing w:before="0" w:after="0" w:line="228" w:lineRule="auto"/>
                                <w:jc w:val="center"/>
                                <w:ind w:firstLine="0"/>
                              </w:pPr>
                              <w:r>
                                <w:rPr>
                                  <w:rFonts w:ascii="Times New Roman" w:hAnsi="Times New Roman" w:cs="Times New Roman"/>
                                  <w:color w:val="000000"/>
                                  <w:sz w:val="18"/>
                                  <w:szCs w:val="18"/>
                                </w:rPr>
                                <w:t xml:space="preserve">barqaror o‘sishi</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(O.I. Lavrushin,</w:t>
                              </w:r>
                            </w:p>
                            <w:p>
                              <w:pPr>
                                <w:spacing w:before="0" w:after="0" w:line="228" w:lineRule="auto"/>
                                <w:jc w:val="center"/>
                                <w:ind w:firstLine="0"/>
                              </w:pPr>
                              <w:r>
                                <w:rPr>
                                  <w:rFonts w:ascii="Times New Roman" w:hAnsi="Times New Roman" w:cs="Times New Roman"/>
                                  <w:color w:val="000000"/>
                                  <w:sz w:val="18"/>
                                  <w:szCs w:val="18"/>
                                </w:rPr>
                                <w:t xml:space="preserve">I.D. Mamonova)</w:t>
                              </w:r>
                            </w:p>
                          </w:txbxContent>
                        </wps:txbx>
                        <wps:bodyPr rot="0" vert="horz" wrap="square" lIns="36000" tIns="18000" rIns="36000" bIns="18000" anchor="ctr" anchorCtr="0">
                          <a:noAutofit/>
                        </wps:bodyPr>
                      </wps:wsp>
                      <wps:wsp>
                        <wps:cNvPr id="21" name="Connector 21"/>
                        <wps:cNvCnPr/>
                        <wps:spPr>
                          <a:xfrm>
                            <a:off x="729000" y="1962000"/>
                            <a:ext cx="2223000" cy="198000"/>
                          </a:xfrm>
                          <a:prstGeom prst="straightConnector1">
                            <a:avLst/>
                          </a:prstGeom>
                          <a:ln w="12700">
                            <a:solidFill>
                              <a:srgbClr val="7F7F7F"/>
                            </a:solidFill>
                            <a:tailEnd type="triangle" w="med" len="med"/>
                          </a:ln>
                        </wps:spPr>
                        <wps:bodyPr/>
                      </wps:wsp>
                      <wps:wsp>
                        <wps:cNvPr id="22" name="Connector 22"/>
                        <wps:cNvCnPr/>
                        <wps:spPr>
                          <a:xfrm flipH="1">
                            <a:off x="2205000" y="360000"/>
                            <a:ext cx="747000" cy="216000"/>
                          </a:xfrm>
                          <a:prstGeom prst="straightConnector1">
                            <a:avLst/>
                          </a:prstGeom>
                          <a:ln w="15875">
                            <a:solidFill>
                              <a:srgbClr val="404040"/>
                            </a:solidFill>
                            <a:tailEnd type="triangle" w="med" len="med"/>
                          </a:ln>
                        </wps:spPr>
                        <wps:bodyPr/>
                      </wps:wsp>
                      <wps:wsp>
                        <wps:cNvPr id="23" name="Shape 23"/>
                        <wps:cNvSpPr/>
                        <wps:spPr>
                          <a:xfrm>
                            <a:off x="1512000" y="576000"/>
                            <a:ext cx="138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Institutsional-</w:t>
                              </w:r>
                            </w:p>
                            <w:p>
                              <w:pPr>
                                <w:spacing w:before="0" w:after="0" w:line="228" w:lineRule="auto"/>
                                <w:jc w:val="center"/>
                                <w:ind w:firstLine="0"/>
                              </w:pPr>
                              <w:r>
                                <w:rPr>
                                  <w:rFonts w:ascii="Times New Roman" w:hAnsi="Times New Roman" w:cs="Times New Roman"/>
                                  <w:b/>
                                  <w:color w:val="FFFFFF"/>
                                  <w:sz w:val="21"/>
                                  <w:szCs w:val="21"/>
                                </w:rPr>
                                <w:t xml:space="preserve">funksional</w:t>
                              </w:r>
                            </w:p>
                          </w:txbxContent>
                        </wps:txbx>
                        <wps:bodyPr rot="0" vert="horz" wrap="square" lIns="36000" tIns="18000" rIns="36000" bIns="18000" anchor="ctr" anchorCtr="0">
                          <a:noAutofit/>
                        </wps:bodyPr>
                      </wps:wsp>
                      <wps:wsp>
                        <wps:cNvPr id="24" name="Shape 24"/>
                        <wps:cNvSpPr/>
                        <wps:spPr>
                          <a:xfrm>
                            <a:off x="1512000" y="1026000"/>
                            <a:ext cx="1386000" cy="93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Vositachilik</w:t>
                              </w:r>
                            </w:p>
                            <w:p>
                              <w:pPr>
                                <w:spacing w:before="0" w:after="0" w:line="228" w:lineRule="auto"/>
                                <w:jc w:val="center"/>
                                <w:ind w:firstLine="0"/>
                              </w:pPr>
                              <w:r>
                                <w:rPr>
                                  <w:rFonts w:ascii="Times New Roman" w:hAnsi="Times New Roman" w:cs="Times New Roman"/>
                                  <w:color w:val="000000"/>
                                  <w:sz w:val="18"/>
                                  <w:szCs w:val="18"/>
                                </w:rPr>
                                <w:t xml:space="preserve">funksiyalarini</w:t>
                              </w:r>
                            </w:p>
                            <w:p>
                              <w:pPr>
                                <w:spacing w:before="0" w:after="0" w:line="228" w:lineRule="auto"/>
                                <w:jc w:val="center"/>
                                <w:ind w:firstLine="0"/>
                              </w:pPr>
                              <w:r>
                                <w:rPr>
                                  <w:rFonts w:ascii="Times New Roman" w:hAnsi="Times New Roman" w:cs="Times New Roman"/>
                                  <w:color w:val="000000"/>
                                  <w:sz w:val="18"/>
                                  <w:szCs w:val="18"/>
                                </w:rPr>
                                <w:t xml:space="preserve">uzluksiz bajarish</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(O.I. Lavrushin,</w:t>
                              </w:r>
                            </w:p>
                            <w:p>
                              <w:pPr>
                                <w:spacing w:before="0" w:after="0" w:line="228" w:lineRule="auto"/>
                                <w:jc w:val="center"/>
                                <w:ind w:firstLine="0"/>
                              </w:pPr>
                              <w:r>
                                <w:rPr>
                                  <w:rFonts w:ascii="Times New Roman" w:hAnsi="Times New Roman" w:cs="Times New Roman"/>
                                  <w:color w:val="000000"/>
                                  <w:sz w:val="18"/>
                                  <w:szCs w:val="18"/>
                                </w:rPr>
                                <w:t xml:space="preserve">G.J. Schinasi)</w:t>
                              </w:r>
                            </w:p>
                          </w:txbxContent>
                        </wps:txbx>
                        <wps:bodyPr rot="0" vert="horz" wrap="square" lIns="36000" tIns="18000" rIns="36000" bIns="18000" anchor="ctr" anchorCtr="0">
                          <a:noAutofit/>
                        </wps:bodyPr>
                      </wps:wsp>
                      <wps:wsp>
                        <wps:cNvPr id="25" name="Connector 25"/>
                        <wps:cNvCnPr/>
                        <wps:spPr>
                          <a:xfrm>
                            <a:off x="2205000" y="1962000"/>
                            <a:ext cx="747000" cy="198000"/>
                          </a:xfrm>
                          <a:prstGeom prst="straightConnector1">
                            <a:avLst/>
                          </a:prstGeom>
                          <a:ln w="12700">
                            <a:solidFill>
                              <a:srgbClr val="7F7F7F"/>
                            </a:solidFill>
                            <a:tailEnd type="triangle" w="med" len="med"/>
                          </a:ln>
                        </wps:spPr>
                        <wps:bodyPr/>
                      </wps:wsp>
                      <wps:wsp>
                        <wps:cNvPr id="26" name="Connector 26"/>
                        <wps:cNvCnPr/>
                        <wps:spPr>
                          <a:xfrm>
                            <a:off x="2952000" y="360000"/>
                            <a:ext cx="729000" cy="216000"/>
                          </a:xfrm>
                          <a:prstGeom prst="straightConnector1">
                            <a:avLst/>
                          </a:prstGeom>
                          <a:ln w="15875">
                            <a:solidFill>
                              <a:srgbClr val="404040"/>
                            </a:solidFill>
                            <a:tailEnd type="triangle" w="med" len="med"/>
                          </a:ln>
                        </wps:spPr>
                        <wps:bodyPr/>
                      </wps:wsp>
                      <wps:wsp>
                        <wps:cNvPr id="27" name="Shape 27"/>
                        <wps:cNvSpPr/>
                        <wps:spPr>
                          <a:xfrm>
                            <a:off x="2988000" y="576000"/>
                            <a:ext cx="1386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Ishonch</w:t>
                              </w:r>
                            </w:p>
                            <w:p>
                              <w:pPr>
                                <w:spacing w:before="0" w:after="0" w:line="228" w:lineRule="auto"/>
                                <w:jc w:val="center"/>
                                <w:ind w:firstLine="0"/>
                              </w:pPr>
                              <w:r>
                                <w:rPr>
                                  <w:rFonts w:ascii="Times New Roman" w:hAnsi="Times New Roman" w:cs="Times New Roman"/>
                                  <w:b/>
                                  <w:color w:val="000000"/>
                                  <w:sz w:val="21"/>
                                  <w:szCs w:val="21"/>
                                </w:rPr>
                                <w:t xml:space="preserve">yondashuvi</w:t>
                              </w:r>
                            </w:p>
                          </w:txbxContent>
                        </wps:txbx>
                        <wps:bodyPr rot="0" vert="horz" wrap="square" lIns="36000" tIns="18000" rIns="36000" bIns="18000" anchor="ctr" anchorCtr="0">
                          <a:noAutofit/>
                        </wps:bodyPr>
                      </wps:wsp>
                      <wps:wsp>
                        <wps:cNvPr id="28" name="Shape 28"/>
                        <wps:cNvSpPr/>
                        <wps:spPr>
                          <a:xfrm>
                            <a:off x="2988000" y="1026000"/>
                            <a:ext cx="1386000" cy="936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Tashqi yordamsiz</w:t>
                              </w:r>
                            </w:p>
                            <w:p>
                              <w:pPr>
                                <w:spacing w:before="0" w:after="0" w:line="228" w:lineRule="auto"/>
                                <w:jc w:val="center"/>
                                <w:ind w:firstLine="0"/>
                              </w:pPr>
                              <w:r>
                                <w:rPr>
                                  <w:rFonts w:ascii="Times New Roman" w:hAnsi="Times New Roman" w:cs="Times New Roman"/>
                                  <w:color w:val="000000"/>
                                  <w:sz w:val="18"/>
                                  <w:szCs w:val="18"/>
                                </w:rPr>
                                <w:t xml:space="preserve">yuqori ishonch</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(J.M. Hendrickson,</w:t>
                              </w:r>
                            </w:p>
                            <w:p>
                              <w:pPr>
                                <w:spacing w:before="0" w:after="0" w:line="228" w:lineRule="auto"/>
                                <w:jc w:val="center"/>
                                <w:ind w:firstLine="0"/>
                              </w:pPr>
                              <w:r>
                                <w:rPr>
                                  <w:rFonts w:ascii="Times New Roman" w:hAnsi="Times New Roman" w:cs="Times New Roman"/>
                                  <w:color w:val="000000"/>
                                  <w:sz w:val="18"/>
                                  <w:szCs w:val="18"/>
                                </w:rPr>
                                <w:t xml:space="preserve">A. Krokett)</w:t>
                              </w:r>
                            </w:p>
                          </w:txbxContent>
                        </wps:txbx>
                        <wps:bodyPr rot="0" vert="horz" wrap="square" lIns="36000" tIns="18000" rIns="36000" bIns="18000" anchor="ctr" anchorCtr="0">
                          <a:noAutofit/>
                        </wps:bodyPr>
                      </wps:wsp>
                      <wps:wsp>
                        <wps:cNvPr id="29" name="Connector 29"/>
                        <wps:cNvCnPr/>
                        <wps:spPr>
                          <a:xfrm flipH="1">
                            <a:off x="2952000" y="1962000"/>
                            <a:ext cx="729000" cy="198000"/>
                          </a:xfrm>
                          <a:prstGeom prst="straightConnector1">
                            <a:avLst/>
                          </a:prstGeom>
                          <a:ln w="12700">
                            <a:solidFill>
                              <a:srgbClr val="7F7F7F"/>
                            </a:solidFill>
                            <a:tailEnd type="triangle" w="med" len="med"/>
                          </a:ln>
                        </wps:spPr>
                        <wps:bodyPr/>
                      </wps:wsp>
                      <wps:wsp>
                        <wps:cNvPr id="30" name="Connector 30"/>
                        <wps:cNvCnPr/>
                        <wps:spPr>
                          <a:xfrm>
                            <a:off x="2952000" y="360000"/>
                            <a:ext cx="2205000" cy="216000"/>
                          </a:xfrm>
                          <a:prstGeom prst="straightConnector1">
                            <a:avLst/>
                          </a:prstGeom>
                          <a:ln w="15875">
                            <a:solidFill>
                              <a:srgbClr val="404040"/>
                            </a:solidFill>
                            <a:tailEnd type="triangle" w="med" len="med"/>
                          </a:ln>
                        </wps:spPr>
                        <wps:bodyPr/>
                      </wps:wsp>
                      <wps:wsp>
                        <wps:cNvPr id="31" name="Shape 31"/>
                        <wps:cNvSpPr/>
                        <wps:spPr>
                          <a:xfrm>
                            <a:off x="4464000" y="576000"/>
                            <a:ext cx="138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Risk va</w:t>
                              </w:r>
                            </w:p>
                            <w:p>
                              <w:pPr>
                                <w:spacing w:before="0" w:after="0" w:line="228" w:lineRule="auto"/>
                                <w:jc w:val="center"/>
                                <w:ind w:firstLine="0"/>
                              </w:pPr>
                              <w:r>
                                <w:rPr>
                                  <w:rFonts w:ascii="Times New Roman" w:hAnsi="Times New Roman" w:cs="Times New Roman"/>
                                  <w:b/>
                                  <w:color w:val="FFFFFF"/>
                                  <w:sz w:val="21"/>
                                  <w:szCs w:val="21"/>
                                </w:rPr>
                                <w:t xml:space="preserve">chidamlilik</w:t>
                              </w:r>
                            </w:p>
                          </w:txbxContent>
                        </wps:txbx>
                        <wps:bodyPr rot="0" vert="horz" wrap="square" lIns="36000" tIns="18000" rIns="36000" bIns="18000" anchor="ctr" anchorCtr="0">
                          <a:noAutofit/>
                        </wps:bodyPr>
                      </wps:wsp>
                      <wps:wsp>
                        <wps:cNvPr id="32" name="Shape 32"/>
                        <wps:cNvSpPr/>
                        <wps:spPr>
                          <a:xfrm>
                            <a:off x="4464000" y="1026000"/>
                            <a:ext cx="1386000" cy="93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va likvidlik</w:t>
                              </w:r>
                            </w:p>
                            <w:p>
                              <w:pPr>
                                <w:spacing w:before="0" w:after="0" w:line="228" w:lineRule="auto"/>
                                <w:jc w:val="center"/>
                                <w:ind w:firstLine="0"/>
                              </w:pPr>
                              <w:r>
                                <w:rPr>
                                  <w:rFonts w:ascii="Times New Roman" w:hAnsi="Times New Roman" w:cs="Times New Roman"/>
                                  <w:color w:val="000000"/>
                                  <w:sz w:val="18"/>
                                  <w:szCs w:val="18"/>
                                </w:rPr>
                                <w:t xml:space="preserve">buferlari, shoklarga</w:t>
                              </w:r>
                            </w:p>
                            <w:p>
                              <w:pPr>
                                <w:spacing w:before="0" w:after="0" w:line="228" w:lineRule="auto"/>
                                <w:jc w:val="center"/>
                                <w:ind w:firstLine="0"/>
                              </w:pPr>
                              <w:r>
                                <w:rPr>
                                  <w:rFonts w:ascii="Times New Roman" w:hAnsi="Times New Roman" w:cs="Times New Roman"/>
                                  <w:color w:val="000000"/>
                                  <w:sz w:val="18"/>
                                  <w:szCs w:val="18"/>
                                </w:rPr>
                                <w:t xml:space="preserve">chidamlilik</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(Bazel qo‘mitasi,</w:t>
                              </w:r>
                            </w:p>
                            <w:p>
                              <w:pPr>
                                <w:spacing w:before="0" w:after="0" w:line="228" w:lineRule="auto"/>
                                <w:jc w:val="center"/>
                                <w:ind w:firstLine="0"/>
                              </w:pPr>
                              <w:r>
                                <w:rPr>
                                  <w:rFonts w:ascii="Times New Roman" w:hAnsi="Times New Roman" w:cs="Times New Roman"/>
                                  <w:color w:val="000000"/>
                                  <w:sz w:val="18"/>
                                  <w:szCs w:val="18"/>
                                </w:rPr>
                                <w:t xml:space="preserve">XVJ)</w:t>
                              </w:r>
                            </w:p>
                          </w:txbxContent>
                        </wps:txbx>
                        <wps:bodyPr rot="0" vert="horz" wrap="square" lIns="36000" tIns="18000" rIns="36000" bIns="18000" anchor="ctr" anchorCtr="0">
                          <a:noAutofit/>
                        </wps:bodyPr>
                      </wps:wsp>
                      <wps:wsp>
                        <wps:cNvPr id="33" name="Connector 33"/>
                        <wps:cNvCnPr/>
                        <wps:spPr>
                          <a:xfrm flipH="1">
                            <a:off x="2952000" y="1962000"/>
                            <a:ext cx="2205000" cy="198000"/>
                          </a:xfrm>
                          <a:prstGeom prst="straightConnector1">
                            <a:avLst/>
                          </a:prstGeom>
                          <a:ln w="12700">
                            <a:solidFill>
                              <a:srgbClr val="7F7F7F"/>
                            </a:solidFill>
                            <a:tailEnd type="triangle" w="med" len="med"/>
                          </a:ln>
                        </wps:spPr>
                        <wps:bodyPr/>
                      </wps:wsp>
                      <wps:wsp>
                        <wps:cNvPr id="34" name="Shape 34"/>
                        <wps:cNvSpPr/>
                        <wps:spPr>
                          <a:xfrm>
                            <a:off x="972000" y="2160000"/>
                            <a:ext cx="3960000" cy="324000"/>
                          </a:xfrm>
                          <a:prstGeom prst="roundRect">
                            <a:avLst>
                              <a:gd name="adj" fmla="val 10000"/>
                            </a:avLst>
                          </a:prstGeom>
                          <a:solidFill>
                            <a:srgbClr val="DEEBF7"/>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Integral yondashuv: daraja + dinamika + muvozanat</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1.1.2-rasm. Moliyaviy barqarorlik tushunchasini talqin qilishdagi asosiy yondashuvlar</w:t>
      </w:r>
      <w:r>
        <w:rPr>
          <w:rStyle w:val="FootnoteReference"/>
        </w:rPr>
        <w:footnoteReference w:id="33"/>
      </w:r>
    </w:p>
    <w:p>
      <w:pPr>
        <w:pStyle w:val="BodyText"/>
        <w:spacing w:line="360" w:lineRule="auto" w:before="0" w:after="0"/>
        <w:ind w:firstLine="709"/>
        <w:jc w:val="both"/>
      </w:pPr>
      <w:r>
        <w:rPr>
          <w:rFonts w:ascii="Times New Roman" w:hAnsi="Times New Roman" w:cs="Times New Roman" w:eastAsia="Times New Roman"/>
          <w:sz w:val="28"/>
        </w:rPr>
        <w:t xml:space="preserve">Rasmda keltirilgan yondashuvlar bir-birini inkor etmaydi, balki barqarorlikning turli qirralarini yoritadi. Resurs yondashuvi barqarorlikning moddiy asosini, institutsional-funksional yondashuv uning ijtimoiy mazmunini, ishonch yondashuvi bozor ishtirokchilarining xulq-atvorini, risk va chidamlilik yondashuvi esa uni o‘lchash imkoniyatini ko‘rsatadi. Ta’kidlash lozimki, aynan to‘rtinchi yondashuv Bazel qo‘mitasi standartlari va Xalqaro valyuta jamg‘armasining moliyaviy barqarorlik ko‘rsatkichlari tizimiga asos bo‘lgan. Biroq u ham alohida olinganda yetarli emas: kapital va likvidlik me’yorlari bajarilgan bank ham ishonch yo‘qolgan sharoitda inqirozga uchrashi mumkinligini 2023-yilgi AQSh bank inqirozi yaqqol ko‘rsatdi.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barqarorlikning mazmunini to‘liq ochish uchun uning darajalarini ham farqlash zarur. Odatda uch daraja ajratiladi: alohida bank, bank tizimi (bank sektori) va butun moliya tizimi. O.I. Lavrushin va I.D. Mamonova bank tizimining barqarorligi alohida banklar barqarorligining oddiy yig‘indisi emasligini ta’kidlaydi. Ularning fikricha, bank uchun tashqi bo‘lgan omil tizim uchun ichki omil bo‘ladi, agregat ko‘rsatkichlar esa «bank sektori»ga tegishli, chunki bank tizimi tarkibiga markaziy bank ham kiradi</w:t>
      </w:r>
      <w:r>
        <w:rPr>
          <w:rStyle w:val="FootnoteReference"/>
        </w:rPr>
        <w:footnoteReference w:id="34"/>
      </w:r>
      <w:r>
        <w:rPr>
          <w:rFonts w:ascii="Times New Roman" w:hAnsi="Times New Roman" w:cs="Times New Roman" w:eastAsia="Times New Roman"/>
          <w:sz w:val="28"/>
        </w:rPr>
        <w:t xml:space="preserve">. Ushbu darajalar va ular o‘rtasidagi bog‘liqlik 1.1.3-rasmda ko‘rsatildi.</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1926000"/>
                <wp:effectExtent l="0" t="0" r="0" b="0"/>
                <wp:docPr id="1003" name="1.1.3-rasm"/>
                <wp:cNvGraphicFramePr/>
                <a:graphic>
                  <a:graphicData uri="http://schemas.microsoft.com/office/word/2010/wordprocessingGroup">
                    <wpg:wgp>
                      <wpg:cNvGrpSpPr/>
                      <wpg:grpSpPr>
                        <a:xfrm>
                          <a:off x="0" y="0"/>
                          <a:ext cx="5904000" cy="1926000"/>
                          <a:chOff x="0" y="0"/>
                          <a:chExt cx="5904000" cy="1926000"/>
                        </a:xfrm>
                      </wpg:grpSpPr>
                      <wps:wsp>
                        <wps:cNvPr id="35" name="Shape 35"/>
                        <wps:cNvSpPr/>
                        <wps:spPr>
                          <a:xfrm>
                            <a:off x="36000" y="36000"/>
                            <a:ext cx="5832000" cy="36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Moliya tizimi: banklar, nobank moliya tashkilotlari, moliya bozorlari, infratuzilma</w:t>
                              </w:r>
                            </w:p>
                          </w:txbxContent>
                        </wps:txbx>
                        <wps:bodyPr rot="0" vert="horz" wrap="square" lIns="36000" tIns="18000" rIns="36000" bIns="18000" anchor="ctr" anchorCtr="0">
                          <a:noAutofit/>
                        </wps:bodyPr>
                      </wps:wsp>
                      <wps:wsp>
                        <wps:cNvPr id="36" name="Shape 36"/>
                        <wps:cNvSpPr/>
                        <wps:spPr>
                          <a:xfrm>
                            <a:off x="720000" y="522000"/>
                            <a:ext cx="4464000" cy="36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Bank tizimi (bank sektori): Markaziy bank va tijorat banklari</w:t>
                              </w:r>
                            </w:p>
                          </w:txbxContent>
                        </wps:txbx>
                        <wps:bodyPr rot="0" vert="horz" wrap="square" lIns="36000" tIns="18000" rIns="36000" bIns="18000" anchor="ctr" anchorCtr="0">
                          <a:noAutofit/>
                        </wps:bodyPr>
                      </wps:wsp>
                      <wps:wsp>
                        <wps:cNvPr id="37" name="Shape 37"/>
                        <wps:cNvSpPr/>
                        <wps:spPr>
                          <a:xfrm>
                            <a:off x="1404000" y="1008000"/>
                            <a:ext cx="3096000" cy="360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Alohida tijorat banki</w:t>
                              </w:r>
                            </w:p>
                          </w:txbxContent>
                        </wps:txbx>
                        <wps:bodyPr rot="0" vert="horz" wrap="square" lIns="36000" tIns="18000" rIns="36000" bIns="18000" anchor="ctr" anchorCtr="0">
                          <a:noAutofit/>
                        </wps:bodyPr>
                      </wps:wsp>
                      <wps:wsp>
                        <wps:cNvPr id="38" name="Connector 38"/>
                        <wps:cNvCnPr/>
                        <wps:spPr>
                          <a:xfrm>
                            <a:off x="5256000" y="396000"/>
                            <a:ext cx="0" cy="1008000"/>
                          </a:xfrm>
                          <a:prstGeom prst="straightConnector1">
                            <a:avLst/>
                          </a:prstGeom>
                          <a:ln w="28575">
                            <a:solidFill>
                              <a:srgbClr val="EB6834"/>
                            </a:solidFill>
                            <a:tailEnd type="triangle" w="med" len="med"/>
                          </a:ln>
                        </wps:spPr>
                        <wps:bodyPr/>
                      </wps:wsp>
                      <wps:wsp>
                        <wps:cNvPr id="39" name="Shape 39"/>
                        <wps:cNvSpPr/>
                        <wps:spPr>
                          <a:xfrm>
                            <a:off x="4680000" y="1440000"/>
                            <a:ext cx="1188000" cy="432000"/>
                          </a:xfrm>
                          <a:prstGeom prst="roundRect">
                            <a:avLst>
                              <a:gd name="adj" fmla="val 10000"/>
                            </a:avLst>
                          </a:prstGeom>
                          <a:solidFill>
                            <a:srgbClr val="FBE5D6"/>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Makroshoklar,</w:t>
                              </w:r>
                            </w:p>
                            <w:p>
                              <w:pPr>
                                <w:spacing w:before="0" w:after="0" w:line="228" w:lineRule="auto"/>
                                <w:jc w:val="center"/>
                                <w:ind w:firstLine="0"/>
                              </w:pPr>
                              <w:r>
                                <w:rPr>
                                  <w:rFonts w:ascii="Times New Roman" w:hAnsi="Times New Roman" w:cs="Times New Roman"/>
                                  <w:color w:val="000000"/>
                                  <w:sz w:val="18"/>
                                  <w:szCs w:val="18"/>
                                </w:rPr>
                                <w:t xml:space="preserve">umumiy risklar</w:t>
                              </w:r>
                            </w:p>
                          </w:txbxContent>
                        </wps:txbx>
                        <wps:bodyPr rot="0" vert="horz" wrap="square" lIns="36000" tIns="18000" rIns="36000" bIns="18000" anchor="ctr" anchorCtr="0">
                          <a:noAutofit/>
                        </wps:bodyPr>
                      </wps:wsp>
                      <wps:wsp>
                        <wps:cNvPr id="40" name="Connector 40"/>
                        <wps:cNvCnPr/>
                        <wps:spPr>
                          <a:xfrm flipV="1">
                            <a:off x="648000" y="396000"/>
                            <a:ext cx="0" cy="972000"/>
                          </a:xfrm>
                          <a:prstGeom prst="straightConnector1">
                            <a:avLst/>
                          </a:prstGeom>
                          <a:ln w="28575">
                            <a:solidFill>
                              <a:srgbClr val="70AD47"/>
                            </a:solidFill>
                            <a:tailEnd type="triangle" w="med" len="med"/>
                          </a:ln>
                        </wps:spPr>
                        <wps:bodyPr/>
                      </wps:wsp>
                      <wps:wsp>
                        <wps:cNvPr id="41" name="Shape 41"/>
                        <wps:cNvSpPr/>
                        <wps:spPr>
                          <a:xfrm>
                            <a:off x="36000" y="1440000"/>
                            <a:ext cx="1224000" cy="432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Zararlanish,</w:t>
                              </w:r>
                            </w:p>
                            <w:p>
                              <w:pPr>
                                <w:spacing w:before="0" w:after="0" w:line="228" w:lineRule="auto"/>
                                <w:jc w:val="center"/>
                                <w:ind w:firstLine="0"/>
                              </w:pPr>
                              <w:r>
                                <w:rPr>
                                  <w:rFonts w:ascii="Times New Roman" w:hAnsi="Times New Roman" w:cs="Times New Roman"/>
                                  <w:color w:val="000000"/>
                                  <w:sz w:val="18"/>
                                  <w:szCs w:val="18"/>
                                </w:rPr>
                                <w:t xml:space="preserve">tizimli risk</w:t>
                              </w:r>
                            </w:p>
                          </w:txbxContent>
                        </wps:txbx>
                        <wps:bodyPr rot="0" vert="horz" wrap="square" lIns="36000" tIns="18000" rIns="36000" bIns="18000" anchor="ctr" anchorCtr="0">
                          <a:noAutofit/>
                        </wps:bodyPr>
                      </wps:wsp>
                      <wps:wsp>
                        <wps:cNvPr id="42" name="Shape 42"/>
                        <wps:cNvSpPr/>
                        <wps:spPr>
                          <a:xfrm>
                            <a:off x="1404000" y="1512000"/>
                            <a:ext cx="3096000" cy="360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Tizim ≠ banklarning oddiy yig‘indisi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1.1.3-rasm. Moliyaviy barqarorlik darajalari va ularning o‘zaro ta’siri</w:t>
      </w:r>
      <w:r>
        <w:rPr>
          <w:rStyle w:val="FootnoteReference"/>
        </w:rPr>
        <w:footnoteReference w:id="35"/>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darajalar o‘rtasidagi ta’sir ikki yo‘nalishda kechadi. Bir tomondan, alohida, ayniqsa, tizimli ahamiyatga ega bankdagi muammo zararlanish orqali butun tizimga tarqalishi mumkin. O.N. Afanasyeva va S.E. Dubova tizimli riskning uchta belgisini ko‘rsatadi: moliyaviy xizmatlar ko‘rsatilishining uzilishi, tizimning katta qismini qamrab olishi va shokning zararlanish orqali boshqa institutlarga uzatilishi</w:t>
      </w:r>
      <w:r>
        <w:rPr>
          <w:rStyle w:val="FootnoteReference"/>
        </w:rPr>
        <w:footnoteReference w:id="36"/>
      </w:r>
      <w:r>
        <w:rPr>
          <w:rFonts w:ascii="Times New Roman" w:hAnsi="Times New Roman" w:cs="Times New Roman" w:eastAsia="Times New Roman"/>
          <w:sz w:val="28"/>
        </w:rPr>
        <w:t xml:space="preserve">. Boshqa tomondan, makroiqtisodiy shoklar, valyuta kursining keskin o‘zgarishi yoki ko‘chmas mulk narxlarining tushishi bir vaqtning o‘zida ko‘plab banklarga ta’sir qiladi. Shu sababli alohida bank barqarorligini baholash metodikasi makroiqtisodiy muhit va tizimli risklarni ham hisobga olishi lozim.</w:t>
      </w:r>
    </w:p>
    <w:p>
      <w:pPr>
        <w:pStyle w:val="BodyText"/>
        <w:spacing w:line="360" w:lineRule="auto" w:before="0" w:after="0"/>
        <w:ind w:firstLine="709"/>
        <w:jc w:val="both"/>
      </w:pPr>
      <w:r>
        <w:rPr>
          <w:rFonts w:ascii="Times New Roman" w:hAnsi="Times New Roman" w:cs="Times New Roman" w:eastAsia="Times New Roman"/>
          <w:sz w:val="28"/>
        </w:rPr>
        <w:t xml:space="preserve">Barqarorlik darajalari aniqlangach, uning belgilarini ham belgilab olish kerak, chunki aynan belgilar keyinchalik baholash ko‘rsatkichlariga aylanadi. O.I. Lavrushin va I.D. Mamonova moliyaviy barqaror bankning belgilari sifatida moliyaviy faoliyatning uzluksiz ijobiy dinamikasini, kapital, zaxiralar va foydaning muvozanatli o‘sishini, faoliyat sifatining yaxshilanishini, bir tekis rivojlanishni, diversifikatsiyani, aktiv va passivlar muddatlarining mosligini, majburiyatlarning o‘z vaqtida bajarilishini hamda obro‘ va shaffoflikni ko‘rsatadi</w:t>
      </w:r>
      <w:r>
        <w:rPr>
          <w:rStyle w:val="FootnoteReference"/>
        </w:rPr>
        <w:footnoteReference w:id="37"/>
      </w:r>
      <w:r>
        <w:rPr>
          <w:rFonts w:ascii="Times New Roman" w:hAnsi="Times New Roman" w:cs="Times New Roman" w:eastAsia="Times New Roman"/>
          <w:sz w:val="28"/>
        </w:rPr>
        <w:t xml:space="preserve">. E’tiborli jihati shundaki, mualliflar inqirozdan keyingi bir martalik o‘sishni barqarorlik belgisi deb hisoblamaydi, keskin o‘sishni esa xavfli deb biladi. Bu fikr baholash metodikasi uchun muhim: ko‘rsatkichning yuqori darajasi emas, balki uning barqaror va muvozanatli dinamikasi ijobiy baholanishi kerak.</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barqarorlikka ta’sir etuvchi omillar masalasida ham iqtisodchilar o‘rtasida umumiy yondashuv shakllangan bo‘lib, ular odatda tashqi va ichki omillarga ajratiladi. O.I. Lavrushin va I.D. Mamonova o‘nta tashqi va to‘qqizta ichki omilni ajratadi</w:t>
      </w:r>
      <w:r>
        <w:rPr>
          <w:rStyle w:val="FootnoteReference"/>
        </w:rPr>
        <w:footnoteReference w:id="38"/>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(1.1.4-rasm).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610000"/>
                <wp:effectExtent l="0" t="0" r="0" b="0"/>
                <wp:docPr id="1004" name="1.1.4-rasm"/>
                <wp:cNvGraphicFramePr/>
                <a:graphic>
                  <a:graphicData uri="http://schemas.microsoft.com/office/word/2010/wordprocessingGroup">
                    <wpg:wgp>
                      <wpg:cNvGrpSpPr/>
                      <wpg:grpSpPr>
                        <a:xfrm>
                          <a:off x="0" y="0"/>
                          <a:ext cx="5904000" cy="2610000"/>
                          <a:chOff x="0" y="0"/>
                          <a:chExt cx="5904000" cy="2610000"/>
                        </a:xfrm>
                      </wpg:grpSpPr>
                      <wps:wsp>
                        <wps:cNvPr id="43" name="Shape 43"/>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Moliyaviy barqarorlik omillari</w:t>
                              </w:r>
                            </w:p>
                          </w:txbxContent>
                        </wps:txbx>
                        <wps:bodyPr rot="0" vert="horz" wrap="square" lIns="36000" tIns="18000" rIns="36000" bIns="18000" anchor="ctr" anchorCtr="0">
                          <a:noAutofit/>
                        </wps:bodyPr>
                      </wps:wsp>
                      <wps:wsp>
                        <wps:cNvPr id="44" name="Connector 44"/>
                        <wps:cNvCnPr/>
                        <wps:spPr>
                          <a:xfrm flipH="1">
                            <a:off x="1458000" y="360000"/>
                            <a:ext cx="1494000" cy="198000"/>
                          </a:xfrm>
                          <a:prstGeom prst="straightConnector1">
                            <a:avLst/>
                          </a:prstGeom>
                          <a:ln w="15875">
                            <a:solidFill>
                              <a:srgbClr val="404040"/>
                            </a:solidFill>
                            <a:tailEnd type="triangle" w="med" len="med"/>
                          </a:ln>
                        </wps:spPr>
                        <wps:bodyPr/>
                      </wps:wsp>
                      <wps:wsp>
                        <wps:cNvPr id="45" name="Shape 45"/>
                        <wps:cNvSpPr/>
                        <wps:spPr>
                          <a:xfrm>
                            <a:off x="36000" y="558000"/>
                            <a:ext cx="2844000" cy="30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Tashqi omillar (10)</w:t>
                              </w:r>
                            </w:p>
                          </w:txbxContent>
                        </wps:txbx>
                        <wps:bodyPr rot="0" vert="horz" wrap="square" lIns="36000" tIns="18000" rIns="36000" bIns="18000" anchor="ctr" anchorCtr="0">
                          <a:noAutofit/>
                        </wps:bodyPr>
                      </wps:wsp>
                      <wps:wsp>
                        <wps:cNvPr id="46" name="Shape 46"/>
                        <wps:cNvSpPr/>
                        <wps:spPr>
                          <a:xfrm>
                            <a:off x="36000" y="900000"/>
                            <a:ext cx="2844000" cy="1656000"/>
                          </a:xfrm>
                          <a:prstGeom prst="roundRect">
                            <a:avLst>
                              <a:gd name="adj" fmla="val 10000"/>
                            </a:avLst>
                          </a:prstGeom>
                          <a:solidFill>
                            <a:srgbClr val="F2F2F2"/>
                          </a:solidFill>
                          <a:ln w="12700">
                            <a:solidFill>
                              <a:srgbClr val="EB6834"/>
                            </a:solidFill>
                          </a:ln>
                        </wps:spPr>
                        <wps:txbx>
                          <w:txbxContent>
                            <w:p>
                              <w:pPr>
                                <w:spacing w:before="0" w:after="0" w:line="228" w:lineRule="auto"/>
                                <w:jc w:val="left"/>
                                <w:ind w:firstLine="0"/>
                              </w:pPr>
                              <w:r>
                                <w:rPr>
                                  <w:rFonts w:ascii="Times New Roman" w:hAnsi="Times New Roman" w:cs="Times New Roman"/>
                                  <w:color w:val="000000"/>
                                  <w:sz w:val="19"/>
                                  <w:szCs w:val="19"/>
                                </w:rPr>
                                <w:t xml:space="preserve">1. Makroiqtisodiy holat</w:t>
                              </w:r>
                            </w:p>
                            <w:p>
                              <w:pPr>
                                <w:spacing w:before="0" w:after="0" w:line="228" w:lineRule="auto"/>
                                <w:jc w:val="left"/>
                                <w:ind w:firstLine="0"/>
                              </w:pPr>
                              <w:r>
                                <w:rPr>
                                  <w:rFonts w:ascii="Times New Roman" w:hAnsi="Times New Roman" w:cs="Times New Roman"/>
                                  <w:color w:val="000000"/>
                                  <w:sz w:val="19"/>
                                  <w:szCs w:val="19"/>
                                </w:rPr>
                                <w:t xml:space="preserve">2. Davlatning maqsadli mo‘ljallari</w:t>
                              </w:r>
                            </w:p>
                            <w:p>
                              <w:pPr>
                                <w:spacing w:before="0" w:after="0" w:line="228" w:lineRule="auto"/>
                                <w:jc w:val="left"/>
                                <w:ind w:firstLine="0"/>
                              </w:pPr>
                              <w:r>
                                <w:rPr>
                                  <w:rFonts w:ascii="Times New Roman" w:hAnsi="Times New Roman" w:cs="Times New Roman"/>
                                  <w:color w:val="000000"/>
                                  <w:sz w:val="19"/>
                                  <w:szCs w:val="19"/>
                                </w:rPr>
                                <w:t xml:space="preserve">3. Talab va to‘lov qobiliyati</w:t>
                              </w:r>
                            </w:p>
                            <w:p>
                              <w:pPr>
                                <w:spacing w:before="0" w:after="0" w:line="228" w:lineRule="auto"/>
                                <w:jc w:val="left"/>
                                <w:ind w:firstLine="0"/>
                              </w:pPr>
                              <w:r>
                                <w:rPr>
                                  <w:rFonts w:ascii="Times New Roman" w:hAnsi="Times New Roman" w:cs="Times New Roman"/>
                                  <w:color w:val="000000"/>
                                  <w:sz w:val="19"/>
                                  <w:szCs w:val="19"/>
                                </w:rPr>
                                <w:t xml:space="preserve">4. Pul bozori holati</w:t>
                              </w:r>
                            </w:p>
                            <w:p>
                              <w:pPr>
                                <w:spacing w:before="0" w:after="0" w:line="228" w:lineRule="auto"/>
                                <w:jc w:val="left"/>
                                <w:ind w:firstLine="0"/>
                              </w:pPr>
                              <w:r>
                                <w:rPr>
                                  <w:rFonts w:ascii="Times New Roman" w:hAnsi="Times New Roman" w:cs="Times New Roman"/>
                                  <w:color w:val="000000"/>
                                  <w:sz w:val="19"/>
                                  <w:szCs w:val="19"/>
                                </w:rPr>
                                <w:t xml:space="preserve">5. Pul muomalasi va inflyatsiya</w:t>
                              </w:r>
                            </w:p>
                            <w:p>
                              <w:pPr>
                                <w:spacing w:before="0" w:after="0" w:line="228" w:lineRule="auto"/>
                                <w:jc w:val="left"/>
                                <w:ind w:firstLine="0"/>
                              </w:pPr>
                              <w:r>
                                <w:rPr>
                                  <w:rFonts w:ascii="Times New Roman" w:hAnsi="Times New Roman" w:cs="Times New Roman"/>
                                  <w:color w:val="000000"/>
                                  <w:sz w:val="19"/>
                                  <w:szCs w:val="19"/>
                                </w:rPr>
                                <w:t xml:space="preserve">6. Raqobat</w:t>
                              </w:r>
                            </w:p>
                            <w:p>
                              <w:pPr>
                                <w:spacing w:before="0" w:after="0" w:line="228" w:lineRule="auto"/>
                                <w:jc w:val="left"/>
                                <w:ind w:firstLine="0"/>
                              </w:pPr>
                              <w:r>
                                <w:rPr>
                                  <w:rFonts w:ascii="Times New Roman" w:hAnsi="Times New Roman" w:cs="Times New Roman"/>
                                  <w:color w:val="000000"/>
                                  <w:sz w:val="19"/>
                                  <w:szCs w:val="19"/>
                                </w:rPr>
                                <w:t xml:space="preserve">7. Bank tizimining holati</w:t>
                              </w:r>
                            </w:p>
                            <w:p>
                              <w:pPr>
                                <w:spacing w:before="0" w:after="0" w:line="228" w:lineRule="auto"/>
                                <w:jc w:val="left"/>
                                <w:ind w:firstLine="0"/>
                              </w:pPr>
                              <w:r>
                                <w:rPr>
                                  <w:rFonts w:ascii="Times New Roman" w:hAnsi="Times New Roman" w:cs="Times New Roman"/>
                                  <w:color w:val="000000"/>
                                  <w:sz w:val="19"/>
                                  <w:szCs w:val="19"/>
                                </w:rPr>
                                <w:t xml:space="preserve">8. Qonunchilik</w:t>
                              </w:r>
                            </w:p>
                            <w:p>
                              <w:pPr>
                                <w:spacing w:before="0" w:after="0" w:line="228" w:lineRule="auto"/>
                                <w:jc w:val="left"/>
                                <w:ind w:firstLine="0"/>
                              </w:pPr>
                              <w:r>
                                <w:rPr>
                                  <w:rFonts w:ascii="Times New Roman" w:hAnsi="Times New Roman" w:cs="Times New Roman"/>
                                  <w:color w:val="000000"/>
                                  <w:sz w:val="19"/>
                                  <w:szCs w:val="19"/>
                                </w:rPr>
                                <w:t xml:space="preserve">9. Infratuzilma</w:t>
                              </w:r>
                            </w:p>
                            <w:p>
                              <w:pPr>
                                <w:spacing w:before="0" w:after="0" w:line="228" w:lineRule="auto"/>
                                <w:jc w:val="left"/>
                                <w:ind w:firstLine="0"/>
                              </w:pPr>
                              <w:r>
                                <w:rPr>
                                  <w:rFonts w:ascii="Times New Roman" w:hAnsi="Times New Roman" w:cs="Times New Roman"/>
                                  <w:color w:val="000000"/>
                                  <w:sz w:val="19"/>
                                  <w:szCs w:val="19"/>
                                </w:rPr>
                                <w:t xml:space="preserve">10. Ishonch (fundamental omil)</w:t>
                              </w:r>
                            </w:p>
                          </w:txbxContent>
                        </wps:txbx>
                        <wps:bodyPr rot="0" vert="horz" wrap="square" lIns="36000" tIns="18000" rIns="36000" bIns="18000" anchor="ctr" anchorCtr="0">
                          <a:noAutofit/>
                        </wps:bodyPr>
                      </wps:wsp>
                      <wps:wsp>
                        <wps:cNvPr id="47" name="Connector 47"/>
                        <wps:cNvCnPr/>
                        <wps:spPr>
                          <a:xfrm>
                            <a:off x="2952000" y="360000"/>
                            <a:ext cx="1476000" cy="198000"/>
                          </a:xfrm>
                          <a:prstGeom prst="straightConnector1">
                            <a:avLst/>
                          </a:prstGeom>
                          <a:ln w="15875">
                            <a:solidFill>
                              <a:srgbClr val="404040"/>
                            </a:solidFill>
                            <a:tailEnd type="triangle" w="med" len="med"/>
                          </a:ln>
                        </wps:spPr>
                        <wps:bodyPr/>
                      </wps:wsp>
                      <wps:wsp>
                        <wps:cNvPr id="48" name="Shape 48"/>
                        <wps:cNvSpPr/>
                        <wps:spPr>
                          <a:xfrm>
                            <a:off x="3006000" y="558000"/>
                            <a:ext cx="2844000" cy="30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Ichki omillar (9)</w:t>
                              </w:r>
                            </w:p>
                          </w:txbxContent>
                        </wps:txbx>
                        <wps:bodyPr rot="0" vert="horz" wrap="square" lIns="36000" tIns="18000" rIns="36000" bIns="18000" anchor="ctr" anchorCtr="0">
                          <a:noAutofit/>
                        </wps:bodyPr>
                      </wps:wsp>
                      <wps:wsp>
                        <wps:cNvPr id="49" name="Shape 49"/>
                        <wps:cNvSpPr/>
                        <wps:spPr>
                          <a:xfrm>
                            <a:off x="3006000" y="900000"/>
                            <a:ext cx="2844000" cy="1656000"/>
                          </a:xfrm>
                          <a:prstGeom prst="roundRect">
                            <a:avLst>
                              <a:gd name="adj" fmla="val 10000"/>
                            </a:avLst>
                          </a:prstGeom>
                          <a:solidFill>
                            <a:srgbClr val="F2F2F2"/>
                          </a:solidFill>
                          <a:ln w="12700">
                            <a:solidFill>
                              <a:srgbClr val="70AD47"/>
                            </a:solidFill>
                          </a:ln>
                        </wps:spPr>
                        <wps:txbx>
                          <w:txbxContent>
                            <w:p>
                              <w:pPr>
                                <w:spacing w:before="0" w:after="0" w:line="228" w:lineRule="auto"/>
                                <w:jc w:val="left"/>
                                <w:ind w:firstLine="0"/>
                              </w:pPr>
                              <w:r>
                                <w:rPr>
                                  <w:rFonts w:ascii="Times New Roman" w:hAnsi="Times New Roman" w:cs="Times New Roman"/>
                                  <w:color w:val="000000"/>
                                  <w:sz w:val="19"/>
                                  <w:szCs w:val="19"/>
                                </w:rPr>
                                <w:t xml:space="preserve">1. Strategiya va prognozlash</w:t>
                              </w:r>
                            </w:p>
                            <w:p>
                              <w:pPr>
                                <w:spacing w:before="0" w:after="0" w:line="228" w:lineRule="auto"/>
                                <w:jc w:val="left"/>
                                <w:ind w:firstLine="0"/>
                              </w:pPr>
                              <w:r>
                                <w:rPr>
                                  <w:rFonts w:ascii="Times New Roman" w:hAnsi="Times New Roman" w:cs="Times New Roman"/>
                                  <w:color w:val="000000"/>
                                  <w:sz w:val="19"/>
                                  <w:szCs w:val="19"/>
                                </w:rPr>
                                <w:t xml:space="preserve">2. Miqdor va sifat ko‘rsatkichlari o‘sishi</w:t>
                              </w:r>
                            </w:p>
                            <w:p>
                              <w:pPr>
                                <w:spacing w:before="0" w:after="0" w:line="228" w:lineRule="auto"/>
                                <w:jc w:val="left"/>
                                <w:ind w:firstLine="0"/>
                              </w:pPr>
                              <w:r>
                                <w:rPr>
                                  <w:rFonts w:ascii="Times New Roman" w:hAnsi="Times New Roman" w:cs="Times New Roman"/>
                                  <w:color w:val="000000"/>
                                  <w:sz w:val="19"/>
                                  <w:szCs w:val="19"/>
                                </w:rPr>
                                <w:t xml:space="preserve">3. Resurslarni jalb qilish va likvidlik</w:t>
                              </w:r>
                            </w:p>
                            <w:p>
                              <w:pPr>
                                <w:spacing w:before="0" w:after="0" w:line="228" w:lineRule="auto"/>
                                <w:jc w:val="left"/>
                                <w:ind w:firstLine="0"/>
                              </w:pPr>
                              <w:r>
                                <w:rPr>
                                  <w:rFonts w:ascii="Times New Roman" w:hAnsi="Times New Roman" w:cs="Times New Roman"/>
                                  <w:color w:val="000000"/>
                                  <w:sz w:val="19"/>
                                  <w:szCs w:val="19"/>
                                </w:rPr>
                                <w:t xml:space="preserve">4. Risklarga qarshi tura olish</w:t>
                              </w:r>
                            </w:p>
                            <w:p>
                              <w:pPr>
                                <w:spacing w:before="0" w:after="0" w:line="228" w:lineRule="auto"/>
                                <w:jc w:val="left"/>
                                <w:ind w:firstLine="0"/>
                              </w:pPr>
                              <w:r>
                                <w:rPr>
                                  <w:rFonts w:ascii="Times New Roman" w:hAnsi="Times New Roman" w:cs="Times New Roman"/>
                                  <w:color w:val="000000"/>
                                  <w:sz w:val="19"/>
                                  <w:szCs w:val="19"/>
                                </w:rPr>
                                <w:t xml:space="preserve">5. Xarajatlarni tejash</w:t>
                              </w:r>
                            </w:p>
                            <w:p>
                              <w:pPr>
                                <w:spacing w:before="0" w:after="0" w:line="228" w:lineRule="auto"/>
                                <w:jc w:val="left"/>
                                <w:ind w:firstLine="0"/>
                              </w:pPr>
                              <w:r>
                                <w:rPr>
                                  <w:rFonts w:ascii="Times New Roman" w:hAnsi="Times New Roman" w:cs="Times New Roman"/>
                                  <w:color w:val="000000"/>
                                  <w:sz w:val="19"/>
                                  <w:szCs w:val="19"/>
                                </w:rPr>
                                <w:t xml:space="preserve">6. Ichki infratuzilma va kadrlar</w:t>
                              </w:r>
                            </w:p>
                            <w:p>
                              <w:pPr>
                                <w:spacing w:before="0" w:after="0" w:line="228" w:lineRule="auto"/>
                                <w:jc w:val="left"/>
                                <w:ind w:firstLine="0"/>
                              </w:pPr>
                              <w:r>
                                <w:rPr>
                                  <w:rFonts w:ascii="Times New Roman" w:hAnsi="Times New Roman" w:cs="Times New Roman"/>
                                  <w:color w:val="000000"/>
                                  <w:sz w:val="19"/>
                                  <w:szCs w:val="19"/>
                                </w:rPr>
                                <w:t xml:space="preserve">7. Marketing va boshqaruv</w:t>
                              </w:r>
                            </w:p>
                            <w:p>
                              <w:pPr>
                                <w:spacing w:before="0" w:after="0" w:line="228" w:lineRule="auto"/>
                                <w:jc w:val="left"/>
                                <w:ind w:firstLine="0"/>
                              </w:pPr>
                              <w:r>
                                <w:rPr>
                                  <w:rFonts w:ascii="Times New Roman" w:hAnsi="Times New Roman" w:cs="Times New Roman"/>
                                  <w:color w:val="000000"/>
                                  <w:sz w:val="19"/>
                                  <w:szCs w:val="19"/>
                                </w:rPr>
                                <w:t xml:space="preserve">8. Texnologiyalar</w:t>
                              </w:r>
                            </w:p>
                            <w:p>
                              <w:pPr>
                                <w:spacing w:before="0" w:after="0" w:line="228" w:lineRule="auto"/>
                                <w:jc w:val="left"/>
                                <w:ind w:firstLine="0"/>
                              </w:pPr>
                              <w:r>
                                <w:rPr>
                                  <w:rFonts w:ascii="Times New Roman" w:hAnsi="Times New Roman" w:cs="Times New Roman"/>
                                  <w:color w:val="000000"/>
                                  <w:sz w:val="19"/>
                                  <w:szCs w:val="19"/>
                                </w:rPr>
                                <w:t xml:space="preserve">9. Ish tashkiloti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1.1.4-rasm. Tijorat banklari moliyaviy barqarorligiga ta’sir etuvchi omillar</w:t>
      </w:r>
      <w:r>
        <w:rPr>
          <w:rStyle w:val="FootnoteReference"/>
        </w:rPr>
        <w:footnoteReference w:id="39"/>
      </w:r>
    </w:p>
    <w:p>
      <w:pPr>
        <w:pStyle w:val="BodyText"/>
        <w:spacing w:line="360" w:lineRule="auto" w:before="0" w:after="0"/>
        <w:ind w:firstLine="709"/>
        <w:jc w:val="both"/>
      </w:pPr>
      <w:r>
        <w:rPr>
          <w:rFonts w:ascii="Times New Roman" w:hAnsi="Times New Roman" w:cs="Times New Roman" w:eastAsia="Times New Roman"/>
          <w:sz w:val="28"/>
        </w:rPr>
        <w:t xml:space="preserve">Tashqi omillar orasida mualliflar ishonchni «fundamental omil» deb alohida ajratadi</w:t>
      </w:r>
      <w:r>
        <w:rPr>
          <w:rStyle w:val="FootnoteReference"/>
        </w:rPr>
        <w:footnoteReference w:id="40"/>
      </w:r>
      <w:r>
        <w:rPr>
          <w:rFonts w:ascii="Times New Roman" w:hAnsi="Times New Roman" w:cs="Times New Roman" w:eastAsia="Times New Roman"/>
          <w:sz w:val="28"/>
        </w:rPr>
        <w:t xml:space="preserve">. Bu J.M. Hendrickson ta’rifi bilan to‘liq hamohang bo‘lib, turli maktab vakillarining bir xulosaga kelganini ko‘rsatadi. Ichki omillar esa bank boshqaruvi nazorat qila oladigan omillar bo‘lib, ularning ta’siri amaliyotda hal qiluvchi ahamiyatga ega. Buni AQSh bank tizimi tajribasi ham tasdiqlaydi (1.1.5-rasm).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5" name="1.1.5-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1.1.5-rasm. AQSh banklarida moliyaviy barqarorlik pasayishining sabablari, muammoli banklar sonidagi ulushi, %</w:t>
      </w:r>
      <w:r>
        <w:rPr>
          <w:rStyle w:val="FootnoteReference"/>
        </w:rPr>
        <w:footnoteReference w:id="41"/>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muammoli banklarning deyarli barchasida (98 foiz) aktivlar sifatining yomonligi, 90 foizida esa rejalashtirish va boshqaruvning zaifligi qayd etilganini ko‘rsatadi. Ichki auditning yo‘qligi va firibgarlik kamroq uchraydi, ammo ular ham muhim omil bo‘lib qolmoqda</w:t>
      </w:r>
      <w:r>
        <w:rPr>
          <w:rStyle w:val="FootnoteReference"/>
        </w:rPr>
        <w:footnoteReference w:id="42"/>
      </w:r>
      <w:r>
        <w:rPr>
          <w:rFonts w:ascii="Times New Roman" w:hAnsi="Times New Roman" w:cs="Times New Roman" w:eastAsia="Times New Roman"/>
          <w:sz w:val="28"/>
        </w:rPr>
        <w:t xml:space="preserve">. Bundan kelib chiqadiki, moliyaviy barqarorlikni baholashda aktivlar sifati va boshqaruv sifati eng muhim bloklar qatorida bo‘lishi lozim. Shu bilan birga, mualliflar erta ogohlantirish signallari sifatida aktivlar daromadliligining pasayishi, kredit portfelining keskin o‘sishi, depozitlarning qisqarishi va ular bo‘yicha stavkalarning oshishi, umidsiz kreditlar ulushining 5 foizdan oshishi kabi belgilarni keltiradi</w:t>
      </w:r>
      <w:r>
        <w:rPr>
          <w:rStyle w:val="FootnoteReference"/>
        </w:rPr>
        <w:footnoteReference w:id="43"/>
      </w:r>
      <w:r>
        <w:rPr>
          <w:rFonts w:ascii="Times New Roman" w:hAnsi="Times New Roman" w:cs="Times New Roman" w:eastAsia="Times New Roman"/>
          <w:sz w:val="28"/>
        </w:rPr>
        <w:t xml:space="preserve">. Bu signallar keyinchalik erta ogohlantirish tizimini ishlab chiqishda asos bo‘lib xizmat qiladi.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barqarorlikning mazmuni va omillari tahlili uning nima ekanini ko‘rsatsa, konseptual modellar uning qanday yuzaga kelishi va nima sababdan buzilishini tushuntiradi. Ushbu modellarning umumiy nazariy negizi bozor nosozliklari nazariyasidir. C.M. Peláez va C.A. Peláez bozor nosozliklari tasnifida axborot asimmetriyasi, salbiy tanlov va moral xavfni alohida guruhga ajratib, ularga qarshi vosita sifatida prudensial nazorat va tartibga solishni, uning maqsadi sifatida esa moliyaviy va iqtisodiy barqarorlikni ko‘rsatadi</w:t>
      </w:r>
      <w:r>
        <w:rPr>
          <w:rStyle w:val="FootnoteReference"/>
        </w:rPr>
        <w:footnoteReference w:id="44"/>
      </w:r>
      <w:r>
        <w:rPr>
          <w:rFonts w:ascii="Times New Roman" w:hAnsi="Times New Roman" w:cs="Times New Roman" w:eastAsia="Times New Roman"/>
          <w:sz w:val="28"/>
        </w:rPr>
        <w:t xml:space="preserve">. D.K. Tarullo ham bank faoliyatini tartibga solishning uchta nazariy asosini keltiradi: bank aktivlarini tashqaridan baholashning qiyinligi, depozitlarni sug‘urtalash va oxirgi instansiya kreditori mavjudligi tug‘diradigan moral xavf hamda tizimli risk</w:t>
      </w:r>
      <w:r>
        <w:rPr>
          <w:rStyle w:val="FootnoteReference"/>
        </w:rPr>
        <w:footnoteReference w:id="45"/>
      </w:r>
      <w:r>
        <w:rPr>
          <w:rFonts w:ascii="Times New Roman" w:hAnsi="Times New Roman" w:cs="Times New Roman" w:eastAsia="Times New Roman"/>
          <w:sz w:val="28"/>
        </w:rPr>
        <w:t xml:space="preserve">. Ana shu nazariy asosda moliyaviy barqarorlikni tushuntiruvchi bir nechta konseptual modellar shakllangan.</w:t>
      </w:r>
    </w:p>
    <w:p>
      <w:pPr>
        <w:pStyle w:val="BodyText"/>
        <w:spacing w:line="360" w:lineRule="auto" w:before="0" w:after="0"/>
        <w:ind w:firstLine="709"/>
        <w:jc w:val="both"/>
      </w:pPr>
      <w:r>
        <w:rPr>
          <w:rFonts w:ascii="Times New Roman" w:hAnsi="Times New Roman" w:cs="Times New Roman" w:eastAsia="Times New Roman"/>
          <w:sz w:val="28"/>
        </w:rPr>
        <w:t xml:space="preserve">Ulardan birinchisi bankning likvidlik yaratish funksiyasi va uning zaifligini tushuntiruvchi model bo‘lib, D. Diamond va P. Dybvig tomonidan ishlab chiqilgan. Model bo‘yicha bank qisqa muddatli depozitlarni uzoq muddatli, nolikvid aktivlarga aylantirib, iqtisodiyotga likvidlik yaratadi. Biroq aynan shu transformatsiya bankni zaif qiladi: omonatchilar boshqalar mablag‘ini qaytarib olishidan qo‘rqsa, bank sog‘lom bo‘lgan taqdirda ham ommaviy mablag‘ talab qilish yuz berishi mumkin</w:t>
      </w:r>
      <w:r>
        <w:rPr>
          <w:rStyle w:val="FootnoteReference"/>
        </w:rPr>
        <w:footnoteReference w:id="46"/>
      </w:r>
      <w:r>
        <w:rPr>
          <w:rFonts w:ascii="Times New Roman" w:hAnsi="Times New Roman" w:cs="Times New Roman" w:eastAsia="Times New Roman"/>
          <w:sz w:val="28"/>
        </w:rPr>
        <w:t xml:space="preserve">. Keyinchalik D. Diamond va R. Rajan bu modelni rivojlantirib, kapitalning bunday shoklarga qarshi bufer vazifasini bajarishini, shu bilan birga uning narxi ham borligini, ya’ni ortiqcha kapital talabi kreditlashning qisqarishiga olib kelishini ko‘rsatgan</w:t>
      </w:r>
      <w:r>
        <w:rPr>
          <w:rStyle w:val="FootnoteReference"/>
        </w:rPr>
        <w:footnoteReference w:id="47"/>
      </w:r>
      <w:r>
        <w:rPr>
          <w:rFonts w:ascii="Times New Roman" w:hAnsi="Times New Roman" w:cs="Times New Roman" w:eastAsia="Times New Roman"/>
          <w:sz w:val="28"/>
        </w:rPr>
        <w:t xml:space="preserve">. Ushbu model likvidlik va fondlash barqarorligini moliyaviy barqarorlikning alohida tarkibiy qismi sifatida baholash zarurligini nazariy jihatdan asoslaydi.</w:t>
      </w:r>
    </w:p>
    <w:p>
      <w:pPr>
        <w:pStyle w:val="BodyText"/>
        <w:spacing w:line="360" w:lineRule="auto" w:before="0" w:after="0"/>
        <w:ind w:firstLine="709"/>
        <w:jc w:val="both"/>
      </w:pPr>
      <w:r>
        <w:rPr>
          <w:rFonts w:ascii="Times New Roman" w:hAnsi="Times New Roman" w:cs="Times New Roman" w:eastAsia="Times New Roman"/>
          <w:sz w:val="28"/>
        </w:rPr>
        <w:t xml:space="preserve">Ikkinchi model – H.P. Minskiyning moliyaviy beqarorlik gipotezasi. Unga ko‘ra, iqtisodiy barqarorlikning uzoq davom etishi o‘z-o‘zidan beqarorlikni keltirib chiqaradi: muvaffaqiyatli yillar bank va qarz oluvchilarning riskka moyilligini oshiradi, natijada moliyalashtirish tuzilmasi daromadi qarz va foizlarni to‘liq qoplaydigan «himoyalangan» moliyalashtirishdan faqat foizlarni qoplaydigan «spekulyativ» va hatto foizlarni ham yangi qarz hisobidan to‘laydigan «Ponzi» moliyalashtirishiga siljiydi</w:t>
      </w:r>
      <w:r>
        <w:rPr>
          <w:rStyle w:val="FootnoteReference"/>
        </w:rPr>
        <w:footnoteReference w:id="48"/>
      </w:r>
      <w:r>
        <w:rPr>
          <w:rFonts w:ascii="Times New Roman" w:hAnsi="Times New Roman" w:cs="Times New Roman" w:eastAsia="Times New Roman"/>
          <w:sz w:val="28"/>
        </w:rPr>
        <w:t xml:space="preserve">. J.M. Hendrickson ham bank inqirozining to‘rt elementi sifatida tashqi shok va optimizmni, Minskiy ta’riflagan kredit kengayishini, ishonchning yo‘qolishini va banklarning ommaviy inqiroziga o‘tishni ko‘rsatadi</w:t>
      </w:r>
      <w:r>
        <w:rPr>
          <w:rStyle w:val="FootnoteReference"/>
        </w:rPr>
        <w:footnoteReference w:id="49"/>
      </w:r>
      <w:r>
        <w:rPr>
          <w:rFonts w:ascii="Times New Roman" w:hAnsi="Times New Roman" w:cs="Times New Roman" w:eastAsia="Times New Roman"/>
          <w:sz w:val="28"/>
        </w:rPr>
        <w:t xml:space="preserve">. A.V. Thakor esa bu jarayonni yanada aniqroq ifodalaydi: uzoq muvaffaqiyat bankirlar mahoratiga bo‘lgan ishonchni oshiradi, shok kelganda esa moliyalashtirish to‘xtaydi va «likvidlik inqiroziga o‘xshagan, aslida to‘lov qobiliyati inqirozi» yuzaga keladi</w:t>
      </w:r>
      <w:r>
        <w:rPr>
          <w:rStyle w:val="FootnoteReference"/>
        </w:rPr>
        <w:footnoteReference w:id="50"/>
      </w:r>
      <w:r>
        <w:rPr>
          <w:rFonts w:ascii="Times New Roman" w:hAnsi="Times New Roman" w:cs="Times New Roman" w:eastAsia="Times New Roman"/>
          <w:sz w:val="28"/>
        </w:rPr>
        <w:t xml:space="preserve">. Minskiy modelining baholash metodikasi uchun ahamiyati shundaki, u moliyaviy barqarorlikni bir sanadagi ko‘rsatkichlar bilan emas, balki kredit o‘sishi va qarz yukining dinamikasi orqali kuzatish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Uchinchi model kapitalni bankning yo‘qotishlarga qarshi asosiy himoya vositasi sifatida qaraydi. D.K. Tarullo kapitalning uchta funksiyasini ajratadi: kutilmagan yo‘qotishlarga qarshi bufer, bank yiqilgan taqdirda kreditorlarni himoya qilish va mulkdorlarning ortiqcha risk olishiga to‘siq bo‘lish</w:t>
      </w:r>
      <w:r>
        <w:rPr>
          <w:rStyle w:val="FootnoteReference"/>
        </w:rPr>
        <w:footnoteReference w:id="51"/>
      </w:r>
      <w:r>
        <w:rPr>
          <w:rFonts w:ascii="Times New Roman" w:hAnsi="Times New Roman" w:cs="Times New Roman" w:eastAsia="Times New Roman"/>
          <w:sz w:val="28"/>
        </w:rPr>
        <w:t xml:space="preserve">. Ushbu mantiqni R. Merton tomonidan ishlab chiqilgan tarkibiy model miqdoriy shaklga keltiradi: kompaniya aktivlarining qiymati majburiyatlardan pastga tushganda defolt yuz beradi, demak, defoltgacha bo‘lgan masofa kapital zaxirasi va aktivlar qiymatining o‘zgaruvchanligiga bog‘liq</w:t>
      </w:r>
      <w:r>
        <w:rPr>
          <w:rStyle w:val="FootnoteReference"/>
        </w:rPr>
        <w:footnoteReference w:id="52"/>
      </w:r>
      <w:r>
        <w:rPr>
          <w:rFonts w:ascii="Times New Roman" w:hAnsi="Times New Roman" w:cs="Times New Roman" w:eastAsia="Times New Roman"/>
          <w:sz w:val="28"/>
        </w:rPr>
        <w:t xml:space="preserve">. Biroq bu model aksiyalari birjada faol savdo qilinadigan banklar uchungina qo‘llanishi mumkin.</w:t>
      </w:r>
    </w:p>
    <w:p>
      <w:pPr>
        <w:pStyle w:val="BodyText"/>
        <w:spacing w:line="360" w:lineRule="auto" w:before="0" w:after="0"/>
        <w:ind w:firstLine="709"/>
        <w:jc w:val="both"/>
      </w:pPr>
      <w:r>
        <w:rPr>
          <w:rFonts w:ascii="Times New Roman" w:hAnsi="Times New Roman" w:cs="Times New Roman" w:eastAsia="Times New Roman"/>
          <w:sz w:val="28"/>
        </w:rPr>
        <w:t xml:space="preserve">To‘rtinchi model ana shu mantiqdan kelib chiqadi. Aksiyalari bozorda savdo qilinmaydigan banklar uchun shu g‘oyaning buxgalteriya hisobi ma’lumotlariga asoslangan varianti – Z-score ko‘rsatkichi qo‘llanadi. Uning nazariy asosi A.D. Roy tomonidan qo‘yilgan bo‘lib</w:t>
      </w:r>
      <w:r>
        <w:rPr>
          <w:rStyle w:val="FootnoteReference"/>
        </w:rPr>
        <w:footnoteReference w:id="53"/>
      </w:r>
      <w:r>
        <w:rPr>
          <w:rFonts w:ascii="Times New Roman" w:hAnsi="Times New Roman" w:cs="Times New Roman" w:eastAsia="Times New Roman"/>
          <w:sz w:val="28"/>
        </w:rPr>
        <w:t xml:space="preserve">, bank faoliyatiga J.H. Boyd va S.L. Graham tomonidan tatbiq etilgan</w:t>
      </w:r>
      <w:r>
        <w:rPr>
          <w:rStyle w:val="FootnoteReference"/>
        </w:rPr>
        <w:footnoteReference w:id="54"/>
      </w:r>
      <w:r>
        <w:rPr>
          <w:rFonts w:ascii="Times New Roman" w:hAnsi="Times New Roman" w:cs="Times New Roman" w:eastAsia="Times New Roman"/>
          <w:sz w:val="28"/>
        </w:rPr>
        <w:t xml:space="preserve">. Ko‘rsatkich kapitalning aktivlarga nisbati va aktivlar rentabelligi yig‘indisining aktivlar rentabelligi standart og‘ishiga nisbati sifatida hisoblanadi va bank zararlari kapitalni to‘liq yeb qo‘yishi uchun rentabellik o‘rtacha darajadan necha standart og‘ishga pasayishi kerakligini ko‘rsatadi. Bu ko‘rsatkichning amaliy samaradorligini L. Chiaramonte va F. Poli tadqiqoti yaqqol tasdiqlaydi (1.1.6-rasm).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6" name="1.1.6-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1.1.6-rasm. Z-score ko‘rsatkichiga asoslangan modelning Yevropa banklari muammolarini bashorat qilish aniqligi, %</w:t>
      </w:r>
      <w:r>
        <w:rPr>
          <w:rStyle w:val="FootnoteReference"/>
        </w:rPr>
        <w:footnoteReference w:id="55"/>
      </w:r>
    </w:p>
    <w:p>
      <w:pPr>
        <w:pStyle w:val="BodyText"/>
        <w:spacing w:line="360" w:lineRule="auto" w:before="0" w:after="0"/>
        <w:ind w:firstLine="709"/>
        <w:jc w:val="both"/>
      </w:pPr>
      <w:r>
        <w:rPr>
          <w:rFonts w:ascii="Times New Roman" w:hAnsi="Times New Roman" w:cs="Times New Roman" w:eastAsia="Times New Roman"/>
          <w:sz w:val="28"/>
        </w:rPr>
        <w:t xml:space="preserve">Mualliflar 12 mamlakatdagi 3125 ta bankning 2001–2011-yillardagi ma’lumotlari asosida faqat Z-score ko‘rsatkichining o‘zi muammoga uchragan banklarning 75 foizini, sog‘lom banklarning esa 81 foizini to‘g‘ri aniqlaganini ko‘rsatgan. Boshqa ko‘rsatkichlar qo‘shilganda bu ko‘rsatkichlar 81 va 87 foizga, inqiroz davrida esa muammoli banklar bo‘yicha 91 foizga yetgan. Tadqiqot xulosasiga ko‘ra, Z-score «kam ma’lumot talab qilsa-da, bashorat kuchini yo‘qotmaydigan ishonchli va tejamkor ko‘rsatkich» bo‘lib, nazorat organlari undan erta ogohlantirish vositasi sifatida foydalanishi mumkin</w:t>
      </w:r>
      <w:r>
        <w:rPr>
          <w:rStyle w:val="FootnoteReference"/>
        </w:rPr>
        <w:footnoteReference w:id="56"/>
      </w:r>
      <w:r>
        <w:rPr>
          <w:rFonts w:ascii="Times New Roman" w:hAnsi="Times New Roman" w:cs="Times New Roman" w:eastAsia="Times New Roman"/>
          <w:sz w:val="28"/>
        </w:rPr>
        <w:t xml:space="preserve">. Bu xulosa aksiyalar bozori rivojlanmagan O‘zbekiston sharoitida buxgalteriya ma’lumotlariga asoslangan integral baholash usullarining afzalligini asoslaydi.</w:t>
      </w:r>
    </w:p>
    <w:p>
      <w:pPr>
        <w:pStyle w:val="BodyText"/>
        <w:spacing w:line="360" w:lineRule="auto" w:before="0" w:after="0"/>
        <w:ind w:firstLine="709"/>
        <w:jc w:val="both"/>
      </w:pPr>
      <w:r>
        <w:rPr>
          <w:rFonts w:ascii="Times New Roman" w:hAnsi="Times New Roman" w:cs="Times New Roman" w:eastAsia="Times New Roman"/>
          <w:sz w:val="28"/>
        </w:rPr>
        <w:t xml:space="preserve">Beshinchi guruh modellar alohida bankdan butun tizimga o‘tadi. C. Borio makroprudensial yondashuvni asoslab, tizimli riskning ikki o‘lchovini ajratgan: vaqt o‘lchovida risk moliyaviy tsikl davomida to‘planib boradi (prosiklik), kesim o‘lchovida esa banklarning o‘zaro bog‘liqligi va bir xil risklarga duch kelishi orqali yuzaga keladi</w:t>
      </w:r>
      <w:r>
        <w:rPr>
          <w:rStyle w:val="FootnoteReference"/>
        </w:rPr>
        <w:footnoteReference w:id="57"/>
      </w:r>
      <w:r>
        <w:rPr>
          <w:rFonts w:ascii="Times New Roman" w:hAnsi="Times New Roman" w:cs="Times New Roman" w:eastAsia="Times New Roman"/>
          <w:sz w:val="28"/>
        </w:rPr>
        <w:t xml:space="preserve">. Keyinchalik bu yondashuv asosida T. Adrian va M. Brunnermeier taklif etgan CoVaR kabi bozor ma’lumotlariga asoslangan tizimli risk ko‘rsatkichlari ishlab chiqildi</w:t>
      </w:r>
      <w:r>
        <w:rPr>
          <w:rStyle w:val="FootnoteReference"/>
        </w:rPr>
        <w:footnoteReference w:id="58"/>
      </w:r>
      <w:r>
        <w:rPr>
          <w:rFonts w:ascii="Times New Roman" w:hAnsi="Times New Roman" w:cs="Times New Roman" w:eastAsia="Times New Roman"/>
          <w:sz w:val="28"/>
        </w:rPr>
        <w:t xml:space="preserve">. O.N. Afanasyeva va S.E. Dubova ham tizimli riskni baholashning «yuqoridan pastga» va «pastdan yuqoriga» konsepsiyalarini ajratib, ikkinchisida avval alohida bankning bankrotlik ehtimoli, so‘ngra banklar o‘rtasidagi bog‘liqlik va nihoyat har bir bankning tizimli riskka qo‘shgan hissasi baholanishini ko‘rsatadi</w:t>
      </w:r>
      <w:r>
        <w:rPr>
          <w:rStyle w:val="FootnoteReference"/>
        </w:rPr>
        <w:footnoteReference w:id="59"/>
      </w:r>
      <w:r>
        <w:rPr>
          <w:rFonts w:ascii="Times New Roman" w:hAnsi="Times New Roman" w:cs="Times New Roman" w:eastAsia="Times New Roman"/>
          <w:sz w:val="28"/>
        </w:rPr>
        <w:t xml:space="preserve">. Makroprudensial yondashuvning paydo bo‘lishi bank nazoratidagi muhim paradigma o‘zgarishini aks ettiradi. Uzoq vaqt davomida nazorat «tizimdagi har bir bank barqaror bo‘lsa, butun tizim ham o‘z-o‘zidan barqaror bo‘ladi» degan mikroprudensial g‘oyaga tayangan. CAMELS reyting tizimi va Bazel qo‘mitasining dastlabki kelishuvlari aynan shu g‘oyaga asoslangan edi. 2007–2009-yillardagi global inqiroz esa bu g‘oyaning cheklanganligini ko‘rsatdi: har bir bank o‘zi uchun oqilona va ehtiyotkor qaror qabul qilgan taqdirda ham, masalan, bir vaqtda aktivlarni sotish yoki kreditlashni qisqartirish orqali, ularning birgalikdagi harakati butun tizimni inqirozga olib kelishi mumkin. Iqtisodiyot nazariyasida bu holat «kompozitsiya xatosi» deb ataladi. Shundan so‘ng nazoratda banklarning o‘zaro bog‘liqligi, «qulashiga yo‘l qo‘yib bo‘lmaydigan darajada yirik» banklar muammosi va iqtisodiy tsiklning bank faoliyatiga ta’siri alohida hisobga olina boshlandi.</w:t>
      </w:r>
    </w:p>
    <w:p>
      <w:pPr>
        <w:pStyle w:val="BodyText"/>
        <w:spacing w:line="360" w:lineRule="auto" w:before="0" w:after="0"/>
        <w:ind w:firstLine="709"/>
        <w:jc w:val="both"/>
      </w:pPr>
      <w:r>
        <w:rPr>
          <w:rFonts w:ascii="Times New Roman" w:hAnsi="Times New Roman" w:cs="Times New Roman" w:eastAsia="Times New Roman"/>
          <w:sz w:val="28"/>
        </w:rPr>
        <w:t xml:space="preserve">So‘nggi yillarda bu ikki konsepsiyaga uchinchisi – kelajakka yo‘naltirilgan, risklarga asoslangan konsepsiya qo‘shildi. Ilgari bank barqarorligi asosan o‘tgan davr hisobotlari bo‘yicha baholangan bo‘lsa, Bazel III standartlari va Moliyaviy hisobotning xalqaro standartlari (MHXS) 9 bu yondashuvni tubdan o‘zgartirdi. Xususan, MHXS 9 da zarar yuz bergandan keyin zaxira yaratish o‘rniga kredit berilgan kundanoq kutilayotgan kredit zararlarini baholab, ular uchun oldindan zaxira shakllantirish talab qilinadi</w:t>
      </w:r>
      <w:r>
        <w:rPr>
          <w:rStyle w:val="FootnoteReference"/>
        </w:rPr>
        <w:footnoteReference w:id="60"/>
      </w:r>
      <w:r>
        <w:rPr>
          <w:rFonts w:ascii="Times New Roman" w:hAnsi="Times New Roman" w:cs="Times New Roman" w:eastAsia="Times New Roman"/>
          <w:sz w:val="28"/>
        </w:rPr>
        <w:t xml:space="preserve">. Stress-testlar ham xuddi shu mantiqqa asoslanadi: ular bankning hozirgi emas, balki noqulay ssenariydagi kelgusi holatini baholaydi. Natijada moliyaviy barqarorlikni baholash ex-post, ya’ni o‘tgan davrga qaratilgan tahlildan ex-ante, ya’ni kelajakni oldindan ko‘ruvchi tahlilga o‘tmoqda. Ko‘rib chiqilgan modellarning asosiy xususiyatlari 1.1.2-jadvalda umumlashtirildi.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 tushuntiruvchi konseptual modellarning qiyosiy tavsifi</w:t>
      </w:r>
      <w:r>
        <w:rPr>
          <w:rStyle w:val="FootnoteReference"/>
        </w:rPr>
        <w:footnoteReference w:id="61"/>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Model</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g‘oyasi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ko‘rsatkichi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Baholash metodikasi uchun xulosa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Likvidlik yaratish va ommaviy mablag‘ talab qilish modeli (Diamond–Dybvig, Diamond–Rajan)</w:t>
            </w:r>
          </w:p>
        </w:tc>
        <w:tc>
          <w:tcPr/>
          <w:p>
            <w:pPr>
              <w:pStyle w:val="Compact"/>
              <w:spacing w:line="240" w:lineRule="auto"/>
              <w:ind w:firstLine="0"/>
              <w:jc w:val="left"/>
            </w:pPr>
            <w:r>
              <w:rPr>
                <w:rFonts w:ascii="Times New Roman" w:hAnsi="Times New Roman" w:cs="Times New Roman" w:eastAsia="Times New Roman"/>
                <w:sz w:val="22"/>
              </w:rPr>
              <w:t xml:space="preserve">Muddatlar transformatsiyasi bankni ishonch yo‘qolishiga zaif qiladi</w:t>
            </w:r>
          </w:p>
        </w:tc>
        <w:tc>
          <w:tcPr/>
          <w:p>
            <w:pPr>
              <w:pStyle w:val="Compact"/>
              <w:spacing w:line="240" w:lineRule="auto"/>
              <w:ind w:firstLine="0"/>
              <w:jc w:val="left"/>
            </w:pPr>
            <w:r>
              <w:rPr>
                <w:rFonts w:ascii="Times New Roman" w:hAnsi="Times New Roman" w:cs="Times New Roman" w:eastAsia="Times New Roman"/>
                <w:sz w:val="22"/>
              </w:rPr>
              <w:t xml:space="preserve">Likvid aktivlar, barqaror moliyalashtirish</w:t>
            </w:r>
          </w:p>
        </w:tc>
        <w:tc>
          <w:tcPr/>
          <w:p>
            <w:pPr>
              <w:pStyle w:val="Compact"/>
              <w:spacing w:line="240" w:lineRule="auto"/>
              <w:ind w:firstLine="0"/>
              <w:jc w:val="left"/>
            </w:pPr>
            <w:r>
              <w:rPr>
                <w:rFonts w:ascii="Times New Roman" w:hAnsi="Times New Roman" w:cs="Times New Roman" w:eastAsia="Times New Roman"/>
                <w:sz w:val="22"/>
              </w:rPr>
              <w:t xml:space="preserve">Likvidlik va fondlash alohida blok sifatida baholanadi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Moliyaviy beqarorlik gipotezasi (Minskiy)</w:t>
            </w:r>
          </w:p>
        </w:tc>
        <w:tc>
          <w:tcPr/>
          <w:p>
            <w:pPr>
              <w:pStyle w:val="Compact"/>
              <w:spacing w:line="240" w:lineRule="auto"/>
              <w:ind w:firstLine="0"/>
              <w:jc w:val="left"/>
            </w:pPr>
            <w:r>
              <w:rPr>
                <w:rFonts w:ascii="Times New Roman" w:hAnsi="Times New Roman" w:cs="Times New Roman" w:eastAsia="Times New Roman"/>
                <w:sz w:val="22"/>
              </w:rPr>
              <w:t xml:space="preserve">Uzoq barqarorlik riskka moyillikni oshiradi</w:t>
            </w:r>
          </w:p>
        </w:tc>
        <w:tc>
          <w:tcPr/>
          <w:p>
            <w:pPr>
              <w:pStyle w:val="Compact"/>
              <w:spacing w:line="240" w:lineRule="auto"/>
              <w:ind w:firstLine="0"/>
              <w:jc w:val="left"/>
            </w:pPr>
            <w:r>
              <w:rPr>
                <w:rFonts w:ascii="Times New Roman" w:hAnsi="Times New Roman" w:cs="Times New Roman" w:eastAsia="Times New Roman"/>
                <w:sz w:val="22"/>
              </w:rPr>
              <w:t xml:space="preserve">Kredit o‘sishi, qarz yuki</w:t>
            </w:r>
          </w:p>
        </w:tc>
        <w:tc>
          <w:tcPr/>
          <w:p>
            <w:pPr>
              <w:pStyle w:val="Compact"/>
              <w:spacing w:line="240" w:lineRule="auto"/>
              <w:ind w:firstLine="0"/>
              <w:jc w:val="left"/>
            </w:pPr>
            <w:r>
              <w:rPr>
                <w:rFonts w:ascii="Times New Roman" w:hAnsi="Times New Roman" w:cs="Times New Roman" w:eastAsia="Times New Roman"/>
                <w:sz w:val="22"/>
              </w:rPr>
              <w:t xml:space="preserve">Ko‘rsatkichlarning dinamikasi va kredit o‘sishi kuzatiladi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Kapital-bufer va tarkibiy model (Tarullo, Merton)</w:t>
            </w:r>
          </w:p>
        </w:tc>
        <w:tc>
          <w:tcPr/>
          <w:p>
            <w:pPr>
              <w:pStyle w:val="Compact"/>
              <w:spacing w:line="240" w:lineRule="auto"/>
              <w:ind w:firstLine="0"/>
              <w:jc w:val="left"/>
            </w:pPr>
            <w:r>
              <w:rPr>
                <w:rFonts w:ascii="Times New Roman" w:hAnsi="Times New Roman" w:cs="Times New Roman" w:eastAsia="Times New Roman"/>
                <w:sz w:val="22"/>
              </w:rPr>
              <w:t xml:space="preserve">Kapital kutilmagan yo‘qotishlarni qoplaydi</w:t>
            </w:r>
          </w:p>
        </w:tc>
        <w:tc>
          <w:tcPr/>
          <w:p>
            <w:pPr>
              <w:pStyle w:val="Compact"/>
              <w:spacing w:line="240" w:lineRule="auto"/>
              <w:ind w:firstLine="0"/>
              <w:jc w:val="left"/>
            </w:pPr>
            <w:r>
              <w:rPr>
                <w:rFonts w:ascii="Times New Roman" w:hAnsi="Times New Roman" w:cs="Times New Roman" w:eastAsia="Times New Roman"/>
                <w:sz w:val="22"/>
              </w:rPr>
              <w:t xml:space="preserve">Kapital yetarliligi, defoltgacha masofa</w:t>
            </w:r>
          </w:p>
        </w:tc>
        <w:tc>
          <w:tcPr/>
          <w:p>
            <w:pPr>
              <w:pStyle w:val="Compact"/>
              <w:spacing w:line="240" w:lineRule="auto"/>
              <w:ind w:firstLine="0"/>
              <w:jc w:val="left"/>
            </w:pPr>
            <w:r>
              <w:rPr>
                <w:rFonts w:ascii="Times New Roman" w:hAnsi="Times New Roman" w:cs="Times New Roman" w:eastAsia="Times New Roman"/>
                <w:sz w:val="22"/>
              </w:rPr>
              <w:t xml:space="preserve">Kapital markaziy blok; baho minimumdan ortiq zaxiraga qarab beriladi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Z-score modeli (Roy, Boyd–Graham)</w:t>
            </w:r>
          </w:p>
        </w:tc>
        <w:tc>
          <w:tcPr/>
          <w:p>
            <w:pPr>
              <w:pStyle w:val="Compact"/>
              <w:spacing w:line="240" w:lineRule="auto"/>
              <w:ind w:firstLine="0"/>
              <w:jc w:val="left"/>
            </w:pPr>
            <w:r>
              <w:rPr>
                <w:rFonts w:ascii="Times New Roman" w:hAnsi="Times New Roman" w:cs="Times New Roman" w:eastAsia="Times New Roman"/>
                <w:sz w:val="22"/>
              </w:rPr>
              <w:t xml:space="preserve">To‘lovga qobiliyatsizlikkacha bo‘lgan masofa</w:t>
            </w:r>
          </w:p>
        </w:tc>
        <w:tc>
          <w:tcPr/>
          <w:p>
            <w:pPr>
              <w:pStyle w:val="Compact"/>
              <w:spacing w:line="240" w:lineRule="auto"/>
              <w:ind w:firstLine="0"/>
              <w:jc w:val="left"/>
            </w:pPr>
            <w:r>
              <w:rPr>
                <w:rFonts w:ascii="Times New Roman" w:hAnsi="Times New Roman" w:cs="Times New Roman" w:eastAsia="Times New Roman"/>
                <w:sz w:val="22"/>
              </w:rPr>
              <w:t xml:space="preserve">Kapital/aktivlar, ROA va uning o‘zgaruvchanligi</w:t>
            </w:r>
          </w:p>
        </w:tc>
        <w:tc>
          <w:tcPr/>
          <w:p>
            <w:pPr>
              <w:pStyle w:val="Compact"/>
              <w:spacing w:line="240" w:lineRule="auto"/>
              <w:ind w:firstLine="0"/>
              <w:jc w:val="left"/>
            </w:pPr>
            <w:r>
              <w:rPr>
                <w:rFonts w:ascii="Times New Roman" w:hAnsi="Times New Roman" w:cs="Times New Roman" w:eastAsia="Times New Roman"/>
                <w:sz w:val="22"/>
              </w:rPr>
              <w:t xml:space="preserve">Buxgalteriya ma’lumotlari asosida integral baho va bashorat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Makroprudensial modellar (Borio, Adrian–Brunnermeier)</w:t>
            </w:r>
          </w:p>
        </w:tc>
        <w:tc>
          <w:tcPr/>
          <w:p>
            <w:pPr>
              <w:pStyle w:val="Compact"/>
              <w:spacing w:line="240" w:lineRule="auto"/>
              <w:ind w:firstLine="0"/>
              <w:jc w:val="left"/>
            </w:pPr>
            <w:r>
              <w:rPr>
                <w:rFonts w:ascii="Times New Roman" w:hAnsi="Times New Roman" w:cs="Times New Roman" w:eastAsia="Times New Roman"/>
                <w:sz w:val="22"/>
              </w:rPr>
              <w:t xml:space="preserve">Tizimli risk vaqt va kesim o‘lchovida to‘planadi</w:t>
            </w:r>
          </w:p>
        </w:tc>
        <w:tc>
          <w:tcPr/>
          <w:p>
            <w:pPr>
              <w:pStyle w:val="Compact"/>
              <w:spacing w:line="240" w:lineRule="auto"/>
              <w:ind w:firstLine="0"/>
              <w:jc w:val="left"/>
            </w:pPr>
            <w:r>
              <w:rPr>
                <w:rFonts w:ascii="Times New Roman" w:hAnsi="Times New Roman" w:cs="Times New Roman" w:eastAsia="Times New Roman"/>
                <w:sz w:val="22"/>
              </w:rPr>
              <w:t xml:space="preserve">Kredit gepi, CoVaR, o‘zaro bog‘liqlik</w:t>
            </w:r>
          </w:p>
        </w:tc>
        <w:tc>
          <w:tcPr/>
          <w:p>
            <w:pPr>
              <w:pStyle w:val="Compact"/>
              <w:spacing w:line="240" w:lineRule="auto"/>
              <w:ind w:firstLine="0"/>
              <w:jc w:val="left"/>
            </w:pPr>
            <w:r>
              <w:rPr>
                <w:rFonts w:ascii="Times New Roman" w:hAnsi="Times New Roman" w:cs="Times New Roman" w:eastAsia="Times New Roman"/>
                <w:sz w:val="22"/>
              </w:rPr>
              <w:t xml:space="preserve">Mikro va makro baholash uyg‘unlashtiriladi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Kelajakka yo‘naltirilgan risk modeli (Bazel III, MHXS 9)</w:t>
            </w:r>
          </w:p>
        </w:tc>
        <w:tc>
          <w:tcPr/>
          <w:p>
            <w:pPr>
              <w:pStyle w:val="Compact"/>
              <w:spacing w:line="240" w:lineRule="auto"/>
              <w:ind w:firstLine="0"/>
              <w:jc w:val="left"/>
            </w:pPr>
            <w:r>
              <w:rPr>
                <w:rFonts w:ascii="Times New Roman" w:hAnsi="Times New Roman" w:cs="Times New Roman" w:eastAsia="Times New Roman"/>
                <w:sz w:val="22"/>
              </w:rPr>
              <w:t xml:space="preserve">Zararlar yuz berishidan oldin baholanadi va qoplanadi</w:t>
            </w:r>
          </w:p>
        </w:tc>
        <w:tc>
          <w:tcPr/>
          <w:p>
            <w:pPr>
              <w:pStyle w:val="Compact"/>
              <w:spacing w:line="240" w:lineRule="auto"/>
              <w:ind w:firstLine="0"/>
              <w:jc w:val="left"/>
            </w:pPr>
            <w:r>
              <w:rPr>
                <w:rFonts w:ascii="Times New Roman" w:hAnsi="Times New Roman" w:cs="Times New Roman" w:eastAsia="Times New Roman"/>
                <w:sz w:val="22"/>
              </w:rPr>
              <w:t xml:space="preserve">Kutilgan kredit zararlari, stress-test natijalari</w:t>
            </w:r>
          </w:p>
        </w:tc>
        <w:tc>
          <w:tcPr/>
          <w:p>
            <w:pPr>
              <w:pStyle w:val="Compact"/>
              <w:spacing w:line="240" w:lineRule="auto"/>
              <w:ind w:firstLine="0"/>
              <w:jc w:val="left"/>
            </w:pPr>
            <w:r>
              <w:rPr>
                <w:rFonts w:ascii="Times New Roman" w:hAnsi="Times New Roman" w:cs="Times New Roman" w:eastAsia="Times New Roman"/>
                <w:sz w:val="22"/>
              </w:rPr>
              <w:t xml:space="preserve">Baholashga prognoz va stress elementlari kiritiladi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har bir model moliyaviy barqarorlikning muayyan bir tomonini tushuntiradi va shunga mos ravishda baholash metodikasiga o‘z talabini qo‘yadi. Likvidlik modeli likvidlik blokini, kapital-bufer modeli kapital blokini, Minskiy gipotezasi dinamik tahlilni, Z-score modeli integral miqdoriy bahoni, makroprudensial modellar esa tizimli darajani zarur qiladi. Biroq ularning birortasi ham alohida olinganda tijorat bankining moliyaviy barqarorligini to‘liq tavsiflab bera olmaydi. Masalan, Z-score ko‘rsatkichi aktivlar sifati va likvidlikni bevosita hisobga olmaydi, kapital-bufer modeli esa kapitalning yetarliligi likvidlik inqirozidan himoya qilmasligini e’tiborga olmaydi.</w:t>
      </w:r>
    </w:p>
    <w:p>
      <w:pPr>
        <w:pStyle w:val="BodyText"/>
        <w:spacing w:line="360" w:lineRule="auto" w:before="0" w:after="0"/>
        <w:ind w:firstLine="709"/>
        <w:jc w:val="both"/>
      </w:pPr>
      <w:r>
        <w:rPr>
          <w:rFonts w:ascii="Times New Roman" w:hAnsi="Times New Roman" w:cs="Times New Roman" w:eastAsia="Times New Roman"/>
          <w:sz w:val="28"/>
        </w:rPr>
        <w:t xml:space="preserve">Shu sababli O‘zbekiston tijorat banklarining moliyaviy barqarorligini baholashda bir tomonlama yondashuv o‘zini oqlamaydi. Tadqiqot doirasida mikroprudensial va makroprudensial konsepsiyalarni sintez qiluvchi, xalqaro standartlarning kelajakka yo‘naltirilgan tamoyillariga tayanadigan va yuqoridagi modellarning afzalliklarini birlashtiruvchi yaxlit konseptual yondashuv ishlab chiqildi. Muallif fikricha, tijorat bankining moliyaviy barqarorligi – bu bankning kapital, aktivlar sifati, likvidlik va daromadlilik o‘rtasidagi muvozanatni saqlagan holda ichki va tashqi shoklarni tashqi yordamsiz yutib, o‘z vositachilik funksiyalarini uzluksiz bajarish hamda moliyaviy resurslarini kengaytirilgan asosda takror ishlab chiqarish qobiliyatidir. Bu qobiliyat muayyan sanadagi holat bilan emas, balki ko‘rsatkichlarning dinamikasi va xalqaro standartlarda belgilangan chegaralarga nisbatan zaxirasi bilan o‘lchanadi. Ushbu ta’rif asosida tijorat banklari moliyaviy barqarorligini baholashning konseptual modeli taklif etildi (1.1.7-rasm).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808000"/>
                <wp:effectExtent l="0" t="0" r="0" b="0"/>
                <wp:docPr id="1007" name="1.1.7-rasm"/>
                <wp:cNvGraphicFramePr/>
                <a:graphic>
                  <a:graphicData uri="http://schemas.microsoft.com/office/word/2010/wordprocessingGroup">
                    <wpg:wgp>
                      <wpg:cNvGrpSpPr/>
                      <wpg:grpSpPr>
                        <a:xfrm>
                          <a:off x="0" y="0"/>
                          <a:ext cx="5904000" cy="2808000"/>
                          <a:chOff x="0" y="0"/>
                          <a:chExt cx="5904000" cy="2808000"/>
                        </a:xfrm>
                      </wpg:grpSpPr>
                      <wps:wsp>
                        <wps:cNvPr id="50" name="Shape 50"/>
                        <wps:cNvSpPr/>
                        <wps:spPr>
                          <a:xfrm>
                            <a:off x="36000" y="36000"/>
                            <a:ext cx="5832000" cy="270000"/>
                          </a:xfrm>
                          <a:prstGeom prst="roundRect">
                            <a:avLst>
                              <a:gd name="adj" fmla="val 10000"/>
                            </a:avLst>
                          </a:prstGeom>
                          <a:solidFill>
                            <a:srgbClr val="FBE5D6"/>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Makroiqtisodiy muhit va tizimli risklar</w:t>
                              </w:r>
                            </w:p>
                          </w:txbxContent>
                        </wps:txbx>
                        <wps:bodyPr rot="0" vert="horz" wrap="square" lIns="36000" tIns="18000" rIns="36000" bIns="18000" anchor="ctr" anchorCtr="0">
                          <a:noAutofit/>
                        </wps:bodyPr>
                      </wps:wsp>
                      <wps:wsp>
                        <wps:cNvPr id="51" name="Shape 51"/>
                        <wps:cNvSpPr/>
                        <wps:spPr>
                          <a:xfrm>
                            <a:off x="36000" y="396000"/>
                            <a:ext cx="1098000" cy="37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w:t>
                              </w:r>
                            </w:p>
                          </w:txbxContent>
                        </wps:txbx>
                        <wps:bodyPr rot="0" vert="horz" wrap="square" lIns="36000" tIns="18000" rIns="36000" bIns="18000" anchor="ctr" anchorCtr="0">
                          <a:noAutofit/>
                        </wps:bodyPr>
                      </wps:wsp>
                      <wps:wsp>
                        <wps:cNvPr id="52" name="Connector 52"/>
                        <wps:cNvCnPr/>
                        <wps:spPr>
                          <a:xfrm>
                            <a:off x="585000" y="774000"/>
                            <a:ext cx="2367000" cy="162000"/>
                          </a:xfrm>
                          <a:prstGeom prst="straightConnector1">
                            <a:avLst/>
                          </a:prstGeom>
                          <a:ln w="12700">
                            <a:solidFill>
                              <a:srgbClr val="7F7F7F"/>
                            </a:solidFill>
                          </a:ln>
                        </wps:spPr>
                        <wps:bodyPr/>
                      </wps:wsp>
                      <wps:wsp>
                        <wps:cNvPr id="53" name="Shape 53"/>
                        <wps:cNvSpPr/>
                        <wps:spPr>
                          <a:xfrm>
                            <a:off x="1220400" y="396000"/>
                            <a:ext cx="1098000" cy="37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Aktivlar</w:t>
                              </w:r>
                            </w:p>
                            <w:p>
                              <w:pPr>
                                <w:spacing w:before="0" w:after="0" w:line="228" w:lineRule="auto"/>
                                <w:jc w:val="center"/>
                                <w:ind w:firstLine="0"/>
                              </w:pPr>
                              <w:r>
                                <w:rPr>
                                  <w:rFonts w:ascii="Times New Roman" w:hAnsi="Times New Roman" w:cs="Times New Roman"/>
                                  <w:b/>
                                  <w:color w:val="FFFFFF"/>
                                  <w:sz w:val="20"/>
                                  <w:szCs w:val="20"/>
                                </w:rPr>
                                <w:t xml:space="preserve">sifati</w:t>
                              </w:r>
                            </w:p>
                          </w:txbxContent>
                        </wps:txbx>
                        <wps:bodyPr rot="0" vert="horz" wrap="square" lIns="36000" tIns="18000" rIns="36000" bIns="18000" anchor="ctr" anchorCtr="0">
                          <a:noAutofit/>
                        </wps:bodyPr>
                      </wps:wsp>
                      <wps:wsp>
                        <wps:cNvPr id="54" name="Connector 54"/>
                        <wps:cNvCnPr/>
                        <wps:spPr>
                          <a:xfrm>
                            <a:off x="1769400" y="774000"/>
                            <a:ext cx="1182600" cy="162000"/>
                          </a:xfrm>
                          <a:prstGeom prst="straightConnector1">
                            <a:avLst/>
                          </a:prstGeom>
                          <a:ln w="12700">
                            <a:solidFill>
                              <a:srgbClr val="7F7F7F"/>
                            </a:solidFill>
                          </a:ln>
                        </wps:spPr>
                        <wps:bodyPr/>
                      </wps:wsp>
                      <wps:wsp>
                        <wps:cNvPr id="55" name="Shape 55"/>
                        <wps:cNvSpPr/>
                        <wps:spPr>
                          <a:xfrm>
                            <a:off x="2404800" y="396000"/>
                            <a:ext cx="1098000" cy="37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Likvidlik</w:t>
                              </w:r>
                            </w:p>
                          </w:txbxContent>
                        </wps:txbx>
                        <wps:bodyPr rot="0" vert="horz" wrap="square" lIns="36000" tIns="18000" rIns="36000" bIns="18000" anchor="ctr" anchorCtr="0">
                          <a:noAutofit/>
                        </wps:bodyPr>
                      </wps:wsp>
                      <wps:wsp>
                        <wps:cNvPr id="56" name="Connector 56"/>
                        <wps:cNvCnPr/>
                        <wps:spPr>
                          <a:xfrm flipH="1">
                            <a:off x="2952000" y="774000"/>
                            <a:ext cx="1800" cy="162000"/>
                          </a:xfrm>
                          <a:prstGeom prst="straightConnector1">
                            <a:avLst/>
                          </a:prstGeom>
                          <a:ln w="12700">
                            <a:solidFill>
                              <a:srgbClr val="7F7F7F"/>
                            </a:solidFill>
                          </a:ln>
                        </wps:spPr>
                        <wps:bodyPr/>
                      </wps:wsp>
                      <wps:wsp>
                        <wps:cNvPr id="57" name="Shape 57"/>
                        <wps:cNvSpPr/>
                        <wps:spPr>
                          <a:xfrm>
                            <a:off x="3589200" y="396000"/>
                            <a:ext cx="1098000" cy="378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Daromad-</w:t>
                              </w:r>
                            </w:p>
                            <w:p>
                              <w:pPr>
                                <w:spacing w:before="0" w:after="0" w:line="228" w:lineRule="auto"/>
                                <w:jc w:val="center"/>
                                <w:ind w:firstLine="0"/>
                              </w:pPr>
                              <w:r>
                                <w:rPr>
                                  <w:rFonts w:ascii="Times New Roman" w:hAnsi="Times New Roman" w:cs="Times New Roman"/>
                                  <w:b/>
                                  <w:color w:val="000000"/>
                                  <w:sz w:val="20"/>
                                  <w:szCs w:val="20"/>
                                </w:rPr>
                                <w:t xml:space="preserve">lilik</w:t>
                              </w:r>
                            </w:p>
                          </w:txbxContent>
                        </wps:txbx>
                        <wps:bodyPr rot="0" vert="horz" wrap="square" lIns="36000" tIns="18000" rIns="36000" bIns="18000" anchor="ctr" anchorCtr="0">
                          <a:noAutofit/>
                        </wps:bodyPr>
                      </wps:wsp>
                      <wps:wsp>
                        <wps:cNvPr id="58" name="Connector 58"/>
                        <wps:cNvCnPr/>
                        <wps:spPr>
                          <a:xfrm flipH="1">
                            <a:off x="2952000" y="774000"/>
                            <a:ext cx="1186200" cy="162000"/>
                          </a:xfrm>
                          <a:prstGeom prst="straightConnector1">
                            <a:avLst/>
                          </a:prstGeom>
                          <a:ln w="12700">
                            <a:solidFill>
                              <a:srgbClr val="7F7F7F"/>
                            </a:solidFill>
                          </a:ln>
                        </wps:spPr>
                        <wps:bodyPr/>
                      </wps:wsp>
                      <wps:wsp>
                        <wps:cNvPr id="59" name="Shape 59"/>
                        <wps:cNvSpPr/>
                        <wps:spPr>
                          <a:xfrm>
                            <a:off x="4773600" y="396000"/>
                            <a:ext cx="1098000" cy="378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Boshqaruv</w:t>
                              </w:r>
                            </w:p>
                            <w:p>
                              <w:pPr>
                                <w:spacing w:before="0" w:after="0" w:line="228" w:lineRule="auto"/>
                                <w:jc w:val="center"/>
                                <w:ind w:firstLine="0"/>
                              </w:pPr>
                              <w:r>
                                <w:rPr>
                                  <w:rFonts w:ascii="Times New Roman" w:hAnsi="Times New Roman" w:cs="Times New Roman"/>
                                  <w:b/>
                                  <w:color w:val="000000"/>
                                  <w:sz w:val="20"/>
                                  <w:szCs w:val="20"/>
                                </w:rPr>
                                <w:t xml:space="preserve">sifati</w:t>
                              </w:r>
                            </w:p>
                          </w:txbxContent>
                        </wps:txbx>
                        <wps:bodyPr rot="0" vert="horz" wrap="square" lIns="36000" tIns="18000" rIns="36000" bIns="18000" anchor="ctr" anchorCtr="0">
                          <a:noAutofit/>
                        </wps:bodyPr>
                      </wps:wsp>
                      <wps:wsp>
                        <wps:cNvPr id="60" name="Connector 60"/>
                        <wps:cNvCnPr/>
                        <wps:spPr>
                          <a:xfrm flipH="1">
                            <a:off x="2952000" y="774000"/>
                            <a:ext cx="2370600" cy="162000"/>
                          </a:xfrm>
                          <a:prstGeom prst="straightConnector1">
                            <a:avLst/>
                          </a:prstGeom>
                          <a:ln w="12700">
                            <a:solidFill>
                              <a:srgbClr val="7F7F7F"/>
                            </a:solidFill>
                          </a:ln>
                        </wps:spPr>
                        <wps:bodyPr/>
                      </wps:wsp>
                      <wps:wsp>
                        <wps:cNvPr id="61" name="Shape 61"/>
                        <wps:cNvSpPr/>
                        <wps:spPr>
                          <a:xfrm>
                            <a:off x="36000" y="936000"/>
                            <a:ext cx="1872000" cy="45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Daraja</w:t>
                              </w:r>
                            </w:p>
                            <w:p>
                              <w:pPr>
                                <w:spacing w:before="0" w:after="0" w:line="228" w:lineRule="auto"/>
                                <w:jc w:val="center"/>
                                <w:ind w:firstLine="0"/>
                              </w:pPr>
                              <w:r>
                                <w:rPr>
                                  <w:rFonts w:ascii="Times New Roman" w:hAnsi="Times New Roman" w:cs="Times New Roman"/>
                                  <w:color w:val="000000"/>
                                  <w:sz w:val="18"/>
                                  <w:szCs w:val="18"/>
                                </w:rPr>
                                <w:t xml:space="preserve">xalqaro va milliy</w:t>
                              </w:r>
                            </w:p>
                            <w:p>
                              <w:pPr>
                                <w:spacing w:before="0" w:after="0" w:line="228" w:lineRule="auto"/>
                                <w:jc w:val="center"/>
                                <w:ind w:firstLine="0"/>
                              </w:pPr>
                              <w:r>
                                <w:rPr>
                                  <w:rFonts w:ascii="Times New Roman" w:hAnsi="Times New Roman" w:cs="Times New Roman"/>
                                  <w:color w:val="000000"/>
                                  <w:sz w:val="18"/>
                                  <w:szCs w:val="18"/>
                                </w:rPr>
                                <w:t xml:space="preserve">chegaralarga nisbatan</w:t>
                              </w:r>
                            </w:p>
                          </w:txbxContent>
                        </wps:txbx>
                        <wps:bodyPr rot="0" vert="horz" wrap="square" lIns="36000" tIns="18000" rIns="36000" bIns="18000" anchor="ctr" anchorCtr="0">
                          <a:noAutofit/>
                        </wps:bodyPr>
                      </wps:wsp>
                      <wps:wsp>
                        <wps:cNvPr id="62" name="Shape 62"/>
                        <wps:cNvSpPr/>
                        <wps:spPr>
                          <a:xfrm>
                            <a:off x="1998000" y="936000"/>
                            <a:ext cx="1872000" cy="45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Dinamika</w:t>
                              </w:r>
                            </w:p>
                            <w:p>
                              <w:pPr>
                                <w:spacing w:before="0" w:after="0" w:line="228" w:lineRule="auto"/>
                                <w:jc w:val="center"/>
                                <w:ind w:firstLine="0"/>
                              </w:pPr>
                              <w:r>
                                <w:rPr>
                                  <w:rFonts w:ascii="Times New Roman" w:hAnsi="Times New Roman" w:cs="Times New Roman"/>
                                  <w:color w:val="000000"/>
                                  <w:sz w:val="18"/>
                                  <w:szCs w:val="18"/>
                                </w:rPr>
                                <w:t xml:space="preserve">3–5 yillik trend</w:t>
                              </w:r>
                            </w:p>
                            <w:p>
                              <w:pPr>
                                <w:spacing w:before="0" w:after="0" w:line="228" w:lineRule="auto"/>
                                <w:jc w:val="center"/>
                                <w:ind w:firstLine="0"/>
                              </w:pPr>
                              <w:r>
                                <w:rPr>
                                  <w:rFonts w:ascii="Times New Roman" w:hAnsi="Times New Roman" w:cs="Times New Roman"/>
                                  <w:color w:val="000000"/>
                                  <w:sz w:val="18"/>
                                  <w:szCs w:val="18"/>
                                </w:rPr>
                                <w:t xml:space="preserve">va tebranish</w:t>
                              </w:r>
                            </w:p>
                          </w:txbxContent>
                        </wps:txbx>
                        <wps:bodyPr rot="0" vert="horz" wrap="square" lIns="36000" tIns="18000" rIns="36000" bIns="18000" anchor="ctr" anchorCtr="0">
                          <a:noAutofit/>
                        </wps:bodyPr>
                      </wps:wsp>
                      <wps:wsp>
                        <wps:cNvPr id="63" name="Shape 63"/>
                        <wps:cNvSpPr/>
                        <wps:spPr>
                          <a:xfrm>
                            <a:off x="3960000" y="936000"/>
                            <a:ext cx="1872000" cy="45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Muvozanat</w:t>
                              </w:r>
                            </w:p>
                            <w:p>
                              <w:pPr>
                                <w:spacing w:before="0" w:after="0" w:line="228" w:lineRule="auto"/>
                                <w:jc w:val="center"/>
                                <w:ind w:firstLine="0"/>
                              </w:pPr>
                              <w:r>
                                <w:rPr>
                                  <w:rFonts w:ascii="Times New Roman" w:hAnsi="Times New Roman" w:cs="Times New Roman"/>
                                  <w:color w:val="000000"/>
                                  <w:sz w:val="18"/>
                                  <w:szCs w:val="18"/>
                                </w:rPr>
                                <w:t xml:space="preserve">bloklar o‘rtasidagi</w:t>
                              </w:r>
                            </w:p>
                            <w:p>
                              <w:pPr>
                                <w:spacing w:before="0" w:after="0" w:line="228" w:lineRule="auto"/>
                                <w:jc w:val="center"/>
                                <w:ind w:firstLine="0"/>
                              </w:pPr>
                              <w:r>
                                <w:rPr>
                                  <w:rFonts w:ascii="Times New Roman" w:hAnsi="Times New Roman" w:cs="Times New Roman"/>
                                  <w:color w:val="000000"/>
                                  <w:sz w:val="18"/>
                                  <w:szCs w:val="18"/>
                                </w:rPr>
                                <w:t xml:space="preserve">mutanosiblik</w:t>
                              </w:r>
                            </w:p>
                          </w:txbxContent>
                        </wps:txbx>
                        <wps:bodyPr rot="0" vert="horz" wrap="square" lIns="36000" tIns="18000" rIns="36000" bIns="18000" anchor="ctr" anchorCtr="0">
                          <a:noAutofit/>
                        </wps:bodyPr>
                      </wps:wsp>
                      <wps:wsp>
                        <wps:cNvPr id="64" name="Connector 64"/>
                        <wps:cNvCnPr/>
                        <wps:spPr>
                          <a:xfrm>
                            <a:off x="2952000" y="1386000"/>
                            <a:ext cx="0" cy="162000"/>
                          </a:xfrm>
                          <a:prstGeom prst="straightConnector1">
                            <a:avLst/>
                          </a:prstGeom>
                          <a:ln w="19050">
                            <a:solidFill>
                              <a:srgbClr val="404040"/>
                            </a:solidFill>
                            <a:tailEnd type="triangle" w="med" len="med"/>
                          </a:ln>
                        </wps:spPr>
                        <wps:bodyPr/>
                      </wps:wsp>
                      <wps:wsp>
                        <wps:cNvPr id="65" name="Shape 65"/>
                        <wps:cNvSpPr/>
                        <wps:spPr>
                          <a:xfrm>
                            <a:off x="1332000" y="1548000"/>
                            <a:ext cx="3240000" cy="34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Integral moliyaviy barqarorlik ko‘rsatkichi</w:t>
                              </w:r>
                            </w:p>
                          </w:txbxContent>
                        </wps:txbx>
                        <wps:bodyPr rot="0" vert="horz" wrap="square" lIns="36000" tIns="18000" rIns="36000" bIns="18000" anchor="ctr" anchorCtr="0">
                          <a:noAutofit/>
                        </wps:bodyPr>
                      </wps:wsp>
                      <wps:wsp>
                        <wps:cNvPr id="66" name="Connector 66"/>
                        <wps:cNvCnPr/>
                        <wps:spPr>
                          <a:xfrm flipH="1">
                            <a:off x="1512000" y="1890000"/>
                            <a:ext cx="648000" cy="180000"/>
                          </a:xfrm>
                          <a:prstGeom prst="straightConnector1">
                            <a:avLst/>
                          </a:prstGeom>
                          <a:ln w="15875">
                            <a:solidFill>
                              <a:srgbClr val="404040"/>
                            </a:solidFill>
                            <a:tailEnd type="triangle" w="med" len="med"/>
                          </a:ln>
                        </wps:spPr>
                        <wps:bodyPr/>
                      </wps:wsp>
                      <wps:wsp>
                        <wps:cNvPr id="67" name="Connector 67"/>
                        <wps:cNvCnPr/>
                        <wps:spPr>
                          <a:xfrm>
                            <a:off x="3744000" y="1890000"/>
                            <a:ext cx="648000" cy="180000"/>
                          </a:xfrm>
                          <a:prstGeom prst="straightConnector1">
                            <a:avLst/>
                          </a:prstGeom>
                          <a:ln w="15875">
                            <a:solidFill>
                              <a:srgbClr val="404040"/>
                            </a:solidFill>
                            <a:tailEnd type="triangle" w="med" len="med"/>
                          </a:ln>
                        </wps:spPr>
                        <wps:bodyPr/>
                      </wps:wsp>
                      <wps:wsp>
                        <wps:cNvPr id="68" name="Shape 68"/>
                        <wps:cNvSpPr/>
                        <wps:spPr>
                          <a:xfrm>
                            <a:off x="36000" y="2070000"/>
                            <a:ext cx="2844000" cy="342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Erta ogohlantirish signallari</w:t>
                              </w:r>
                            </w:p>
                          </w:txbxContent>
                        </wps:txbx>
                        <wps:bodyPr rot="0" vert="horz" wrap="square" lIns="36000" tIns="18000" rIns="36000" bIns="18000" anchor="ctr" anchorCtr="0">
                          <a:noAutofit/>
                        </wps:bodyPr>
                      </wps:wsp>
                      <wps:wsp>
                        <wps:cNvPr id="69" name="Shape 69"/>
                        <wps:cNvSpPr/>
                        <wps:spPr>
                          <a:xfrm>
                            <a:off x="3024000" y="2070000"/>
                            <a:ext cx="2844000" cy="342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Nazorat choralari</w:t>
                              </w:r>
                            </w:p>
                          </w:txbxContent>
                        </wps:txbx>
                        <wps:bodyPr rot="0" vert="horz" wrap="square" lIns="36000" tIns="18000" rIns="36000" bIns="18000" anchor="ctr" anchorCtr="0">
                          <a:noAutofit/>
                        </wps:bodyPr>
                      </wps:wsp>
                      <wps:wsp>
                        <wps:cNvPr id="70" name="Shape 70"/>
                        <wps:cNvSpPr/>
                        <wps:spPr>
                          <a:xfrm>
                            <a:off x="36000" y="2484000"/>
                            <a:ext cx="5832000" cy="270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Kelajakka yo‘naltirilgan baho: stress-test va kutilgan kredit zararlari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1.1.7-rasm. Tijorat banklari moliyaviy barqarorligini baholashning konseptual modeli</w:t>
      </w:r>
      <w:r>
        <w:rPr>
          <w:rStyle w:val="FootnoteReference"/>
        </w:rPr>
        <w:footnoteReference w:id="62"/>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modelda moliyaviy barqarorlik besh blok – kapital, aktivlar sifati, likvidlik, daromadlilik va boshqaruv sifati orqali tavsiflanadi. Har bir blok ko‘rsatkichlari uch o‘lchovda baholanadi: birinchidan, xalqaro standartlar va milliy me’yorlarda belgilangan chegaralarga nisbatan darajasi; ikkinchidan, bir necha yillik dinamikasi; uchinchidan, boshqa bloklar bilan muvozanati. Bloklar baholari integral ko‘rsatkichga birlashtiriladi va u erta ogohlantirish signallari hamda nazorat choralari bilan bog‘lanadi. Modelning tashqi qatlamida esa makroiqtisodiy muhit va tizimli risklar, shuningdek, stress-test va kutilgan kredit zararlari orqali kelajakka yo‘naltirilgan baho hisobga olinadi. Bu yondashuv moliyaviy barqarorlikni bir tomondan miqdoriy o‘lchanadigan, ikkinchi tomondan dinamik va tizimli tushuncha sifatida qarash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barqarorligining iqtisodiy mazmuni va konseptual modellarini tadqiq etgan holda xulosa qilish mumkinki, moliyaviy barqarorlik stabillik, ishonchlilik va muvozanat kabi yaqin tushunchalardan farqli o‘laroq, bankning rivojlanish jarayoniga xos dinamik va kompleks xususiyatdir. Iqtisodiy adabiyotda bu tushunchaga resurs, institutsional-funksional, ishonch hamda risk va chidamlilik yondashuvlari asosida turlicha ta’rif berilgan bo‘lib, ular bir-birini to‘ldiradi. Moliyaviy barqarorlik alohida bank, bank tizimi va moliya tizimi darajalarida namoyon bo‘ladi va bu darajalar o‘zaro ta’sirda bo‘ladi, unga esa tashqi va ichki omillar, jumladan, ishonch va aktivlar sifati hal qiluvchi ta’sir ko‘rsatadi. Likvidlik yaratish, moliyaviy beqarorlik, kapital-bufer, Z-score, makroprudensial va kelajakka yo‘naltirilgan risk modellari moliyaviy barqarorlikning turli tomonlarini tushuntiradi, nazorat amaliyoti esa mikroprudensial konsepsiyadan makroprudensial va kelajakka yo‘naltirilgan konsepsiyalar sinteziga o‘tmoqda, ammo ularning birortasi alohida olinganda tijorat banki barqarorligini to‘liq tavsiflay olmaydi. Bu o‘z navbatida, kapital, aktivlar sifati, likvidlik, daromadlilik va boshqaruv sifati bloklarini ularning darajasi, dinamikasi va muvozanati bilan birga hisobga oladigan integral baholash metodikasini ishlab chiqish zaruriyatini yuzaga keltiradi. Bunday metodikaning xalqaro standartlar bilan bog‘liqligi keyingi paragrafda tahlil qilinadi.</w:t>
      </w:r>
    </w:p>
    <w:bookmarkEnd w:id="63"/>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Cargill T.F. The Financial System, Financial Regulation and Central Bank Policy. – Cambridge: Cambridge University Press, 2017. – P. 186–187.</w:t>
      </w:r>
    </w:p>
  </w:footnote>
  <w:footnote w:id="21">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14–15.</w:t>
      </w:r>
    </w:p>
  </w:footnote>
  <w:footnote w:id="22">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37.</w:t>
      </w:r>
    </w:p>
  </w:footnote>
  <w:footnote w:id="23">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14–15, 57–61; Устойчивость банковской системы и развитие банковской политики: монография / под ред. О.И. Лаврушина. – М.: КНОРУС, 2014. – С. 37–40.</w:t>
      </w:r>
    </w:p>
  </w:footnote>
  <w:footnote w:id="2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17–28.</w:t>
      </w:r>
    </w:p>
  </w:footnote>
  <w:footnote w:id="25">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24; Устойчивость банковской системы и развитие банковской политики: монография / под ред. О.И. Лаврушина. – М.: КНОРУС, 2014. – С. 38; Schinasi G.J. Defining Financial Stability: IMF Working Paper WP/04/187. – Washington, DC: International Monetary Fund, 2004. – 18 p; Mishkin F.S. Global Financial Instability: Framework, Events, Issues // Journal of Economic Perspectives. – 1999. – Vol. 13, No. 4. – P. 3–20; Hendrickson J.M. Regulation and Instability in U.S. Commercial Banking: A History of Crises. – Basingstoke: Palgrave Macmillan, 2011. – P. 6–7; Thakor A.V. Leverage, System Risk and Financial System Health: How Do We Develop a Healthy Financial System? // Governance, Regulation and Bank Stability / ed. by T. Lindblom, S. Sjögren, M. Willesson. – Basingstoke: Palgrave Macmillan, 2014. – P. 13–16; Sharipova N.H. Tijorat banklari moliyaviy barqarorligini mustahkamlashning konseptual asoslarini takomillashtirish: iqtisodiyot fanlari doktori (DSc) dissertatsiyasi avtoreferati. – Toshkent, 2026. – B. 13–14.</w:t>
      </w:r>
    </w:p>
  </w:footnote>
  <w:footnote w:id="2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22–24.</w:t>
      </w:r>
    </w:p>
  </w:footnote>
  <w:footnote w:id="27">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38.</w:t>
      </w:r>
    </w:p>
  </w:footnote>
  <w:footnote w:id="28">
    <w:p>
      <w:pPr>
        <w:pStyle w:val="FootnoteText"/>
      </w:pPr>
      <w:r>
        <w:rPr>
          <w:rStyle w:val="FootnoteReference"/>
        </w:rPr>
        <w:footnoteRef/>
      </w:r>
      <w:r>
        <w:t xml:space="preserve"> </w:t>
      </w:r>
      <w:r>
        <w:t xml:space="preserve">Schinasi G.J. Defining Financial Stability: IMF Working Paper WP/04/187. – Washington, DC: International Monetary Fund, 2004. – 18 p.</w:t>
      </w:r>
    </w:p>
  </w:footnote>
  <w:footnote w:id="29">
    <w:p>
      <w:pPr>
        <w:pStyle w:val="FootnoteText"/>
      </w:pPr>
      <w:r>
        <w:rPr>
          <w:rStyle w:val="FootnoteReference"/>
        </w:rPr>
        <w:footnoteRef/>
      </w:r>
      <w:r>
        <w:t xml:space="preserve"> </w:t>
      </w:r>
      <w:r>
        <w:t xml:space="preserve">Mishkin F.S. Global Financial Instability: Framework, Events, Issues // Journal of Economic Perspectives. – 1999. – Vol. 13, No. 4. – P. 3–20.</w:t>
      </w:r>
    </w:p>
  </w:footnote>
  <w:footnote w:id="30">
    <w:p>
      <w:pPr>
        <w:pStyle w:val="FootnoteText"/>
      </w:pPr>
      <w:r>
        <w:rPr>
          <w:rStyle w:val="FootnoteReference"/>
        </w:rPr>
        <w:footnoteRef/>
      </w:r>
      <w:r>
        <w:t xml:space="preserve"> </w:t>
      </w:r>
      <w:r>
        <w:t xml:space="preserve">Hendrickson J.M. Regulation and Instability in U.S. Commercial Banking: A History of Crises. – Basingstoke: Palgrave Macmillan, 2011. – P. 6–7.</w:t>
      </w:r>
    </w:p>
  </w:footnote>
  <w:footnote w:id="31">
    <w:p>
      <w:pPr>
        <w:pStyle w:val="FootnoteText"/>
      </w:pPr>
      <w:r>
        <w:rPr>
          <w:rStyle w:val="FootnoteReference"/>
        </w:rPr>
        <w:footnoteRef/>
      </w:r>
      <w:r>
        <w:t xml:space="preserve"> </w:t>
      </w:r>
      <w:r>
        <w:t xml:space="preserve">Sharipova N.H. Tijorat banklari moliyaviy barqarorligini mustahkamlashning konseptual asoslarini takomillashtirish: iqtisodiyot fanlari doktori (DSc) dissertatsiyasi avtoreferati. – Toshkent, 2026. – B. 13–14.</w:t>
      </w:r>
    </w:p>
  </w:footnote>
  <w:footnote w:id="32">
    <w:p>
      <w:pPr>
        <w:pStyle w:val="FootnoteText"/>
      </w:pPr>
      <w:r>
        <w:rPr>
          <w:rStyle w:val="FootnoteReference"/>
        </w:rPr>
        <w:footnoteRef/>
      </w:r>
      <w:r>
        <w:t xml:space="preserve"> </w:t>
      </w:r>
      <w:r>
        <w:t xml:space="preserve">Crockett A. Why Is Financial Stability a Goal of Public Policy? // Maintaining Financial Stability in a Global Economy. – Kansas City: Federal Reserve Bank of Kansas City, 1997. – P. 7–36.</w:t>
      </w:r>
    </w:p>
  </w:footnote>
  <w:footnote w:id="33">
    <w:p>
      <w:pPr>
        <w:pStyle w:val="FootnoteText"/>
      </w:pPr>
      <w:r>
        <w:rPr>
          <w:rStyle w:val="FootnoteReference"/>
        </w:rPr>
        <w:footnoteRef/>
      </w:r>
      <w:r>
        <w:t xml:space="preserve"> </w:t>
      </w:r>
      <w:r>
        <w:t xml:space="preserve">Tadqiqot natijasida muallif tomonidan ishlab chiqildi.</w:t>
      </w:r>
    </w:p>
  </w:footnote>
  <w:footnote w:id="3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41–45.</w:t>
      </w:r>
    </w:p>
  </w:footnote>
  <w:footnote w:id="35">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41–45; Регулирование банковской сферы: учебник / под ред. О.Н. Афанасьевой, С.Е. Дубовой. – М.: КНОРУС. – С. 49–55.</w:t>
      </w:r>
    </w:p>
  </w:footnote>
  <w:footnote w:id="36">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49.</w:t>
      </w:r>
    </w:p>
  </w:footnote>
  <w:footnote w:id="3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28–31.</w:t>
      </w:r>
    </w:p>
  </w:footnote>
  <w:footnote w:id="38">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31–41.</w:t>
      </w:r>
    </w:p>
  </w:footnote>
  <w:footnote w:id="39">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31–41.</w:t>
      </w:r>
    </w:p>
  </w:footnote>
  <w:footnote w:id="40">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35–36.</w:t>
      </w:r>
    </w:p>
  </w:footnote>
  <w:footnote w:id="41">
    <w:p>
      <w:pPr>
        <w:pStyle w:val="FootnoteText"/>
      </w:pPr>
      <w:r>
        <w:rPr>
          <w:rStyle w:val="FootnoteReference"/>
        </w:rPr>
        <w:footnoteRef/>
      </w:r>
      <w:r>
        <w:t xml:space="preserve"> </w:t>
      </w:r>
      <w:r>
        <w:t xml:space="preserve">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44.</w:t>
      </w:r>
    </w:p>
  </w:footnote>
  <w:footnote w:id="4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44.</w:t>
      </w:r>
    </w:p>
  </w:footnote>
  <w:footnote w:id="43">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44">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17.</w:t>
      </w:r>
    </w:p>
  </w:footnote>
  <w:footnote w:id="45">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19–23.</w:t>
      </w:r>
    </w:p>
  </w:footnote>
  <w:footnote w:id="46">
    <w:p>
      <w:pPr>
        <w:pStyle w:val="FootnoteText"/>
      </w:pPr>
      <w:r>
        <w:rPr>
          <w:rStyle w:val="FootnoteReference"/>
        </w:rPr>
        <w:footnoteRef/>
      </w:r>
      <w:r>
        <w:t xml:space="preserve"> </w:t>
      </w:r>
      <w:r>
        <w:t xml:space="preserve">Diamond D.W., Dybvig P.H. Bank Runs, Deposit Insurance, and Liquidity // Journal of Political Economy. – 1983. – Vol. 91, No. 3. – P. 401–419.</w:t>
      </w:r>
    </w:p>
  </w:footnote>
  <w:footnote w:id="47">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61–66.</w:t>
      </w:r>
    </w:p>
  </w:footnote>
  <w:footnote w:id="48">
    <w:p>
      <w:pPr>
        <w:pStyle w:val="FootnoteText"/>
      </w:pPr>
      <w:r>
        <w:rPr>
          <w:rStyle w:val="FootnoteReference"/>
        </w:rPr>
        <w:footnoteRef/>
      </w:r>
      <w:r>
        <w:t xml:space="preserve"> </w:t>
      </w:r>
      <w:r>
        <w:t xml:space="preserve">Minsky H.P. The Financial Instability Hypothesis: Working Paper No. 74. – Annandale-on-Hudson: The Jerome Levy Economics Institute of Bard College, 1992. – 10 p.</w:t>
      </w:r>
    </w:p>
  </w:footnote>
  <w:footnote w:id="49">
    <w:p>
      <w:pPr>
        <w:pStyle w:val="FootnoteText"/>
      </w:pPr>
      <w:r>
        <w:rPr>
          <w:rStyle w:val="FootnoteReference"/>
        </w:rPr>
        <w:footnoteRef/>
      </w:r>
      <w:r>
        <w:t xml:space="preserve"> </w:t>
      </w:r>
      <w:r>
        <w:t xml:space="preserve">Hendrickson J.M. Regulation and Instability in U.S. Commercial Banking: A History of Crises. – Basingstoke: Palgrave Macmillan, 2011. – P. 5–6.</w:t>
      </w:r>
    </w:p>
  </w:footnote>
  <w:footnote w:id="50">
    <w:p>
      <w:pPr>
        <w:pStyle w:val="FootnoteText"/>
      </w:pPr>
      <w:r>
        <w:rPr>
          <w:rStyle w:val="FootnoteReference"/>
        </w:rPr>
        <w:footnoteRef/>
      </w:r>
      <w:r>
        <w:t xml:space="preserve"> </w:t>
      </w:r>
      <w:r>
        <w:t xml:space="preserve">Thakor A.V. Leverage, System Risk and Financial System Health: How Do We Develop a Healthy Financial System? // Governance, Regulation and Bank Stability / ed. by T. Lindblom, S. Sjögren, M. Willesson. – Basingstoke: Palgrave Macmillan, 2014. – P. 10–12.</w:t>
      </w:r>
    </w:p>
  </w:footnote>
  <w:footnote w:id="51">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16.</w:t>
      </w:r>
    </w:p>
  </w:footnote>
  <w:footnote w:id="52">
    <w:p>
      <w:pPr>
        <w:pStyle w:val="FootnoteText"/>
      </w:pPr>
      <w:r>
        <w:rPr>
          <w:rStyle w:val="FootnoteReference"/>
        </w:rPr>
        <w:footnoteRef/>
      </w:r>
      <w:r>
        <w:t xml:space="preserve"> </w:t>
      </w:r>
      <w:r>
        <w:t xml:space="preserve">Merton R.C. On the Pricing of Corporate Debt: The Risk Structure of Interest Rates // Journal of Finance. – 1974. – Vol. 29, No. 2. – P. 449–470.</w:t>
      </w:r>
    </w:p>
  </w:footnote>
  <w:footnote w:id="53">
    <w:p>
      <w:pPr>
        <w:pStyle w:val="FootnoteText"/>
      </w:pPr>
      <w:r>
        <w:rPr>
          <w:rStyle w:val="FootnoteReference"/>
        </w:rPr>
        <w:footnoteRef/>
      </w:r>
      <w:r>
        <w:t xml:space="preserve"> </w:t>
      </w:r>
      <w:r>
        <w:t xml:space="preserve">Roy A.D. Safety First and the Holding of Assets // Econometrica. – 1952. – Vol. 20, No. 3. – P. 431–449.</w:t>
      </w:r>
    </w:p>
  </w:footnote>
  <w:footnote w:id="54">
    <w:p>
      <w:pPr>
        <w:pStyle w:val="FootnoteText"/>
      </w:pPr>
      <w:r>
        <w:rPr>
          <w:rStyle w:val="FootnoteReference"/>
        </w:rPr>
        <w:footnoteRef/>
      </w:r>
      <w:r>
        <w:t xml:space="preserve"> </w:t>
      </w:r>
      <w:r>
        <w:t xml:space="preserve">Boyd J.H., Graham S.L. Risk, Regulation, and Bank Holding Company Expansion into Nonbanking // Federal Reserve Bank of Minneapolis Quarterly Review. – 1986. – Vol. 10, No. 2. – P. 2–17.</w:t>
      </w:r>
    </w:p>
  </w:footnote>
  <w:footnote w:id="55">
    <w:p>
      <w:pPr>
        <w:pStyle w:val="FootnoteText"/>
      </w:pPr>
      <w:r>
        <w:rPr>
          <w:rStyle w:val="FootnoteReference"/>
        </w:rPr>
        <w:footnoteRef/>
      </w:r>
      <w:r>
        <w:t xml:space="preserve"> </w:t>
      </w:r>
      <w:r>
        <w:t xml:space="preserve">Tadqiqot natijasida muallif tomonidan quyidagi manba ma’lumotlari asosida ishlab chiqildi: Chiaramonte L., Poli F. Predicting European Bank Distress: Evidence from the Recent Financial Crisis // Governance, Regulation and Bank Stability / ed. by T. Lindblom, S. Sjögren, M. Willesson. – Basingstoke: Palgrave Macmillan, 2014. – P. 92–95.</w:t>
      </w:r>
    </w:p>
  </w:footnote>
  <w:footnote w:id="56">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83–95.</w:t>
      </w:r>
    </w:p>
  </w:footnote>
  <w:footnote w:id="57">
    <w:p>
      <w:pPr>
        <w:pStyle w:val="FootnoteText"/>
      </w:pPr>
      <w:r>
        <w:rPr>
          <w:rStyle w:val="FootnoteReference"/>
        </w:rPr>
        <w:footnoteRef/>
      </w:r>
      <w:r>
        <w:t xml:space="preserve"> </w:t>
      </w:r>
      <w:r>
        <w:t xml:space="preserve">Borio C. Towards a Macroprudential Framework for Financial Supervision and Regulation?: BIS Working Papers No. 128. – Basel: Bank for International Settlements, 2003. – 32 p.</w:t>
      </w:r>
    </w:p>
  </w:footnote>
  <w:footnote w:id="58">
    <w:p>
      <w:pPr>
        <w:pStyle w:val="FootnoteText"/>
      </w:pPr>
      <w:r>
        <w:rPr>
          <w:rStyle w:val="FootnoteReference"/>
        </w:rPr>
        <w:footnoteRef/>
      </w:r>
      <w:r>
        <w:t xml:space="preserve"> </w:t>
      </w:r>
      <w:r>
        <w:t xml:space="preserve">Adrian T., Brunnermeier M.K. CoVaR // American Economic Review. – 2016. – Vol. 106, No. 7. – P. 1705–1741.</w:t>
      </w:r>
    </w:p>
  </w:footnote>
  <w:footnote w:id="59">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55–62.</w:t>
      </w:r>
    </w:p>
  </w:footnote>
  <w:footnote w:id="60">
    <w:p>
      <w:pPr>
        <w:pStyle w:val="FootnoteText"/>
      </w:pPr>
      <w:r>
        <w:rPr>
          <w:rStyle w:val="FootnoteReference"/>
        </w:rPr>
        <w:footnoteRef/>
      </w:r>
      <w:r>
        <w:t xml:space="preserve"> </w:t>
      </w:r>
      <w:r>
        <w:t xml:space="preserve">IFRS 9 Financial Instruments. – London: International Accounting Standards Board, 2014.</w:t>
      </w:r>
    </w:p>
  </w:footnote>
  <w:footnote w:id="61">
    <w:p>
      <w:pPr>
        <w:pStyle w:val="FootnoteText"/>
      </w:pPr>
      <w:r>
        <w:rPr>
          <w:rStyle w:val="FootnoteReference"/>
        </w:rPr>
        <w:footnoteRef/>
      </w:r>
      <w:r>
        <w:t xml:space="preserve"> </w:t>
      </w:r>
      <w:r>
        <w:t xml:space="preserve">Tadqiqot natijasida muallif tomonidan quyidagi manbalar asosida ishlab chiqildi: Diamond D.W., Dybvig P.H. Bank Runs, Deposit Insurance, and Liquidity // Journal of Political Economy. – 1983. – Vol. 91, No. 3. – P. 401–419; Minsky H.P. The Financial Instability Hypothesis: Working Paper No. 74. – Annandale-on-Hudson: The Jerome Levy Economics Institute of Bard College, 1992. – 10 p; Tarullo D.K. Banking on Basel: The Future of International Financial Regulation. – Washington, DC: Peterson Institute for International Economics, 2008. – P. 16; Merton R.C. On the Pricing of Corporate Debt: The Risk Structure of Interest Rates // Journal of Finance. – 1974. – Vol. 29, No. 2. – P. 449–470; Boyd J.H., Graham S.L. Risk, Regulation, and Bank Holding Company Expansion into Nonbanking // Federal Reserve Bank of Minneapolis Quarterly Review. – 1986. – Vol. 10, No. 2. – P. 2–17; Borio C. Towards a Macroprudential Framework for Financial Supervision and Regulation?: BIS Working Papers No. 128. – Basel: Bank for International Settlements, 2003. – 32 p; Adrian T., Brunnermeier M.K. CoVaR // American Economic Review. – 2016. – Vol. 106, No. 7. – P. 1705–1741; IFRS 9 Financial Instruments. – London: International Accounting Standards Board, 2014.</w:t>
      </w:r>
    </w:p>
  </w:footnote>
  <w:footnote w:id="62">
    <w:p>
      <w:pPr>
        <w:pStyle w:val="FootnoteText"/>
      </w:pPr>
      <w:r>
        <w:rPr>
          <w:rStyle w:val="FootnoteReference"/>
        </w:rPr>
        <w:footnoteRef/>
      </w:r>
      <w:r>
        <w:t xml:space="preserve"> </w:t>
      </w:r>
      <w:r>
        <w:t xml:space="preserve">Tadqiqot natijasida muallif tomonidan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banklar ulushi</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Aktivlar sifatining
yomonligi</c:v>
                </c:pt>
                <c:pt idx="1">
                  <c:v>Rejalashtirish va
boshqaruv zaifligi</c:v>
                </c:pt>
                <c:pt idx="2">
                  <c:v>Ichki auditning
yo‘qligi</c:v>
                </c:pt>
                <c:pt idx="3">
                  <c:v>Firibgarlik</c:v>
                </c:pt>
              </c:strCache>
            </c:strRef>
          </c:cat>
          <c:val>
            <c:numRef>
              <c:f>Sheet1!$B$2:$B$5</c:f>
              <c:numCache>
                <c:formatCode>General</c:formatCode>
                <c:ptCount val="4"/>
                <c:pt idx="0">
                  <c:v>98</c:v>
                </c:pt>
                <c:pt idx="1">
                  <c:v>90</c:v>
                </c:pt>
                <c:pt idx="2">
                  <c:v>25</c:v>
                </c:pt>
                <c:pt idx="3">
                  <c:v>11</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banklar sonidagi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Faqat Z-score</c:v>
                </c:pt>
                <c:pt idx="1">
                  <c:v>To‘liq model</c:v>
                </c:pt>
                <c:pt idx="2">
                  <c:v>To‘liq model
(inqiroz davri)</c:v>
                </c:pt>
              </c:strCache>
            </c:strRef>
          </c:cat>
          <c:val>
            <c:numRef>
              <c:f>Sheet1!$B$2:$B$4</c:f>
              <c:numCache>
                <c:formatCode>General</c:formatCode>
                <c:ptCount val="3"/>
                <c:pt idx="0">
                  <c:v>75</c:v>
                </c:pt>
                <c:pt idx="1">
                  <c:v>81</c:v>
                </c:pt>
                <c:pt idx="2">
                  <c:v>91</c:v>
                </c:pt>
              </c:numCache>
            </c:numRef>
          </c:val>
        </c:ser>
        <c:ser>
          <c:idx val="1"/>
          <c:order val="1"/>
          <c:tx>
            <c:strRef>
              <c:f>Sheet1!$C$1</c:f>
              <c:strCache>
                <c:ptCount val="1"/>
                <c:pt idx="0">
                  <c:v>Sog‘lom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Faqat Z-score</c:v>
                </c:pt>
                <c:pt idx="1">
                  <c:v>To‘liq model</c:v>
                </c:pt>
                <c:pt idx="2">
                  <c:v>To‘liq model
(inqiroz davri)</c:v>
                </c:pt>
              </c:strCache>
            </c:strRef>
          </c:cat>
          <c:val>
            <c:numRef>
              <c:f>Sheet1!$C$2:$C$4</c:f>
              <c:numCache>
                <c:formatCode>General</c:formatCode>
                <c:ptCount val="3"/>
                <c:pt idx="0">
                  <c:v>81</c:v>
                </c:pt>
                <c:pt idx="1">
                  <c:v>87</c:v>
                </c:pt>
                <c:pt idx="2">
                  <c:v>83</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222"/>
        <c:crosses val="autoZero"/>
        <c:auto val="1"/>
        <c:lblAlgn val="ctr"/>
        <c:lblOffset val="100"/>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2026-10-11T05:40:09Z</dcterms:created>
  <dcterms:modified xsi:type="dcterms:W3CDTF">2026-10-11T05:40:09Z</dcterms:modified>
</cp:coreProperties>
</file>

<file path=docProps/custom.xml><?xml version="1.0" encoding="utf-8"?>
<Properties xmlns="http://schemas.openxmlformats.org/officeDocument/2006/custom-properties" xmlns:vt="http://schemas.openxmlformats.org/officeDocument/2006/docPropsVTypes"/>
</file>