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23"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20000"/>
                <wp:effectExtent l="0" t="0" r="0" b="0"/>
                <wp:docPr id="1001"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2"/>
      </w:r>
      <w:r>
        <w:rPr>
          <w:rFonts w:ascii="Times New Roman" w:hAnsi="Times New Roman" w:cs="Times New Roman" w:eastAsia="Times New Roman"/>
          <w:sz w:val="28"/>
        </w:rPr>
        <w:t xml:space="preserve">. Shu bilan Bazel III ning makroprudensial elementlari – kapital buferlari ham joriy etildi.</w:t>
      </w:r>
    </w:p>
    <w:bookmarkEnd w:id="23"/>
    <w:bookmarkStart w:id="33"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28000"/>
                <wp:effectExtent l="0" t="0" r="0" b="0"/>
                <wp:docPr id="1002"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4"/>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6"/>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7"/>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8"/>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9"/>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31"/>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32"/>
      </w:r>
      <w:r>
        <w:rPr>
          <w:rFonts w:ascii="Times New Roman" w:hAnsi="Times New Roman" w:cs="Times New Roman" w:eastAsia="Times New Roman"/>
          <w:sz w:val="28"/>
        </w:rPr>
        <w:t xml:space="preserve">.</w:t>
      </w:r>
    </w:p>
    <w:bookmarkEnd w:id="33"/>
    <w:bookmarkStart w:id="41"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2023-yil oxirida 17,5 foizni</w:t>
      </w:r>
      <w:r>
        <w:rPr>
          <w:rStyle w:val="FootnoteReference"/>
        </w:rPr>
        <w:footnoteReference w:id="34"/>
      </w:r>
      <w:r>
        <w:rPr>
          <w:rFonts w:ascii="Times New Roman" w:hAnsi="Times New Roman" w:cs="Times New Roman" w:eastAsia="Times New Roman"/>
          <w:sz w:val="28"/>
        </w:rPr>
        <w:t xml:space="preserve">, 2024-yil oxirida 17 foizni, 2025-yil oxirida 18,3 foizni tashkil etgan; asosiy kapital (CET1) monandligi 2025-yil oxirida 14,7 foizga teng bo‘lgan</w:t>
      </w:r>
      <w:r>
        <w:rPr>
          <w:rStyle w:val="FootnoteReference"/>
        </w:rPr>
        <w:footnoteReference w:id="35"/>
      </w:r>
      <w:r>
        <w:rPr>
          <w:rFonts w:ascii="Times New Roman" w:hAnsi="Times New Roman" w:cs="Times New Roman" w:eastAsia="Times New Roman"/>
          <w:sz w:val="28"/>
        </w:rPr>
        <w:t xml:space="preserve">. 2026-yil 1-iyul holatiga kapital monandligi 18,5 foizni, CET1 15 foizni, muammoli kreditlar ulushi 3,6 foizni tashkil etgan</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1.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37"/>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38"/>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3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1.4-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41"/>
    <w:bookmarkStart w:id="55"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42"/>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4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84000"/>
                <wp:effectExtent l="0" t="0" r="0" b="0"/>
                <wp:docPr id="1005"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44"/>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45"/>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46"/>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47"/>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48"/>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49"/>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50"/>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51"/>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52"/>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53"/>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54"/>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55"/>
    <w:bookmarkStart w:id="56"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56"/>
    <w:bookmarkEnd w:id="5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1">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4">
    <w:p>
      <w:pPr>
        <w:pStyle w:val="FootnoteText"/>
      </w:pPr>
      <w:r>
        <w:rPr>
          <w:rStyle w:val="FootnoteReference"/>
        </w:rPr>
        <w:footnoteRef/>
      </w:r>
      <w:r>
        <w:t xml:space="preserve"> </w:t>
      </w:r>
      <w:r>
        <w:t xml:space="preserve">Muallif ishlanmasi.</w:t>
      </w:r>
    </w:p>
  </w:footnote>
  <w:footnote w:id="25">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6">
    <w:p>
      <w:pPr>
        <w:pStyle w:val="FootnoteText"/>
      </w:pPr>
      <w:r>
        <w:rPr>
          <w:rStyle w:val="FootnoteReference"/>
        </w:rPr>
        <w:footnoteRef/>
      </w:r>
      <w:r>
        <w:t xml:space="preserve"> </w:t>
      </w:r>
      <w:r>
        <w:t xml:space="preserve">Бердияров Б.Т. Ko‘rsatilgan asar. – Б. 27.</w:t>
      </w:r>
    </w:p>
  </w:footnote>
  <w:footnote w:id="27">
    <w:p>
      <w:pPr>
        <w:pStyle w:val="FootnoteText"/>
      </w:pPr>
      <w:r>
        <w:rPr>
          <w:rStyle w:val="FootnoteReference"/>
        </w:rPr>
        <w:footnoteRef/>
      </w:r>
      <w:r>
        <w:t xml:space="preserve"> </w:t>
      </w:r>
      <w:r>
        <w:t xml:space="preserve">Karaliyev T.M., Sayfiddinov I.F. Ko‘rsatilgan asar. – B. 208.</w:t>
      </w:r>
    </w:p>
  </w:footnote>
  <w:footnote w:id="28">
    <w:p>
      <w:pPr>
        <w:pStyle w:val="FootnoteText"/>
      </w:pPr>
      <w:r>
        <w:rPr>
          <w:rStyle w:val="FootnoteReference"/>
        </w:rPr>
        <w:footnoteRef/>
      </w:r>
      <w:r>
        <w:t xml:space="preserve"> </w:t>
      </w:r>
      <w:r>
        <w:t xml:space="preserve">The Central Bank of the Republic of Uzbekistan. «Roadmap»… – Item 13.</w:t>
      </w:r>
    </w:p>
  </w:footnote>
  <w:footnote w:id="29">
    <w:p>
      <w:pPr>
        <w:pStyle w:val="FootnoteText"/>
      </w:pPr>
      <w:r>
        <w:rPr>
          <w:rStyle w:val="FootnoteReference"/>
        </w:rPr>
        <w:footnoteRef/>
      </w:r>
      <w:r>
        <w:t xml:space="preserve"> </w:t>
      </w:r>
      <w:r>
        <w:t xml:space="preserve">Karaliyev T.M., Sayfiddinov I.F. Ko‘rsatilgan asar. – B. 213.</w:t>
      </w:r>
    </w:p>
  </w:footnote>
  <w:footnote w:id="30">
    <w:p>
      <w:pPr>
        <w:pStyle w:val="FootnoteText"/>
      </w:pPr>
      <w:r>
        <w:rPr>
          <w:rStyle w:val="FootnoteReference"/>
        </w:rPr>
        <w:footnoteRef/>
      </w:r>
      <w:r>
        <w:t xml:space="preserve"> </w:t>
      </w:r>
      <w:r>
        <w:t xml:space="preserve">The Central Bank of the Republic of Uzbekistan. «Roadmap»… – Item 13.</w:t>
      </w:r>
    </w:p>
  </w:footnote>
  <w:footnote w:id="31">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32">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34">
    <w:p>
      <w:pPr>
        <w:pStyle w:val="FootnoteText"/>
      </w:pPr>
      <w:r>
        <w:rPr>
          <w:rStyle w:val="FootnoteReference"/>
        </w:rPr>
        <w:footnoteRef/>
      </w:r>
      <w:r>
        <w:t xml:space="preserve"> </w:t>
      </w:r>
      <w:r>
        <w:t xml:space="preserve">IMF Country Report No. 25/227, 2025.</w:t>
      </w:r>
    </w:p>
  </w:footnote>
  <w:footnote w:id="35">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36">
    <w:p>
      <w:pPr>
        <w:pStyle w:val="FootnoteText"/>
      </w:pPr>
      <w:r>
        <w:rPr>
          <w:rStyle w:val="FootnoteReference"/>
        </w:rPr>
        <w:footnoteRef/>
      </w:r>
      <w:r>
        <w:t xml:space="preserve"> </w:t>
      </w:r>
      <w:r>
        <w:t xml:space="preserve">Countercyclical capital buffer // The Central Bank of the Republic of Uzbekistan.</w:t>
      </w:r>
    </w:p>
  </w:footnote>
  <w:footnote w:id="37">
    <w:p>
      <w:pPr>
        <w:pStyle w:val="FootnoteText"/>
      </w:pPr>
      <w:r>
        <w:rPr>
          <w:rStyle w:val="FootnoteReference"/>
        </w:rPr>
        <w:footnoteRef/>
      </w:r>
      <w:r>
        <w:t xml:space="preserve"> </w:t>
      </w:r>
      <w:r>
        <w:t xml:space="preserve">Muallif tomonidan quyidagi manbalar asosida tuzilgan: IMF Country Report No. 25/227, 2025; The Central Bank of Uzbekistan. Financial Stability Report for 2024; Financial Stability Report for H1 2025; Financial Stability Report for 2025; Countercyclical capital buffer // cbu.uz.</w:t>
      </w:r>
    </w:p>
  </w:footnote>
  <w:footnote w:id="38">
    <w:p>
      <w:pPr>
        <w:pStyle w:val="FootnoteText"/>
      </w:pPr>
      <w:r>
        <w:rPr>
          <w:rStyle w:val="FootnoteReference"/>
        </w:rPr>
        <w:footnoteRef/>
      </w:r>
      <w:r>
        <w:t xml:space="preserve"> </w:t>
      </w:r>
      <w:r>
        <w:t xml:space="preserve">The Central Bank of Uzbekistan. Financial Stability Report for 2025.</w:t>
      </w:r>
    </w:p>
  </w:footnote>
  <w:footnote w:id="39">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40">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42">
    <w:p>
      <w:pPr>
        <w:pStyle w:val="FootnoteText"/>
      </w:pPr>
      <w:r>
        <w:rPr>
          <w:rStyle w:val="FootnoteReference"/>
        </w:rPr>
        <w:footnoteRef/>
      </w:r>
      <w:r>
        <w:t xml:space="preserve"> </w:t>
      </w:r>
      <w:r>
        <w:t xml:space="preserve">IMF Country Report No. 25/227, 2025.</w:t>
      </w:r>
    </w:p>
  </w:footnote>
  <w:footnote w:id="43">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44">
    <w:p>
      <w:pPr>
        <w:pStyle w:val="FootnoteText"/>
      </w:pPr>
      <w:r>
        <w:rPr>
          <w:rStyle w:val="FootnoteReference"/>
        </w:rPr>
        <w:footnoteRef/>
      </w:r>
      <w:r>
        <w:t xml:space="preserve"> </w:t>
      </w:r>
      <w:r>
        <w:t xml:space="preserve">Muallif ishlanmasi.</w:t>
      </w:r>
    </w:p>
  </w:footnote>
  <w:footnote w:id="45">
    <w:p>
      <w:pPr>
        <w:pStyle w:val="FootnoteText"/>
      </w:pPr>
      <w:r>
        <w:rPr>
          <w:rStyle w:val="FootnoteReference"/>
        </w:rPr>
        <w:footnoteRef/>
      </w:r>
      <w:r>
        <w:t xml:space="preserve"> </w:t>
      </w:r>
      <w:r>
        <w:t xml:space="preserve">IMF Country Report No. 25/227, 2025.</w:t>
      </w:r>
    </w:p>
  </w:footnote>
  <w:footnote w:id="46">
    <w:p>
      <w:pPr>
        <w:pStyle w:val="FootnoteText"/>
      </w:pPr>
      <w:r>
        <w:rPr>
          <w:rStyle w:val="FootnoteReference"/>
        </w:rPr>
        <w:footnoteRef/>
      </w:r>
      <w:r>
        <w:t xml:space="preserve"> </w:t>
      </w:r>
      <w:r>
        <w:t xml:space="preserve">IMF Country Report No. 25/145, 2025.</w:t>
      </w:r>
    </w:p>
  </w:footnote>
  <w:footnote w:id="47">
    <w:p>
      <w:pPr>
        <w:pStyle w:val="FootnoteText"/>
      </w:pPr>
      <w:r>
        <w:rPr>
          <w:rStyle w:val="FootnoteReference"/>
        </w:rPr>
        <w:footnoteRef/>
      </w:r>
      <w:r>
        <w:t xml:space="preserve"> </w:t>
      </w:r>
      <w:r>
        <w:t xml:space="preserve">The Central Bank of the Republic of Uzbekistan. «Roadmap»… – Item 3.</w:t>
      </w:r>
    </w:p>
  </w:footnote>
  <w:footnote w:id="48">
    <w:p>
      <w:pPr>
        <w:pStyle w:val="FootnoteText"/>
      </w:pPr>
      <w:r>
        <w:rPr>
          <w:rStyle w:val="FootnoteReference"/>
        </w:rPr>
        <w:footnoteRef/>
      </w:r>
      <w:r>
        <w:t xml:space="preserve"> </w:t>
      </w:r>
      <w:r>
        <w:t xml:space="preserve">O‘sha joyda. – Items 5, 19.</w:t>
      </w:r>
    </w:p>
  </w:footnote>
  <w:footnote w:id="49">
    <w:p>
      <w:pPr>
        <w:pStyle w:val="FootnoteText"/>
      </w:pPr>
      <w:r>
        <w:rPr>
          <w:rStyle w:val="FootnoteReference"/>
        </w:rPr>
        <w:footnoteRef/>
      </w:r>
      <w:r>
        <w:t xml:space="preserve"> </w:t>
      </w:r>
      <w:r>
        <w:t xml:space="preserve">IMF Country Report No. 25/145, 2025.</w:t>
      </w:r>
    </w:p>
  </w:footnote>
  <w:footnote w:id="50">
    <w:p>
      <w:pPr>
        <w:pStyle w:val="FootnoteText"/>
      </w:pPr>
      <w:r>
        <w:rPr>
          <w:rStyle w:val="FootnoteReference"/>
        </w:rPr>
        <w:footnoteRef/>
      </w:r>
      <w:r>
        <w:t xml:space="preserve"> </w:t>
      </w:r>
      <w:r>
        <w:t xml:space="preserve">The Central Bank of the Republic of Uzbekistan. «Roadmap»… – Items 7, 16.</w:t>
      </w:r>
    </w:p>
  </w:footnote>
  <w:footnote w:id="51">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52">
    <w:p>
      <w:pPr>
        <w:pStyle w:val="FootnoteText"/>
      </w:pPr>
      <w:r>
        <w:rPr>
          <w:rStyle w:val="FootnoteReference"/>
        </w:rPr>
        <w:footnoteRef/>
      </w:r>
      <w:r>
        <w:t xml:space="preserve"> </w:t>
      </w:r>
      <w:r>
        <w:t xml:space="preserve">The Central Bank of the Republic of Uzbekistan. «Roadmap»… – Item 9.</w:t>
      </w:r>
    </w:p>
  </w:footnote>
  <w:footnote w:id="53">
    <w:p>
      <w:pPr>
        <w:pStyle w:val="FootnoteText"/>
      </w:pPr>
      <w:r>
        <w:rPr>
          <w:rStyle w:val="FootnoteReference"/>
        </w:rPr>
        <w:footnoteRef/>
      </w:r>
      <w:r>
        <w:t xml:space="preserve"> </w:t>
      </w:r>
      <w:r>
        <w:t xml:space="preserve">O‘sha joyda. – Item 31.</w:t>
      </w:r>
    </w:p>
  </w:footnote>
  <w:footnote w:id="54">
    <w:p>
      <w:pPr>
        <w:pStyle w:val="FootnoteText"/>
      </w:pPr>
      <w:r>
        <w:rPr>
          <w:rStyle w:val="FootnoteReference"/>
        </w:rPr>
        <w:footnoteRef/>
      </w:r>
      <w:r>
        <w:t xml:space="preserve"> </w:t>
      </w:r>
      <w:r>
        <w:t xml:space="preserve">The Central Bank of the Republic of Uzbekistan. «Roadmap»… – Items 2–4, 7, 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Sheet1!$B$2:$B$6</c:f>
              <c:numCache>
                <c:formatCode>General</c:formatCode>
                <c:ptCount val="5"/>
                <c:pt idx="0">
                  <c:v>17.5</c:v>
                </c:pt>
                <c:pt idx="1">
                  <c:v>17.0</c:v>
                </c:pt>
                <c:pt idx="2">
                  <c:v>17.4</c:v>
                </c:pt>
                <c:pt idx="3">
                  <c:v>18.3</c:v>
                </c:pt>
                <c:pt idx="4">
                  <c:v>18.5</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Sheet1!$C$2:$C$6</c:f>
              <c:numCache>
                <c:formatCode>General</c:formatCode>
                <c:ptCount val="5"/>
                <c:pt idx="2">
                  <c:v>14.6</c:v>
                </c:pt>
                <c:pt idx="3">
                  <c:v>14.7</c:v>
                </c:pt>
                <c:pt idx="4">
                  <c:v>15.0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2026-10-11T05:40:22Z</dcterms:created>
  <dcterms:modified xsi:type="dcterms:W3CDTF">2026-10-11T05:40:22Z</dcterms:modified>
</cp:coreProperties>
</file>

<file path=docProps/custom.xml><?xml version="1.0" encoding="utf-8"?>
<Properties xmlns="http://schemas.openxmlformats.org/officeDocument/2006/custom-properties" xmlns:vt="http://schemas.openxmlformats.org/officeDocument/2006/docPropsVTypes"/>
</file>