
<file path=[Content_Types].xml><?xml version="1.0" encoding="utf-8"?>
<Types xmlns="http://schemas.openxmlformats.org/package/2006/content-types">
  <Default Extension="rels" ContentType="application/vnd.openxmlformats-package.relationships+xml"/>
  <Default Extension="xlsx" ContentType="application/vnd.openxmlformats-officedocument.spreadsheetml.sheet"/>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harts/chart1.xml" ContentType="application/vnd.openxmlformats-officedocument.drawingml.chart+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1" w:name="Xf2981250d5bc14211cc0a79b165d0f3c0c95708"/>
    <w:p>
      <w:pPr>
        <w:pStyle w:val="Heading2"/>
        <w:keepNext/>
        <w:spacing w:line="360" w:lineRule="auto" w:before="240" w:after="120"/>
        <w:ind w:firstLine="0"/>
        <w:jc w:val="center"/>
      </w:pPr>
      <w:r>
        <w:rPr>
          <w:rFonts w:ascii="Times New Roman" w:hAnsi="Times New Roman" w:cs="Times New Roman" w:eastAsia="Times New Roman"/>
          <w:b/>
          <w:i w:val="0"/>
          <w:sz w:val="28"/>
        </w:rPr>
        <w:t xml:space="preserve">Sof barqaror moliyalashtirish me’yorini hisoblashning to‘rt varianti: farqlari va asoslari</w:t>
      </w:r>
    </w:p>
    <w:p>
      <w:pPr>
        <w:pStyle w:val="FirstParagraph"/>
        <w:spacing w:line="360" w:lineRule="auto" w:before="0" w:after="0"/>
        <w:ind w:firstLine="709"/>
        <w:jc w:val="both"/>
      </w:pPr>
      <w:r>
        <w:rPr>
          <w:rFonts w:ascii="Times New Roman" w:hAnsi="Times New Roman" w:cs="Times New Roman" w:eastAsia="Times New Roman"/>
          <w:sz w:val="28"/>
        </w:rPr>
        <w:t xml:space="preserve">Sof barqaror moliyalashtirish me’yori natijasi ikki omilga bog‘liq: qaysi metodika, ya’ni qanday koeffitsiyentlar qo‘llanayotganiga va qaysi hisobot ma’lumotlari asos qilib olinayotganiga. Bu ikki omil bir-biridan mustaqil bo‘lgani uchun ularni kesishtirish natijasida to‘rt variant hosil bo‘ladi (1-rasm). Bunday yondashuvning afzalligi shundaki, u me’yordagi farqning qancha qismi metodika bilan, qancha qismi hisobot standarti bilan bog‘liqligini alohida ajratib ko‘rsatish imkonini beradi.</w:t>
      </w:r>
    </w:p>
    <w:p>
      <w:pPr>
        <w:pStyle w:val="BodyText"/>
        <w:keepNext/>
        <w:spacing w:line="240" w:lineRule="auto" w:before="0" w:after="0"/>
        <w:ind w:firstLine="0"/>
        <w:jc w:val="center"/>
      </w:pPr>
      <w:r xmlns:mc="http://schemas.openxmlformats.org/markup-compatibility/2006" xmlns:wpg="http://schemas.microsoft.com/office/word/2010/wordprocessingGroup" xmlns:wps="http://schemas.microsoft.com/office/word/2010/wordprocessingShape">
        <w:rPr>
          <w:noProof/>
        </w:rPr>
        <mc:AlternateContent>
          <mc:Choice Requires="wpg">
            <w:drawing>
              <wp:inline distT="0" distB="0" distL="0" distR="0">
                <wp:extent cx="5904000" cy="2556000"/>
                <wp:effectExtent l="0" t="0" r="0" b="0"/>
                <wp:docPr id="1001" name="1-rasm"/>
                <wp:cNvGraphicFramePr/>
                <a:graphic>
                  <a:graphicData uri="http://schemas.microsoft.com/office/word/2010/wordprocessingGroup">
                    <wpg:wgp>
                      <wpg:cNvGrpSpPr/>
                      <wpg:grpSpPr>
                        <a:xfrm>
                          <a:off x="0" y="0"/>
                          <a:ext cx="5904000" cy="2556000"/>
                          <a:chOff x="0" y="0"/>
                          <a:chExt cx="5904000" cy="2556000"/>
                        </a:xfrm>
                      </wpg:grpSpPr>
                      <wps:wsp>
                        <wps:cNvPr id="2" name="Shape 2"/>
                        <wps:cNvSpPr/>
                        <wps:spPr>
                          <a:xfrm>
                            <a:off x="1512000" y="36000"/>
                            <a:ext cx="4320000" cy="288000"/>
                          </a:xfrm>
                          <a:prstGeom prst="roundRect">
                            <a:avLst>
                              <a:gd name="adj" fmla="val 10000"/>
                            </a:avLst>
                          </a:prstGeom>
                          <a:solidFill>
                            <a:srgbClr val="1F4E79"/>
                          </a:solidFill>
                          <a:ln w="12700">
                            <a:solidFill>
                              <a:srgbClr val="1F4E79"/>
                            </a:solidFill>
                          </a:ln>
                        </wps:spPr>
                        <wps:txbx>
                          <w:txbxContent>
                            <w:p>
                              <w:pPr>
                                <w:spacing w:before="0" w:after="0" w:line="228" w:lineRule="auto"/>
                                <w:jc w:val="center"/>
                                <w:ind w:firstLine="0"/>
                              </w:pPr>
                              <w:r>
                                <w:rPr>
                                  <w:rFonts w:ascii="Times New Roman" w:hAnsi="Times New Roman" w:cs="Times New Roman"/>
                                  <w:b/>
                                  <w:color w:val="FFFFFF"/>
                                  <w:sz w:val="22"/>
                                  <w:szCs w:val="22"/>
                                </w:rPr>
                                <w:t xml:space="preserve">Hisobot ma’lumotlari</w:t>
                              </w:r>
                            </w:p>
                          </w:txbxContent>
                        </wps:txbx>
                        <wps:bodyPr rot="0" vert="horz" wrap="square" lIns="36000" tIns="18000" rIns="36000" bIns="18000" anchor="ctr" anchorCtr="0">
                          <a:noAutofit/>
                        </wps:bodyPr>
                      </wps:wsp>
                      <wps:wsp>
                        <wps:cNvPr id="3" name="Shape 3"/>
                        <wps:cNvSpPr/>
                        <wps:spPr>
                          <a:xfrm>
                            <a:off x="1512000" y="360000"/>
                            <a:ext cx="2124000" cy="288000"/>
                          </a:xfrm>
                          <a:prstGeom prst="roundRect">
                            <a:avLst>
                              <a:gd name="adj" fmla="val 10000"/>
                            </a:avLst>
                          </a:prstGeom>
                          <a:solidFill>
                            <a:srgbClr val="DEEBF7"/>
                          </a:solidFill>
                          <a:ln w="12700">
                            <a:solidFill>
                              <a:srgbClr val="9DC3E6"/>
                            </a:solidFill>
                          </a:ln>
                        </wps:spPr>
                        <wps:txbx>
                          <w:txbxContent>
                            <w:p>
                              <w:pPr>
                                <w:spacing w:before="0" w:after="0" w:line="228" w:lineRule="auto"/>
                                <w:jc w:val="center"/>
                                <w:ind w:firstLine="0"/>
                              </w:pPr>
                              <w:r>
                                <w:rPr>
                                  <w:rFonts w:ascii="Times New Roman" w:hAnsi="Times New Roman" w:cs="Times New Roman"/>
                                  <w:b/>
                                  <w:color w:val="000000"/>
                                  <w:sz w:val="21"/>
                                  <w:szCs w:val="21"/>
                                </w:rPr>
                                <w:t xml:space="preserve">Milliy hisobot</w:t>
                              </w:r>
                            </w:p>
                          </w:txbxContent>
                        </wps:txbx>
                        <wps:bodyPr rot="0" vert="horz" wrap="square" lIns="36000" tIns="18000" rIns="36000" bIns="18000" anchor="ctr" anchorCtr="0">
                          <a:noAutofit/>
                        </wps:bodyPr>
                      </wps:wsp>
                      <wps:wsp>
                        <wps:cNvPr id="4" name="Shape 4"/>
                        <wps:cNvSpPr/>
                        <wps:spPr>
                          <a:xfrm>
                            <a:off x="3708000" y="360000"/>
                            <a:ext cx="2124000" cy="288000"/>
                          </a:xfrm>
                          <a:prstGeom prst="roundRect">
                            <a:avLst>
                              <a:gd name="adj" fmla="val 10000"/>
                            </a:avLst>
                          </a:prstGeom>
                          <a:solidFill>
                            <a:srgbClr val="DEEBF7"/>
                          </a:solidFill>
                          <a:ln w="12700">
                            <a:solidFill>
                              <a:srgbClr val="9DC3E6"/>
                            </a:solidFill>
                          </a:ln>
                        </wps:spPr>
                        <wps:txbx>
                          <w:txbxContent>
                            <w:p>
                              <w:pPr>
                                <w:spacing w:before="0" w:after="0" w:line="228" w:lineRule="auto"/>
                                <w:jc w:val="center"/>
                                <w:ind w:firstLine="0"/>
                              </w:pPr>
                              <w:r>
                                <w:rPr>
                                  <w:rFonts w:ascii="Times New Roman" w:hAnsi="Times New Roman" w:cs="Times New Roman"/>
                                  <w:b/>
                                  <w:color w:val="000000"/>
                                  <w:sz w:val="21"/>
                                  <w:szCs w:val="21"/>
                                </w:rPr>
                                <w:t xml:space="preserve">MHXS tuzatishlari bilan</w:t>
                              </w:r>
                            </w:p>
                          </w:txbxContent>
                        </wps:txbx>
                        <wps:bodyPr rot="0" vert="horz" wrap="square" lIns="36000" tIns="18000" rIns="36000" bIns="18000" anchor="ctr" anchorCtr="0">
                          <a:noAutofit/>
                        </wps:bodyPr>
                      </wps:wsp>
                      <wps:wsp>
                        <wps:cNvPr id="5" name="Shape 5"/>
                        <wps:cNvSpPr/>
                        <wps:spPr>
                          <a:xfrm>
                            <a:off x="432000" y="360000"/>
                            <a:ext cx="1044000" cy="288000"/>
                          </a:xfrm>
                          <a:prstGeom prst="roundRect">
                            <a:avLst>
                              <a:gd name="adj" fmla="val 10000"/>
                            </a:avLst>
                          </a:prstGeom>
                          <a:solidFill>
                            <a:srgbClr val="1F4E79"/>
                          </a:solidFill>
                          <a:ln w="12700">
                            <a:solidFill>
                              <a:srgbClr val="1F4E79"/>
                            </a:solidFill>
                          </a:ln>
                        </wps:spPr>
                        <wps:txbx>
                          <w:txbxContent>
                            <w:p>
                              <w:pPr>
                                <w:spacing w:before="0" w:after="0" w:line="228" w:lineRule="auto"/>
                                <w:jc w:val="center"/>
                                <w:ind w:firstLine="0"/>
                              </w:pPr>
                              <w:r>
                                <w:rPr>
                                  <w:rFonts w:ascii="Times New Roman" w:hAnsi="Times New Roman" w:cs="Times New Roman"/>
                                  <w:b/>
                                  <w:color w:val="FFFFFF"/>
                                  <w:sz w:val="21"/>
                                  <w:szCs w:val="21"/>
                                </w:rPr>
                                <w:t xml:space="preserve">Metodika</w:t>
                              </w:r>
                            </w:p>
                          </w:txbxContent>
                        </wps:txbx>
                        <wps:bodyPr rot="0" vert="horz" wrap="square" lIns="36000" tIns="18000" rIns="36000" bIns="18000" anchor="ctr" anchorCtr="0">
                          <a:noAutofit/>
                        </wps:bodyPr>
                      </wps:wsp>
                      <wps:wsp>
                        <wps:cNvPr id="6" name="Shape 6"/>
                        <wps:cNvSpPr/>
                        <wps:spPr>
                          <a:xfrm>
                            <a:off x="432000" y="684000"/>
                            <a:ext cx="1044000" cy="900000"/>
                          </a:xfrm>
                          <a:prstGeom prst="roundRect">
                            <a:avLst>
                              <a:gd name="adj" fmla="val 10000"/>
                            </a:avLst>
                          </a:prstGeom>
                          <a:solidFill>
                            <a:srgbClr val="DEEBF7"/>
                          </a:solidFill>
                          <a:ln w="12700">
                            <a:solidFill>
                              <a:srgbClr val="9DC3E6"/>
                            </a:solidFill>
                          </a:ln>
                        </wps:spPr>
                        <wps:txbx>
                          <w:txbxContent>
                            <w:p>
                              <w:pPr>
                                <w:spacing w:before="0" w:after="0" w:line="228" w:lineRule="auto"/>
                                <w:jc w:val="center"/>
                                <w:ind w:firstLine="0"/>
                              </w:pPr>
                              <w:r>
                                <w:rPr>
                                  <w:rFonts w:ascii="Times New Roman" w:hAnsi="Times New Roman" w:cs="Times New Roman"/>
                                  <w:b/>
                                  <w:color w:val="000000"/>
                                  <w:sz w:val="21"/>
                                  <w:szCs w:val="21"/>
                                </w:rPr>
                                <w:t xml:space="preserve">Markaziy</w:t>
                              </w:r>
                            </w:p>
                            <w:p>
                              <w:pPr>
                                <w:spacing w:before="0" w:after="0" w:line="228" w:lineRule="auto"/>
                                <w:jc w:val="center"/>
                                <w:ind w:firstLine="0"/>
                              </w:pPr>
                              <w:r>
                                <w:rPr>
                                  <w:rFonts w:ascii="Times New Roman" w:hAnsi="Times New Roman" w:cs="Times New Roman"/>
                                  <w:b/>
                                  <w:color w:val="000000"/>
                                  <w:sz w:val="21"/>
                                  <w:szCs w:val="21"/>
                                </w:rPr>
                                <w:t xml:space="preserve">bank</w:t>
                              </w:r>
                            </w:p>
                          </w:txbxContent>
                        </wps:txbx>
                        <wps:bodyPr rot="0" vert="horz" wrap="square" lIns="36000" tIns="18000" rIns="36000" bIns="18000" anchor="ctr" anchorCtr="0">
                          <a:noAutofit/>
                        </wps:bodyPr>
                      </wps:wsp>
                      <wps:wsp>
                        <wps:cNvPr id="7" name="Shape 7"/>
                        <wps:cNvSpPr/>
                        <wps:spPr>
                          <a:xfrm>
                            <a:off x="1512000" y="684000"/>
                            <a:ext cx="2124000" cy="900000"/>
                          </a:xfrm>
                          <a:prstGeom prst="roundRect">
                            <a:avLst>
                              <a:gd name="adj" fmla="val 10000"/>
                            </a:avLst>
                          </a:prstGeom>
                          <a:solidFill>
                            <a:srgbClr val="2A78D6"/>
                          </a:solidFill>
                          <a:ln w="12700">
                            <a:solidFill>
                              <a:srgbClr val="2A78D6"/>
                            </a:solidFill>
                          </a:ln>
                        </wps:spPr>
                        <wps:txbx>
                          <w:txbxContent>
                            <w:p>
                              <w:pPr>
                                <w:spacing w:before="0" w:after="0" w:line="228" w:lineRule="auto"/>
                                <w:jc w:val="center"/>
                                <w:ind w:firstLine="0"/>
                              </w:pPr>
                              <w:r>
                                <w:rPr>
                                  <w:rFonts w:ascii="Times New Roman" w:hAnsi="Times New Roman" w:cs="Times New Roman"/>
                                  <w:color w:val="FFFFFF"/>
                                  <w:sz w:val="20"/>
                                  <w:szCs w:val="20"/>
                                </w:rPr>
                                <w:t xml:space="preserve">1-variant: 122,2%</w:t>
                              </w:r>
                            </w:p>
                            <w:p>
                              <w:pPr>
                                <w:spacing w:before="0" w:after="0" w:line="228" w:lineRule="auto"/>
                                <w:jc w:val="center"/>
                                <w:ind w:firstLine="0"/>
                              </w:pPr>
                              <w:r>
                                <w:rPr>
                                  <w:rFonts w:ascii="Times New Roman" w:hAnsi="Times New Roman" w:cs="Times New Roman"/>
                                  <w:color w:val="FFFFFF"/>
                                  <w:sz w:val="20"/>
                                  <w:szCs w:val="20"/>
                                </w:rPr>
                                <w:t xml:space="preserve">Rasmiy hisobot;</w:t>
                              </w:r>
                            </w:p>
                            <w:p>
                              <w:pPr>
                                <w:spacing w:before="0" w:after="0" w:line="228" w:lineRule="auto"/>
                                <w:jc w:val="center"/>
                                <w:ind w:firstLine="0"/>
                              </w:pPr>
                              <w:r>
                                <w:rPr>
                                  <w:rFonts w:ascii="Times New Roman" w:hAnsi="Times New Roman" w:cs="Times New Roman"/>
                                  <w:color w:val="FFFFFF"/>
                                  <w:sz w:val="20"/>
                                  <w:szCs w:val="20"/>
                                </w:rPr>
                                <w:t xml:space="preserve">me’yorga rioya qilinishi</w:t>
                              </w:r>
                            </w:p>
                          </w:txbxContent>
                        </wps:txbx>
                        <wps:bodyPr rot="0" vert="horz" wrap="square" lIns="36000" tIns="18000" rIns="36000" bIns="18000" anchor="ctr" anchorCtr="0">
                          <a:noAutofit/>
                        </wps:bodyPr>
                      </wps:wsp>
                      <wps:wsp>
                        <wps:cNvPr id="8" name="Shape 8"/>
                        <wps:cNvSpPr/>
                        <wps:spPr>
                          <a:xfrm>
                            <a:off x="3708000" y="684000"/>
                            <a:ext cx="2124000" cy="900000"/>
                          </a:xfrm>
                          <a:prstGeom prst="roundRect">
                            <a:avLst>
                              <a:gd name="adj" fmla="val 10000"/>
                            </a:avLst>
                          </a:prstGeom>
                          <a:solidFill>
                            <a:srgbClr val="70AD47"/>
                          </a:solidFill>
                          <a:ln w="12700">
                            <a:solidFill>
                              <a:srgbClr val="70AD47"/>
                            </a:solidFill>
                          </a:ln>
                        </wps:spPr>
                        <wps:txbx>
                          <w:txbxContent>
                            <w:p>
                              <w:pPr>
                                <w:spacing w:before="0" w:after="0" w:line="228" w:lineRule="auto"/>
                                <w:jc w:val="center"/>
                                <w:ind w:firstLine="0"/>
                              </w:pPr>
                              <w:r>
                                <w:rPr>
                                  <w:rFonts w:ascii="Times New Roman" w:hAnsi="Times New Roman" w:cs="Times New Roman"/>
                                  <w:color w:val="FFFFFF"/>
                                  <w:sz w:val="20"/>
                                  <w:szCs w:val="20"/>
                                </w:rPr>
                                <w:t xml:space="preserve">3-variant: 119,5%</w:t>
                              </w:r>
                            </w:p>
                            <w:p>
                              <w:pPr>
                                <w:spacing w:before="0" w:after="0" w:line="228" w:lineRule="auto"/>
                                <w:jc w:val="center"/>
                                <w:ind w:firstLine="0"/>
                              </w:pPr>
                              <w:r>
                                <w:rPr>
                                  <w:rFonts w:ascii="Times New Roman" w:hAnsi="Times New Roman" w:cs="Times New Roman"/>
                                  <w:color w:val="FFFFFF"/>
                                  <w:sz w:val="20"/>
                                  <w:szCs w:val="20"/>
                                </w:rPr>
                                <w:t xml:space="preserve">MHXS 9 ga o‘tish</w:t>
                              </w:r>
                            </w:p>
                            <w:p>
                              <w:pPr>
                                <w:spacing w:before="0" w:after="0" w:line="228" w:lineRule="auto"/>
                                <w:jc w:val="center"/>
                                <w:ind w:firstLine="0"/>
                              </w:pPr>
                              <w:r>
                                <w:rPr>
                                  <w:rFonts w:ascii="Times New Roman" w:hAnsi="Times New Roman" w:cs="Times New Roman"/>
                                  <w:color w:val="FFFFFF"/>
                                  <w:sz w:val="20"/>
                                  <w:szCs w:val="20"/>
                                </w:rPr>
                                <w:t xml:space="preserve">ta’sirini oldindan ko‘rish</w:t>
                              </w:r>
                            </w:p>
                          </w:txbxContent>
                        </wps:txbx>
                        <wps:bodyPr rot="0" vert="horz" wrap="square" lIns="36000" tIns="18000" rIns="36000" bIns="18000" anchor="ctr" anchorCtr="0">
                          <a:noAutofit/>
                        </wps:bodyPr>
                      </wps:wsp>
                      <wps:wsp>
                        <wps:cNvPr id="9" name="Shape 9"/>
                        <wps:cNvSpPr/>
                        <wps:spPr>
                          <a:xfrm>
                            <a:off x="432000" y="1620000"/>
                            <a:ext cx="1044000" cy="900000"/>
                          </a:xfrm>
                          <a:prstGeom prst="roundRect">
                            <a:avLst>
                              <a:gd name="adj" fmla="val 10000"/>
                            </a:avLst>
                          </a:prstGeom>
                          <a:solidFill>
                            <a:srgbClr val="DEEBF7"/>
                          </a:solidFill>
                          <a:ln w="12700">
                            <a:solidFill>
                              <a:srgbClr val="9DC3E6"/>
                            </a:solidFill>
                          </a:ln>
                        </wps:spPr>
                        <wps:txbx>
                          <w:txbxContent>
                            <w:p>
                              <w:pPr>
                                <w:spacing w:before="0" w:after="0" w:line="228" w:lineRule="auto"/>
                                <w:jc w:val="center"/>
                                <w:ind w:firstLine="0"/>
                              </w:pPr>
                              <w:r>
                                <w:rPr>
                                  <w:rFonts w:ascii="Times New Roman" w:hAnsi="Times New Roman" w:cs="Times New Roman"/>
                                  <w:b/>
                                  <w:color w:val="000000"/>
                                  <w:sz w:val="21"/>
                                  <w:szCs w:val="21"/>
                                </w:rPr>
                                <w:t xml:space="preserve">Bazel III</w:t>
                              </w:r>
                            </w:p>
                          </w:txbxContent>
                        </wps:txbx>
                        <wps:bodyPr rot="0" vert="horz" wrap="square" lIns="36000" tIns="18000" rIns="36000" bIns="18000" anchor="ctr" anchorCtr="0">
                          <a:noAutofit/>
                        </wps:bodyPr>
                      </wps:wsp>
                      <wps:wsp>
                        <wps:cNvPr id="10" name="Shape 10"/>
                        <wps:cNvSpPr/>
                        <wps:spPr>
                          <a:xfrm>
                            <a:off x="1512000" y="1620000"/>
                            <a:ext cx="2124000" cy="900000"/>
                          </a:xfrm>
                          <a:prstGeom prst="roundRect">
                            <a:avLst>
                              <a:gd name="adj" fmla="val 10000"/>
                            </a:avLst>
                          </a:prstGeom>
                          <a:solidFill>
                            <a:srgbClr val="FFC000"/>
                          </a:solidFill>
                          <a:ln w="12700">
                            <a:solidFill>
                              <a:srgbClr val="FFC000"/>
                            </a:solidFill>
                          </a:ln>
                        </wps:spPr>
                        <wps:txbx>
                          <w:txbxContent>
                            <w:p>
                              <w:pPr>
                                <w:spacing w:before="0" w:after="0" w:line="228" w:lineRule="auto"/>
                                <w:jc w:val="center"/>
                                <w:ind w:firstLine="0"/>
                              </w:pPr>
                              <w:r>
                                <w:rPr>
                                  <w:rFonts w:ascii="Times New Roman" w:hAnsi="Times New Roman" w:cs="Times New Roman"/>
                                  <w:color w:val="000000"/>
                                  <w:sz w:val="20"/>
                                  <w:szCs w:val="20"/>
                                </w:rPr>
                                <w:t xml:space="preserve">2-variant: 127,6%</w:t>
                              </w:r>
                            </w:p>
                            <w:p>
                              <w:pPr>
                                <w:spacing w:before="0" w:after="0" w:line="228" w:lineRule="auto"/>
                                <w:jc w:val="center"/>
                                <w:ind w:firstLine="0"/>
                              </w:pPr>
                              <w:r>
                                <w:rPr>
                                  <w:rFonts w:ascii="Times New Roman" w:hAnsi="Times New Roman" w:cs="Times New Roman"/>
                                  <w:color w:val="000000"/>
                                  <w:sz w:val="20"/>
                                  <w:szCs w:val="20"/>
                                </w:rPr>
                                <w:t xml:space="preserve">Metodikani moslashtirish</w:t>
                              </w:r>
                            </w:p>
                            <w:p>
                              <w:pPr>
                                <w:spacing w:before="0" w:after="0" w:line="228" w:lineRule="auto"/>
                                <w:jc w:val="center"/>
                                <w:ind w:firstLine="0"/>
                              </w:pPr>
                              <w:r>
                                <w:rPr>
                                  <w:rFonts w:ascii="Times New Roman" w:hAnsi="Times New Roman" w:cs="Times New Roman"/>
                                  <w:color w:val="000000"/>
                                  <w:sz w:val="20"/>
                                  <w:szCs w:val="20"/>
                                </w:rPr>
                                <w:t xml:space="preserve">ta’sirini baholash</w:t>
                              </w:r>
                            </w:p>
                          </w:txbxContent>
                        </wps:txbx>
                        <wps:bodyPr rot="0" vert="horz" wrap="square" lIns="36000" tIns="18000" rIns="36000" bIns="18000" anchor="ctr" anchorCtr="0">
                          <a:noAutofit/>
                        </wps:bodyPr>
                      </wps:wsp>
                      <wps:wsp>
                        <wps:cNvPr id="11" name="Shape 11"/>
                        <wps:cNvSpPr/>
                        <wps:spPr>
                          <a:xfrm>
                            <a:off x="3708000" y="1620000"/>
                            <a:ext cx="2124000" cy="900000"/>
                          </a:xfrm>
                          <a:prstGeom prst="roundRect">
                            <a:avLst>
                              <a:gd name="adj" fmla="val 10000"/>
                            </a:avLst>
                          </a:prstGeom>
                          <a:solidFill>
                            <a:srgbClr val="EB6834"/>
                          </a:solidFill>
                          <a:ln w="12700">
                            <a:solidFill>
                              <a:srgbClr val="EB6834"/>
                            </a:solidFill>
                          </a:ln>
                        </wps:spPr>
                        <wps:txbx>
                          <w:txbxContent>
                            <w:p>
                              <w:pPr>
                                <w:spacing w:before="0" w:after="0" w:line="228" w:lineRule="auto"/>
                                <w:jc w:val="center"/>
                                <w:ind w:firstLine="0"/>
                              </w:pPr>
                              <w:r>
                                <w:rPr>
                                  <w:rFonts w:ascii="Times New Roman" w:hAnsi="Times New Roman" w:cs="Times New Roman"/>
                                  <w:color w:val="FFFFFF"/>
                                  <w:sz w:val="20"/>
                                  <w:szCs w:val="20"/>
                                </w:rPr>
                                <w:t xml:space="preserve">4-variant: 124,8%</w:t>
                              </w:r>
                            </w:p>
                            <w:p>
                              <w:pPr>
                                <w:spacing w:before="0" w:after="0" w:line="228" w:lineRule="auto"/>
                                <w:jc w:val="center"/>
                                <w:ind w:firstLine="0"/>
                              </w:pPr>
                              <w:r>
                                <w:rPr>
                                  <w:rFonts w:ascii="Times New Roman" w:hAnsi="Times New Roman" w:cs="Times New Roman"/>
                                  <w:color w:val="FFFFFF"/>
                                  <w:sz w:val="20"/>
                                  <w:szCs w:val="20"/>
                                </w:rPr>
                                <w:t xml:space="preserve">Xalqaro solishtirish;</w:t>
                              </w:r>
                            </w:p>
                            <w:p>
                              <w:pPr>
                                <w:spacing w:before="0" w:after="0" w:line="228" w:lineRule="auto"/>
                                <w:jc w:val="center"/>
                                <w:ind w:firstLine="0"/>
                              </w:pPr>
                              <w:r>
                                <w:rPr>
                                  <w:rFonts w:ascii="Times New Roman" w:hAnsi="Times New Roman" w:cs="Times New Roman"/>
                                  <w:color w:val="FFFFFF"/>
                                  <w:sz w:val="20"/>
                                  <w:szCs w:val="20"/>
                                </w:rPr>
                                <w:t xml:space="preserve">tadqiqotda asosiy mezon</w:t>
                              </w:r>
                            </w:p>
                          </w:txbxContent>
                        </wps:txbx>
                        <wps:bodyPr rot="0" vert="horz" wrap="square" lIns="36000" tIns="18000" rIns="36000" bIns="18000" anchor="ctr" anchorCtr="0">
                          <a:noAutofit/>
                        </wps:bodyPr>
                      </wps:wsp>
                    </wpg:wgp>
                  </a:graphicData>
                </a:graphic>
              </wp:inline>
            </w:drawing>
          </mc:Choice>
          <mc:Fallback/>
        </mc:AlternateContent>
      </w:r>
    </w:p>
    <w:p>
      <w:pPr>
        <w:pStyle w:val="BodyText"/>
        <w:spacing w:line="240" w:lineRule="auto" w:before="120" w:after="240"/>
        <w:ind w:firstLine="0"/>
        <w:jc w:val="center"/>
      </w:pPr>
      <w:r>
        <w:rPr>
          <w:rFonts w:ascii="Times New Roman" w:hAnsi="Times New Roman" w:cs="Times New Roman" w:eastAsia="Times New Roman"/>
          <w:b/>
          <w:sz w:val="28"/>
        </w:rPr>
        <w:t xml:space="preserve">1-rasm. Sof barqaror moliyalashtirish me’yorini hisoblash variantlari matritsasi</w:t>
      </w:r>
      <w:r>
        <w:rPr>
          <w:rStyle w:val="FootnoteReference"/>
        </w:rPr>
        <w:footnoteReference w:id="20"/>
      </w:r>
    </w:p>
    <w:p>
      <w:pPr>
        <w:pStyle w:val="BodyText"/>
        <w:spacing w:line="360" w:lineRule="auto" w:before="0" w:after="0"/>
        <w:ind w:firstLine="709"/>
        <w:jc w:val="both"/>
      </w:pPr>
      <w:r>
        <w:rPr>
          <w:rFonts w:ascii="Times New Roman" w:hAnsi="Times New Roman" w:cs="Times New Roman" w:eastAsia="Times New Roman"/>
          <w:sz w:val="28"/>
        </w:rPr>
        <w:t xml:space="preserve">Avvalo bir muhim masalaga aniqlik kiritish lozim: Bazel III standarti ma’lumotlar qaysi buxgalteriya standarti asosida tuzilishini belgilamaydi. Bazel qo‘mitasi o‘z standartlarini buxgalteriya hisobiga nisbatan «neytral» deb hisoblaydi, sof barqaror moliyalashtirish me’yorida esa aktiv va majburiyatlar ularning balans qiymatida olinishi belgilangan</w:t>
      </w:r>
      <w:r>
        <w:rPr>
          <w:rStyle w:val="FootnoteReference"/>
        </w:rPr>
        <w:footnoteReference w:id="21"/>
      </w:r>
      <w:r>
        <w:rPr>
          <w:rFonts w:ascii="Times New Roman" w:hAnsi="Times New Roman" w:cs="Times New Roman" w:eastAsia="Times New Roman"/>
          <w:sz w:val="28"/>
        </w:rPr>
        <w:t xml:space="preserve">. Balans qiymati esa har bir mamlakatda amaldagi buxgalteriya standarti bo‘yicha aniqlanadi. Bazel qo‘mitasi MHXS 9 ga o‘tish munosabati bilan kutilgan kredit zararlari bo‘yicha zaxiralarning regulyativ kapitalga ta’sirini bosqichma-bosqich hisobga olishga ruxsat beruvchi alohida o‘tish qoidalarini qabul qilgani ham shundan dalolat beradi</w:t>
      </w:r>
      <w:r>
        <w:rPr>
          <w:rStyle w:val="FootnoteReference"/>
        </w:rPr>
        <w:footnoteReference w:id="22"/>
      </w:r>
      <w:r>
        <w:rPr>
          <w:rFonts w:ascii="Times New Roman" w:hAnsi="Times New Roman" w:cs="Times New Roman" w:eastAsia="Times New Roman"/>
          <w:sz w:val="28"/>
        </w:rPr>
        <w:t xml:space="preserve">. Demak, Bazel III koeffitsiyentlarini milliy hisobot ma’lumotlariga qo‘llash metodologik jihatdan to‘g‘ri, ammo turli mamlakatlar banklarini xalqaro miqyosda solishtirish uchun MHXS ma’lumotlari afzalroq.</w:t>
      </w:r>
    </w:p>
    <w:p>
      <w:pPr>
        <w:pStyle w:val="BodyText"/>
        <w:spacing w:line="360" w:lineRule="auto" w:before="0" w:after="0"/>
        <w:ind w:firstLine="709"/>
        <w:jc w:val="both"/>
      </w:pPr>
      <w:r>
        <w:rPr>
          <w:bCs/>
          <w:rFonts w:ascii="Times New Roman" w:hAnsi="Times New Roman" w:cs="Times New Roman" w:eastAsia="Times New Roman"/>
          <w:b/>
          <w:sz w:val="28"/>
        </w:rPr>
        <w:t xml:space="preserve">Birinchi variant – Markaziy bank metodikasi va milliy hisobot.</w:t>
      </w:r>
      <w:r>
        <w:rPr>
          <w:rFonts w:ascii="Times New Roman" w:hAnsi="Times New Roman" w:cs="Times New Roman" w:eastAsia="Times New Roman"/>
          <w:sz w:val="28"/>
        </w:rPr>
        <w:t xml:space="preserve"> </w:t>
      </w:r>
      <w:r>
        <w:rPr>
          <w:rFonts w:ascii="Times New Roman" w:hAnsi="Times New Roman" w:cs="Times New Roman" w:eastAsia="Times New Roman"/>
          <w:sz w:val="28"/>
        </w:rPr>
        <w:t xml:space="preserve">Bu bankning Markaziy bankka taqdim etadigan rasmiy hisoboti bo‘lib, me’yorga rioya qilinganligi aynan shu variant bo‘yicha tekshiriladi. Uning asosi Markaziy bankning likvidlikni boshqarishga qo‘yiladigan talablar to‘g‘risidagi nizomi va milliy buxgalteriya hisobi ma’lumotlaridir</w:t>
      </w:r>
      <w:r>
        <w:rPr>
          <w:rStyle w:val="FootnoteReference"/>
        </w:rPr>
        <w:footnoteReference w:id="23"/>
      </w:r>
      <w:r>
        <w:rPr>
          <w:rFonts w:ascii="Times New Roman" w:hAnsi="Times New Roman" w:cs="Times New Roman" w:eastAsia="Times New Roman"/>
          <w:sz w:val="28"/>
        </w:rPr>
        <w:t xml:space="preserve">. Metodikaning asosiy xususiyati – soddaligi: mavjud barqaror moliyalashtirish tarkibida kapital va muddati bir yildan ortiq majburiyatlar to‘liq, qolgan barcha majburiyatlar esa kontragent turidan qat’i nazar 30 foiz koeffitsiyent bilan hisobga olinadi. Talab qilinadigan barqaror moliyalashtirish tarkibida esa muddati bir yildan ortiq barcha aktivlar, asosiy vositalar va sud jarayonidagi kreditlar to‘liq, muddati bir yilgacha bo‘lgan boshqa aktivlar 30 foiz, balansdan tashqari majburiyatlar 15 foiz koeffitsiyent bilan olinadi.</w:t>
      </w:r>
    </w:p>
    <w:p>
      <w:pPr>
        <w:pStyle w:val="BodyText"/>
        <w:spacing w:line="360" w:lineRule="auto" w:before="0" w:after="0"/>
        <w:ind w:firstLine="709"/>
        <w:jc w:val="both"/>
      </w:pPr>
      <w:r>
        <w:rPr>
          <w:bCs/>
          <w:rFonts w:ascii="Times New Roman" w:hAnsi="Times New Roman" w:cs="Times New Roman" w:eastAsia="Times New Roman"/>
          <w:b/>
          <w:sz w:val="28"/>
        </w:rPr>
        <w:t xml:space="preserve">Ikkinchi variant – Bazel III metodikasi va milliy hisobot.</w:t>
      </w:r>
      <w:r>
        <w:rPr>
          <w:rFonts w:ascii="Times New Roman" w:hAnsi="Times New Roman" w:cs="Times New Roman" w:eastAsia="Times New Roman"/>
          <w:sz w:val="28"/>
        </w:rPr>
        <w:t xml:space="preserve"> </w:t>
      </w:r>
      <w:r>
        <w:rPr>
          <w:rFonts w:ascii="Times New Roman" w:hAnsi="Times New Roman" w:cs="Times New Roman" w:eastAsia="Times New Roman"/>
          <w:sz w:val="28"/>
        </w:rPr>
        <w:t xml:space="preserve">Bu variantda ma’lumotlar o‘zgarmaydi, faqat koeffitsiyentlar Bazel qo‘mitasi standartidagi qiymatlarga almashtiriladi</w:t>
      </w:r>
      <w:r>
        <w:rPr>
          <w:rStyle w:val="FootnoteReference"/>
        </w:rPr>
        <w:footnoteReference w:id="24"/>
      </w:r>
      <w:r>
        <w:rPr>
          <w:rFonts w:ascii="Times New Roman" w:hAnsi="Times New Roman" w:cs="Times New Roman" w:eastAsia="Times New Roman"/>
          <w:sz w:val="28"/>
        </w:rPr>
        <w:t xml:space="preserve">. Uning asosi ikkita: birinchidan, yuqorida ta’kidlanganidek, Bazel III milliy hisobot ma’lumotlarini qo‘llashga yo‘l qo‘yadi; ikkinchidan, XVJ va Jahon bankining moliya sektorini baholash dasturi natijalari asosida qabul qilingan «yo‘l xaritasi»da likvidlik koeffitsiyentlarining elementlarini Bazel III ga to‘liq moslashtirish vazifasi belgilangan</w:t>
      </w:r>
      <w:r>
        <w:rPr>
          <w:rStyle w:val="FootnoteReference"/>
        </w:rPr>
        <w:footnoteReference w:id="25"/>
      </w:r>
      <w:r>
        <w:rPr>
          <w:rFonts w:ascii="Times New Roman" w:hAnsi="Times New Roman" w:cs="Times New Roman" w:eastAsia="Times New Roman"/>
          <w:sz w:val="28"/>
        </w:rPr>
        <w:t xml:space="preserve">. Shu sababli bu variant metodika moslashtirilganda me’yor qanday o‘zgarishini ko‘rsatadi. Ma’lumotlar bir xil bo‘lgani uchun birinchi va ikkinchi variant o‘rtasidagi farq sof metodika ta’sirini aks ettiradi.</w:t>
      </w:r>
    </w:p>
    <w:p>
      <w:pPr>
        <w:pStyle w:val="BodyText"/>
        <w:spacing w:line="360" w:lineRule="auto" w:before="0" w:after="0"/>
        <w:ind w:firstLine="709"/>
        <w:jc w:val="both"/>
      </w:pPr>
      <w:r>
        <w:rPr>
          <w:bCs/>
          <w:rFonts w:ascii="Times New Roman" w:hAnsi="Times New Roman" w:cs="Times New Roman" w:eastAsia="Times New Roman"/>
          <w:b/>
          <w:sz w:val="28"/>
        </w:rPr>
        <w:t xml:space="preserve">Uchinchi variant – Markaziy bank metodikasi va MHXS tuzatishlari.</w:t>
      </w:r>
      <w:r>
        <w:rPr>
          <w:rFonts w:ascii="Times New Roman" w:hAnsi="Times New Roman" w:cs="Times New Roman" w:eastAsia="Times New Roman"/>
          <w:sz w:val="28"/>
        </w:rPr>
        <w:t xml:space="preserve"> </w:t>
      </w:r>
      <w:r>
        <w:rPr>
          <w:rFonts w:ascii="Times New Roman" w:hAnsi="Times New Roman" w:cs="Times New Roman" w:eastAsia="Times New Roman"/>
          <w:sz w:val="28"/>
        </w:rPr>
        <w:t xml:space="preserve">Bu variantda milliy metodika saqlanadi, ammo unga MHXS bo‘yicha ma’lumotlardagi asosiy farqlar kiritiladi. Uning asosi – mazmunning shakldan ustunligi tamoyili va «yo‘l xaritasi»da aktivlar tasnifi va zaxiralarni MHXS 9 ga moslashtirish 2026-yilning ikkinchi choragida yakunlanishi rejalashtirilganidir</w:t>
      </w:r>
      <w:r>
        <w:rPr>
          <w:rStyle w:val="FootnoteReference"/>
        </w:rPr>
        <w:footnoteReference w:id="26"/>
      </w:r>
      <w:r>
        <w:rPr>
          <w:rFonts w:ascii="Times New Roman" w:hAnsi="Times New Roman" w:cs="Times New Roman" w:eastAsia="Times New Roman"/>
          <w:sz w:val="28"/>
        </w:rPr>
        <w:t xml:space="preserve">. Bu variant moslashtirish yakunlangach, amaldagi metodika bo‘yicha me’yor qanday bo‘lishini ko‘rsatadi. Birinchi va uchinchi variant o‘rtasidagi farq sof hisobot standarti ta’sirini aks ettiradi.</w:t>
      </w:r>
    </w:p>
    <w:p>
      <w:pPr>
        <w:pStyle w:val="BodyText"/>
        <w:spacing w:line="360" w:lineRule="auto" w:before="0" w:after="0"/>
        <w:ind w:firstLine="709"/>
        <w:jc w:val="both"/>
      </w:pPr>
      <w:r>
        <w:rPr>
          <w:bCs/>
          <w:rFonts w:ascii="Times New Roman" w:hAnsi="Times New Roman" w:cs="Times New Roman" w:eastAsia="Times New Roman"/>
          <w:b/>
          <w:sz w:val="28"/>
        </w:rPr>
        <w:t xml:space="preserve">To‘rtinchi variant – Bazel III metodikasi va MHXS tuzatishlari.</w:t>
      </w:r>
      <w:r>
        <w:rPr>
          <w:rFonts w:ascii="Times New Roman" w:hAnsi="Times New Roman" w:cs="Times New Roman" w:eastAsia="Times New Roman"/>
          <w:sz w:val="28"/>
        </w:rPr>
        <w:t xml:space="preserve"> </w:t>
      </w:r>
      <w:r>
        <w:rPr>
          <w:rFonts w:ascii="Times New Roman" w:hAnsi="Times New Roman" w:cs="Times New Roman" w:eastAsia="Times New Roman"/>
          <w:sz w:val="28"/>
        </w:rPr>
        <w:t xml:space="preserve">Bu to‘liq xalqaro yondashuv bo‘lib, xalqaro reyting agentliklari, investorlar va XVJ mutaxassislari bankni aynan shu nuqtai nazardan baholaydi. Uning asosi – Bazel III standarti va MHXS ning birgalikda qo‘llanishi. Dissertatsiya mavzusi banklar moliyaviy barqarorligini xalqaro standartlar asosida baholash bo‘lgani uchun bu variant tadqiqotda asosiy mezon sifatida qabul qilinadi.</w:t>
      </w:r>
    </w:p>
    <w:p>
      <w:pPr>
        <w:pStyle w:val="BodyText"/>
        <w:spacing w:line="360" w:lineRule="auto" w:before="0" w:after="0"/>
        <w:ind w:firstLine="709"/>
        <w:jc w:val="both"/>
      </w:pPr>
      <w:r>
        <w:rPr>
          <w:rFonts w:ascii="Times New Roman" w:hAnsi="Times New Roman" w:cs="Times New Roman" w:eastAsia="Times New Roman"/>
          <w:sz w:val="28"/>
        </w:rPr>
        <w:t xml:space="preserve">Ikki metodika o‘rtasidagi farqlar 1-jadvalda batafsil keltirildi. Jadvaldagi Markaziy bank koeffitsiyentlari bankning 2025-yil 30-dekabr holatidagi rasmiy likvidlik tahlili shaklidan, Bazel III koeffitsiyentlari esa Bazel qo‘mitasining 2014-yilda qabul qilingan va hozirgacha amalda bo‘lgan standartidan olindi.</w:t>
      </w:r>
    </w:p>
    <w:p>
      <w:pPr>
        <w:pStyle w:val="BodyText"/>
        <w:keepNext/>
        <w:spacing w:line="360" w:lineRule="auto" w:before="120" w:after="0"/>
        <w:ind w:firstLine="0"/>
        <w:jc w:val="right"/>
      </w:pPr>
      <w:r>
        <w:rPr>
          <w:rFonts w:ascii="Times New Roman" w:hAnsi="Times New Roman" w:cs="Times New Roman" w:eastAsia="Times New Roman"/>
          <w:i/>
          <w:sz w:val="28"/>
        </w:rPr>
        <w:t xml:space="preserve">1-jadval</w:t>
      </w:r>
    </w:p>
    <w:p>
      <w:pPr>
        <w:pStyle w:val="BodyText"/>
        <w:keepNext/>
        <w:spacing w:line="240" w:lineRule="auto" w:before="0" w:after="120"/>
        <w:ind w:firstLine="0"/>
        <w:jc w:val="center"/>
      </w:pPr>
      <w:r>
        <w:rPr>
          <w:bCs/>
          <w:rFonts w:ascii="Times New Roman" w:hAnsi="Times New Roman" w:cs="Times New Roman" w:eastAsia="Times New Roman"/>
          <w:b/>
          <w:sz w:val="28"/>
        </w:rPr>
        <w:t xml:space="preserve">Markaziy bank va Bazel III metodikalarida qo‘llanadigan koeffitsiyentlar</w:t>
      </w:r>
      <w:r>
        <w:rPr>
          <w:rStyle w:val="FootnoteReference"/>
        </w:rPr>
        <w:footnoteReference w:id="27"/>
      </w:r>
    </w:p>
    <w:tbl>
      <w:tblPr>
        <w:tblStyle w:val="Table"/>
        <w:tblW w:type="pct" w:w="5000"/>
        <w:tblLook w:firstRow="1" w:lastRow="0" w:firstColumn="0" w:lastColumn="0" w:noHBand="0" w:noVBand="0" w:val="0020"/>
        <w:jc w:val="start"/>
        <w:tblBorders>
          <w:top w:val="single" w:sz="4" w:color="000000"/>
          <w:left w:val="single" w:sz="4" w:color="000000"/>
          <w:bottom w:val="single" w:sz="4" w:color="000000"/>
          <w:right w:val="single" w:sz="4" w:color="000000"/>
          <w:insideH w:val="single" w:sz="4" w:color="000000"/>
          <w:insideV w:val="single" w:sz="4" w:color="000000"/>
        </w:tblBorders>
      </w:tblPr>
      <w:tblGrid>
        <w:gridCol w:w="2640"/>
        <w:gridCol w:w="2640"/>
        <w:gridCol w:w="2640"/>
      </w:tblGrid>
      <w:tr>
        <w:trPr>
          <w:tblHeader w:val="true"/>
          <w:cantSplit/>
          <w:tblHeader/>
        </w:trPr>
        <w:tc>
          <w:tcPr>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Moddalar</w:t>
            </w:r>
          </w:p>
        </w:tc>
        <w:tc>
          <w:tcPr>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Markaziy bank metodikasi</w:t>
            </w:r>
          </w:p>
        </w:tc>
        <w:tc>
          <w:tcPr>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Bazel III metodikasi</w:t>
            </w:r>
          </w:p>
        </w:tc>
      </w:tr>
      <w:tr>
        <w:trPr>
          <w:cantSplit/>
        </w:trPr>
        <w:tc>
          <w:tcPr/>
          <w:p>
            <w:pPr>
              <w:pStyle w:val="Compact"/>
              <w:spacing w:line="240" w:lineRule="auto"/>
              <w:ind w:firstLine="0"/>
              <w:jc w:val="left"/>
            </w:pPr>
            <w:r>
              <w:rPr>
                <w:iCs/>
                <w:rFonts w:ascii="Times New Roman" w:hAnsi="Times New Roman" w:cs="Times New Roman" w:eastAsia="Times New Roman"/>
                <w:i/>
                <w:sz w:val="22"/>
              </w:rPr>
              <w:t xml:space="preserve">Mavjud barqaror moliyalashtirish</w:t>
            </w:r>
          </w:p>
        </w:tc>
        <w:tc>
          <w:tcPr/>
          <w:p>
            <w:pPr>
              <w:pStyle w:val="Compact"/>
              <w:spacing w:line="240" w:lineRule="auto"/>
              <w:ind w:firstLine="0"/>
              <w:jc w:val="left"/>
            </w:pPr>
          </w:p>
        </w:tc>
        <w:tc>
          <w:tcPr/>
          <w:p>
            <w:pPr>
              <w:pStyle w:val="Compact"/>
              <w:spacing w:line="240" w:lineRule="auto"/>
              <w:ind w:firstLine="0"/>
              <w:jc w:val="left"/>
            </w:pPr>
          </w:p>
        </w:tc>
      </w:tr>
      <w:tr>
        <w:trPr>
          <w:cantSplit/>
        </w:trPr>
        <w:tc>
          <w:tcPr/>
          <w:p>
            <w:pPr>
              <w:pStyle w:val="Compact"/>
              <w:spacing w:line="240" w:lineRule="auto"/>
              <w:ind w:firstLine="0"/>
              <w:jc w:val="left"/>
            </w:pPr>
            <w:r>
              <w:rPr>
                <w:rFonts w:ascii="Times New Roman" w:hAnsi="Times New Roman" w:cs="Times New Roman" w:eastAsia="Times New Roman"/>
                <w:sz w:val="22"/>
              </w:rPr>
              <w:t xml:space="preserve">Kapital (nizomda – regulyativ kapital, bank shaklida – xususiy kapital)</w:t>
            </w:r>
          </w:p>
        </w:tc>
        <w:tc>
          <w:tcPr/>
          <w:p>
            <w:pPr>
              <w:pStyle w:val="Compact"/>
              <w:spacing w:line="240" w:lineRule="auto"/>
              <w:ind w:firstLine="0"/>
              <w:jc w:val="left"/>
            </w:pPr>
            <w:r>
              <w:rPr>
                <w:rFonts w:ascii="Times New Roman" w:hAnsi="Times New Roman" w:cs="Times New Roman" w:eastAsia="Times New Roman"/>
                <w:sz w:val="22"/>
              </w:rPr>
              <w:t xml:space="preserve">100%</w:t>
            </w:r>
          </w:p>
        </w:tc>
        <w:tc>
          <w:tcPr/>
          <w:p>
            <w:pPr>
              <w:pStyle w:val="Compact"/>
              <w:spacing w:line="240" w:lineRule="auto"/>
              <w:ind w:firstLine="0"/>
              <w:jc w:val="left"/>
            </w:pPr>
            <w:r>
              <w:rPr>
                <w:rFonts w:ascii="Times New Roman" w:hAnsi="Times New Roman" w:cs="Times New Roman" w:eastAsia="Times New Roman"/>
                <w:sz w:val="22"/>
              </w:rPr>
              <w:t xml:space="preserve">100%</w:t>
            </w:r>
          </w:p>
        </w:tc>
      </w:tr>
      <w:tr>
        <w:trPr>
          <w:cantSplit/>
        </w:trPr>
        <w:tc>
          <w:tcPr/>
          <w:p>
            <w:pPr>
              <w:pStyle w:val="Compact"/>
              <w:spacing w:line="240" w:lineRule="auto"/>
              <w:ind w:firstLine="0"/>
              <w:jc w:val="left"/>
            </w:pPr>
            <w:r>
              <w:rPr>
                <w:rFonts w:ascii="Times New Roman" w:hAnsi="Times New Roman" w:cs="Times New Roman" w:eastAsia="Times New Roman"/>
                <w:sz w:val="22"/>
              </w:rPr>
              <w:t xml:space="preserve">Muddati bir yildan ortiq majburiyatlar</w:t>
            </w:r>
          </w:p>
        </w:tc>
        <w:tc>
          <w:tcPr/>
          <w:p>
            <w:pPr>
              <w:pStyle w:val="Compact"/>
              <w:spacing w:line="240" w:lineRule="auto"/>
              <w:ind w:firstLine="0"/>
              <w:jc w:val="left"/>
            </w:pPr>
            <w:r>
              <w:rPr>
                <w:rFonts w:ascii="Times New Roman" w:hAnsi="Times New Roman" w:cs="Times New Roman" w:eastAsia="Times New Roman"/>
                <w:sz w:val="22"/>
              </w:rPr>
              <w:t xml:space="preserve">100%</w:t>
            </w:r>
          </w:p>
        </w:tc>
        <w:tc>
          <w:tcPr/>
          <w:p>
            <w:pPr>
              <w:pStyle w:val="Compact"/>
              <w:spacing w:line="240" w:lineRule="auto"/>
              <w:ind w:firstLine="0"/>
              <w:jc w:val="left"/>
            </w:pPr>
            <w:r>
              <w:rPr>
                <w:rFonts w:ascii="Times New Roman" w:hAnsi="Times New Roman" w:cs="Times New Roman" w:eastAsia="Times New Roman"/>
                <w:sz w:val="22"/>
              </w:rPr>
              <w:t xml:space="preserve">100%</w:t>
            </w:r>
          </w:p>
        </w:tc>
      </w:tr>
      <w:tr>
        <w:trPr>
          <w:cantSplit/>
        </w:trPr>
        <w:tc>
          <w:tcPr/>
          <w:p>
            <w:pPr>
              <w:pStyle w:val="Compact"/>
              <w:spacing w:line="240" w:lineRule="auto"/>
              <w:ind w:firstLine="0"/>
              <w:jc w:val="left"/>
            </w:pPr>
            <w:r>
              <w:rPr>
                <w:rFonts w:ascii="Times New Roman" w:hAnsi="Times New Roman" w:cs="Times New Roman" w:eastAsia="Times New Roman"/>
                <w:sz w:val="22"/>
              </w:rPr>
              <w:t xml:space="preserve">Jismoniy shaxslarning talab qilib olinguncha va bir yilgacha depozitlari</w:t>
            </w:r>
          </w:p>
        </w:tc>
        <w:tc>
          <w:tcPr/>
          <w:p>
            <w:pPr>
              <w:pStyle w:val="Compact"/>
              <w:spacing w:line="240" w:lineRule="auto"/>
              <w:ind w:firstLine="0"/>
              <w:jc w:val="left"/>
            </w:pPr>
            <w:r>
              <w:rPr>
                <w:rFonts w:ascii="Times New Roman" w:hAnsi="Times New Roman" w:cs="Times New Roman" w:eastAsia="Times New Roman"/>
                <w:sz w:val="22"/>
              </w:rPr>
              <w:t xml:space="preserve">30%</w:t>
            </w:r>
          </w:p>
        </w:tc>
        <w:tc>
          <w:tcPr/>
          <w:p>
            <w:pPr>
              <w:pStyle w:val="Compact"/>
              <w:spacing w:line="240" w:lineRule="auto"/>
              <w:ind w:firstLine="0"/>
              <w:jc w:val="left"/>
            </w:pPr>
            <w:r>
              <w:rPr>
                <w:rFonts w:ascii="Times New Roman" w:hAnsi="Times New Roman" w:cs="Times New Roman" w:eastAsia="Times New Roman"/>
                <w:sz w:val="22"/>
              </w:rPr>
              <w:t xml:space="preserve">90–95%</w:t>
            </w:r>
          </w:p>
        </w:tc>
      </w:tr>
      <w:tr>
        <w:trPr>
          <w:cantSplit/>
        </w:trPr>
        <w:tc>
          <w:tcPr/>
          <w:p>
            <w:pPr>
              <w:pStyle w:val="Compact"/>
              <w:spacing w:line="240" w:lineRule="auto"/>
              <w:ind w:firstLine="0"/>
              <w:jc w:val="left"/>
            </w:pPr>
            <w:r>
              <w:rPr>
                <w:rFonts w:ascii="Times New Roman" w:hAnsi="Times New Roman" w:cs="Times New Roman" w:eastAsia="Times New Roman"/>
                <w:sz w:val="22"/>
              </w:rPr>
              <w:t xml:space="preserve">Korxonalarning talab qilib olinguncha va bir yilgacha depozitlari, davlat mablag‘lari</w:t>
            </w:r>
          </w:p>
        </w:tc>
        <w:tc>
          <w:tcPr/>
          <w:p>
            <w:pPr>
              <w:pStyle w:val="Compact"/>
              <w:spacing w:line="240" w:lineRule="auto"/>
              <w:ind w:firstLine="0"/>
              <w:jc w:val="left"/>
            </w:pPr>
            <w:r>
              <w:rPr>
                <w:rFonts w:ascii="Times New Roman" w:hAnsi="Times New Roman" w:cs="Times New Roman" w:eastAsia="Times New Roman"/>
                <w:sz w:val="22"/>
              </w:rPr>
              <w:t xml:space="preserve">30%</w:t>
            </w:r>
          </w:p>
        </w:tc>
        <w:tc>
          <w:tcPr/>
          <w:p>
            <w:pPr>
              <w:pStyle w:val="Compact"/>
              <w:spacing w:line="240" w:lineRule="auto"/>
              <w:ind w:firstLine="0"/>
              <w:jc w:val="left"/>
            </w:pPr>
            <w:r>
              <w:rPr>
                <w:rFonts w:ascii="Times New Roman" w:hAnsi="Times New Roman" w:cs="Times New Roman" w:eastAsia="Times New Roman"/>
                <w:sz w:val="22"/>
              </w:rPr>
              <w:t xml:space="preserve">50%</w:t>
            </w:r>
          </w:p>
        </w:tc>
      </w:tr>
      <w:tr>
        <w:trPr>
          <w:cantSplit/>
        </w:trPr>
        <w:tc>
          <w:tcPr/>
          <w:p>
            <w:pPr>
              <w:pStyle w:val="Compact"/>
              <w:spacing w:line="240" w:lineRule="auto"/>
              <w:ind w:firstLine="0"/>
              <w:jc w:val="left"/>
            </w:pPr>
            <w:r>
              <w:rPr>
                <w:rFonts w:ascii="Times New Roman" w:hAnsi="Times New Roman" w:cs="Times New Roman" w:eastAsia="Times New Roman"/>
                <w:sz w:val="22"/>
              </w:rPr>
              <w:t xml:space="preserve">Moliya institutlarining olti oygacha resurslari</w:t>
            </w:r>
          </w:p>
        </w:tc>
        <w:tc>
          <w:tcPr/>
          <w:p>
            <w:pPr>
              <w:pStyle w:val="Compact"/>
              <w:spacing w:line="240" w:lineRule="auto"/>
              <w:ind w:firstLine="0"/>
              <w:jc w:val="left"/>
            </w:pPr>
            <w:r>
              <w:rPr>
                <w:rFonts w:ascii="Times New Roman" w:hAnsi="Times New Roman" w:cs="Times New Roman" w:eastAsia="Times New Roman"/>
                <w:sz w:val="22"/>
              </w:rPr>
              <w:t xml:space="preserve">30%</w:t>
            </w:r>
          </w:p>
        </w:tc>
        <w:tc>
          <w:tcPr/>
          <w:p>
            <w:pPr>
              <w:pStyle w:val="Compact"/>
              <w:spacing w:line="240" w:lineRule="auto"/>
              <w:ind w:firstLine="0"/>
              <w:jc w:val="left"/>
            </w:pPr>
            <w:r>
              <w:rPr>
                <w:rFonts w:ascii="Times New Roman" w:hAnsi="Times New Roman" w:cs="Times New Roman" w:eastAsia="Times New Roman"/>
                <w:sz w:val="22"/>
              </w:rPr>
              <w:t xml:space="preserve">0%</w:t>
            </w:r>
          </w:p>
        </w:tc>
      </w:tr>
      <w:tr>
        <w:trPr>
          <w:cantSplit/>
        </w:trPr>
        <w:tc>
          <w:tcPr/>
          <w:p>
            <w:pPr>
              <w:pStyle w:val="Compact"/>
              <w:spacing w:line="240" w:lineRule="auto"/>
              <w:ind w:firstLine="0"/>
              <w:jc w:val="left"/>
            </w:pPr>
            <w:r>
              <w:rPr>
                <w:rFonts w:ascii="Times New Roman" w:hAnsi="Times New Roman" w:cs="Times New Roman" w:eastAsia="Times New Roman"/>
                <w:sz w:val="22"/>
              </w:rPr>
              <w:t xml:space="preserve">Moliya institutlarining olti oydan bir yilgacha resurslari</w:t>
            </w:r>
          </w:p>
        </w:tc>
        <w:tc>
          <w:tcPr/>
          <w:p>
            <w:pPr>
              <w:pStyle w:val="Compact"/>
              <w:spacing w:line="240" w:lineRule="auto"/>
              <w:ind w:firstLine="0"/>
              <w:jc w:val="left"/>
            </w:pPr>
            <w:r>
              <w:rPr>
                <w:rFonts w:ascii="Times New Roman" w:hAnsi="Times New Roman" w:cs="Times New Roman" w:eastAsia="Times New Roman"/>
                <w:sz w:val="22"/>
              </w:rPr>
              <w:t xml:space="preserve">30%</w:t>
            </w:r>
          </w:p>
        </w:tc>
        <w:tc>
          <w:tcPr/>
          <w:p>
            <w:pPr>
              <w:pStyle w:val="Compact"/>
              <w:spacing w:line="240" w:lineRule="auto"/>
              <w:ind w:firstLine="0"/>
              <w:jc w:val="left"/>
            </w:pPr>
            <w:r>
              <w:rPr>
                <w:rFonts w:ascii="Times New Roman" w:hAnsi="Times New Roman" w:cs="Times New Roman" w:eastAsia="Times New Roman"/>
                <w:sz w:val="22"/>
              </w:rPr>
              <w:t xml:space="preserve">50%</w:t>
            </w:r>
          </w:p>
        </w:tc>
      </w:tr>
      <w:tr>
        <w:trPr>
          <w:cantSplit/>
        </w:trPr>
        <w:tc>
          <w:tcPr/>
          <w:p>
            <w:pPr>
              <w:pStyle w:val="Compact"/>
              <w:spacing w:line="240" w:lineRule="auto"/>
              <w:ind w:firstLine="0"/>
              <w:jc w:val="left"/>
            </w:pPr>
            <w:r>
              <w:rPr>
                <w:rFonts w:ascii="Times New Roman" w:hAnsi="Times New Roman" w:cs="Times New Roman" w:eastAsia="Times New Roman"/>
                <w:sz w:val="22"/>
              </w:rPr>
              <w:t xml:space="preserve">Boshqa majburiyatlar (hisoblangan foizlar, REPO, boshqalar)</w:t>
            </w:r>
          </w:p>
        </w:tc>
        <w:tc>
          <w:tcPr/>
          <w:p>
            <w:pPr>
              <w:pStyle w:val="Compact"/>
              <w:spacing w:line="240" w:lineRule="auto"/>
              <w:ind w:firstLine="0"/>
              <w:jc w:val="left"/>
            </w:pPr>
            <w:r>
              <w:rPr>
                <w:rFonts w:ascii="Times New Roman" w:hAnsi="Times New Roman" w:cs="Times New Roman" w:eastAsia="Times New Roman"/>
                <w:sz w:val="22"/>
              </w:rPr>
              <w:t xml:space="preserve">30% (nizomda – faqat depozit va qarz mablag‘lari)</w:t>
            </w:r>
          </w:p>
        </w:tc>
        <w:tc>
          <w:tcPr/>
          <w:p>
            <w:pPr>
              <w:pStyle w:val="Compact"/>
              <w:spacing w:line="240" w:lineRule="auto"/>
              <w:ind w:firstLine="0"/>
              <w:jc w:val="left"/>
            </w:pPr>
            <w:r>
              <w:rPr>
                <w:rFonts w:ascii="Times New Roman" w:hAnsi="Times New Roman" w:cs="Times New Roman" w:eastAsia="Times New Roman"/>
                <w:sz w:val="22"/>
              </w:rPr>
              <w:t xml:space="preserve">0%</w:t>
            </w:r>
          </w:p>
        </w:tc>
      </w:tr>
      <w:tr>
        <w:trPr>
          <w:cantSplit/>
        </w:trPr>
        <w:tc>
          <w:tcPr/>
          <w:p>
            <w:pPr>
              <w:pStyle w:val="Compact"/>
              <w:spacing w:line="240" w:lineRule="auto"/>
              <w:ind w:firstLine="0"/>
              <w:jc w:val="left"/>
            </w:pPr>
            <w:r>
              <w:rPr>
                <w:iCs/>
                <w:rFonts w:ascii="Times New Roman" w:hAnsi="Times New Roman" w:cs="Times New Roman" w:eastAsia="Times New Roman"/>
                <w:i/>
                <w:sz w:val="22"/>
              </w:rPr>
              <w:t xml:space="preserve">Talab qilinadigan barqaror moliyalashtirish</w:t>
            </w:r>
          </w:p>
        </w:tc>
        <w:tc>
          <w:tcPr/>
          <w:p>
            <w:pPr>
              <w:pStyle w:val="Compact"/>
              <w:spacing w:line="240" w:lineRule="auto"/>
              <w:ind w:firstLine="0"/>
              <w:jc w:val="left"/>
            </w:pPr>
          </w:p>
        </w:tc>
        <w:tc>
          <w:tcPr/>
          <w:p>
            <w:pPr>
              <w:pStyle w:val="Compact"/>
              <w:spacing w:line="240" w:lineRule="auto"/>
              <w:ind w:firstLine="0"/>
              <w:jc w:val="left"/>
            </w:pPr>
          </w:p>
        </w:tc>
      </w:tr>
      <w:tr>
        <w:trPr>
          <w:cantSplit/>
        </w:trPr>
        <w:tc>
          <w:tcPr/>
          <w:p>
            <w:pPr>
              <w:pStyle w:val="Compact"/>
              <w:spacing w:line="240" w:lineRule="auto"/>
              <w:ind w:firstLine="0"/>
              <w:jc w:val="left"/>
            </w:pPr>
            <w:r>
              <w:rPr>
                <w:rFonts w:ascii="Times New Roman" w:hAnsi="Times New Roman" w:cs="Times New Roman" w:eastAsia="Times New Roman"/>
                <w:sz w:val="22"/>
              </w:rPr>
              <w:t xml:space="preserve">Naqd pul, Markaziy bankdagi mablag‘lar, bir yilgacha yuqori likvid aktivlar</w:t>
            </w:r>
          </w:p>
        </w:tc>
        <w:tc>
          <w:tcPr/>
          <w:p>
            <w:pPr>
              <w:pStyle w:val="Compact"/>
              <w:spacing w:line="240" w:lineRule="auto"/>
              <w:ind w:firstLine="0"/>
              <w:jc w:val="left"/>
            </w:pPr>
            <w:r>
              <w:rPr>
                <w:rFonts w:ascii="Times New Roman" w:hAnsi="Times New Roman" w:cs="Times New Roman" w:eastAsia="Times New Roman"/>
                <w:sz w:val="22"/>
              </w:rPr>
              <w:t xml:space="preserve">0%</w:t>
            </w:r>
          </w:p>
        </w:tc>
        <w:tc>
          <w:tcPr/>
          <w:p>
            <w:pPr>
              <w:pStyle w:val="Compact"/>
              <w:spacing w:line="240" w:lineRule="auto"/>
              <w:ind w:firstLine="0"/>
              <w:jc w:val="left"/>
            </w:pPr>
            <w:r>
              <w:rPr>
                <w:rFonts w:ascii="Times New Roman" w:hAnsi="Times New Roman" w:cs="Times New Roman" w:eastAsia="Times New Roman"/>
                <w:sz w:val="22"/>
              </w:rPr>
              <w:t xml:space="preserve">0–5%</w:t>
            </w:r>
          </w:p>
        </w:tc>
      </w:tr>
      <w:tr>
        <w:trPr>
          <w:cantSplit/>
        </w:trPr>
        <w:tc>
          <w:tcPr/>
          <w:p>
            <w:pPr>
              <w:pStyle w:val="Compact"/>
              <w:spacing w:line="240" w:lineRule="auto"/>
              <w:ind w:firstLine="0"/>
              <w:jc w:val="left"/>
            </w:pPr>
            <w:r>
              <w:rPr>
                <w:rFonts w:ascii="Times New Roman" w:hAnsi="Times New Roman" w:cs="Times New Roman" w:eastAsia="Times New Roman"/>
                <w:sz w:val="22"/>
              </w:rPr>
              <w:t xml:space="preserve">Muddati bir yildan ortiq davlat qimmatli qog‘ozlari</w:t>
            </w:r>
          </w:p>
        </w:tc>
        <w:tc>
          <w:tcPr/>
          <w:p>
            <w:pPr>
              <w:pStyle w:val="Compact"/>
              <w:spacing w:line="240" w:lineRule="auto"/>
              <w:ind w:firstLine="0"/>
              <w:jc w:val="left"/>
            </w:pPr>
            <w:r>
              <w:rPr>
                <w:rFonts w:ascii="Times New Roman" w:hAnsi="Times New Roman" w:cs="Times New Roman" w:eastAsia="Times New Roman"/>
                <w:sz w:val="22"/>
              </w:rPr>
              <w:t xml:space="preserve">100%</w:t>
            </w:r>
          </w:p>
        </w:tc>
        <w:tc>
          <w:tcPr/>
          <w:p>
            <w:pPr>
              <w:pStyle w:val="Compact"/>
              <w:spacing w:line="240" w:lineRule="auto"/>
              <w:ind w:firstLine="0"/>
              <w:jc w:val="left"/>
            </w:pPr>
            <w:r>
              <w:rPr>
                <w:rFonts w:ascii="Times New Roman" w:hAnsi="Times New Roman" w:cs="Times New Roman" w:eastAsia="Times New Roman"/>
                <w:sz w:val="22"/>
              </w:rPr>
              <w:t xml:space="preserve">5%</w:t>
            </w:r>
          </w:p>
        </w:tc>
      </w:tr>
      <w:tr>
        <w:trPr>
          <w:cantSplit/>
        </w:trPr>
        <w:tc>
          <w:tcPr/>
          <w:p>
            <w:pPr>
              <w:pStyle w:val="Compact"/>
              <w:spacing w:line="240" w:lineRule="auto"/>
              <w:ind w:firstLine="0"/>
              <w:jc w:val="left"/>
            </w:pPr>
            <w:r>
              <w:rPr>
                <w:rFonts w:ascii="Times New Roman" w:hAnsi="Times New Roman" w:cs="Times New Roman" w:eastAsia="Times New Roman"/>
                <w:sz w:val="22"/>
              </w:rPr>
              <w:t xml:space="preserve">Banklarga olti oygacha joylashtirilgan mablag‘lar</w:t>
            </w:r>
          </w:p>
        </w:tc>
        <w:tc>
          <w:tcPr/>
          <w:p>
            <w:pPr>
              <w:pStyle w:val="Compact"/>
              <w:spacing w:line="240" w:lineRule="auto"/>
              <w:ind w:firstLine="0"/>
              <w:jc w:val="left"/>
            </w:pPr>
            <w:r>
              <w:rPr>
                <w:rFonts w:ascii="Times New Roman" w:hAnsi="Times New Roman" w:cs="Times New Roman" w:eastAsia="Times New Roman"/>
                <w:sz w:val="22"/>
              </w:rPr>
              <w:t xml:space="preserve">30% (yuqori likvid qismi – 0%)</w:t>
            </w:r>
          </w:p>
        </w:tc>
        <w:tc>
          <w:tcPr/>
          <w:p>
            <w:pPr>
              <w:pStyle w:val="Compact"/>
              <w:spacing w:line="240" w:lineRule="auto"/>
              <w:ind w:firstLine="0"/>
              <w:jc w:val="left"/>
            </w:pPr>
            <w:r>
              <w:rPr>
                <w:rFonts w:ascii="Times New Roman" w:hAnsi="Times New Roman" w:cs="Times New Roman" w:eastAsia="Times New Roman"/>
                <w:sz w:val="22"/>
              </w:rPr>
              <w:t xml:space="preserve">10–15%</w:t>
            </w:r>
          </w:p>
        </w:tc>
      </w:tr>
      <w:tr>
        <w:trPr>
          <w:cantSplit/>
        </w:trPr>
        <w:tc>
          <w:tcPr/>
          <w:p>
            <w:pPr>
              <w:pStyle w:val="Compact"/>
              <w:spacing w:line="240" w:lineRule="auto"/>
              <w:ind w:firstLine="0"/>
              <w:jc w:val="left"/>
            </w:pPr>
            <w:r>
              <w:rPr>
                <w:rFonts w:ascii="Times New Roman" w:hAnsi="Times New Roman" w:cs="Times New Roman" w:eastAsia="Times New Roman"/>
                <w:sz w:val="22"/>
              </w:rPr>
              <w:t xml:space="preserve">Mijozlarga bir yilgacha kreditlar</w:t>
            </w:r>
          </w:p>
        </w:tc>
        <w:tc>
          <w:tcPr/>
          <w:p>
            <w:pPr>
              <w:pStyle w:val="Compact"/>
              <w:spacing w:line="240" w:lineRule="auto"/>
              <w:ind w:firstLine="0"/>
              <w:jc w:val="left"/>
            </w:pPr>
            <w:r>
              <w:rPr>
                <w:rFonts w:ascii="Times New Roman" w:hAnsi="Times New Roman" w:cs="Times New Roman" w:eastAsia="Times New Roman"/>
                <w:sz w:val="22"/>
              </w:rPr>
              <w:t xml:space="preserve">30%</w:t>
            </w:r>
          </w:p>
        </w:tc>
        <w:tc>
          <w:tcPr/>
          <w:p>
            <w:pPr>
              <w:pStyle w:val="Compact"/>
              <w:spacing w:line="240" w:lineRule="auto"/>
              <w:ind w:firstLine="0"/>
              <w:jc w:val="left"/>
            </w:pPr>
            <w:r>
              <w:rPr>
                <w:rFonts w:ascii="Times New Roman" w:hAnsi="Times New Roman" w:cs="Times New Roman" w:eastAsia="Times New Roman"/>
                <w:sz w:val="22"/>
              </w:rPr>
              <w:t xml:space="preserve">50%</w:t>
            </w:r>
          </w:p>
        </w:tc>
      </w:tr>
      <w:tr>
        <w:trPr>
          <w:cantSplit/>
        </w:trPr>
        <w:tc>
          <w:tcPr/>
          <w:p>
            <w:pPr>
              <w:pStyle w:val="Compact"/>
              <w:spacing w:line="240" w:lineRule="auto"/>
              <w:ind w:firstLine="0"/>
              <w:jc w:val="left"/>
            </w:pPr>
            <w:r>
              <w:rPr>
                <w:rFonts w:ascii="Times New Roman" w:hAnsi="Times New Roman" w:cs="Times New Roman" w:eastAsia="Times New Roman"/>
                <w:sz w:val="22"/>
              </w:rPr>
              <w:t xml:space="preserve">Mijozlarga bir yildan ortiq ishlaydigan kreditlar</w:t>
            </w:r>
          </w:p>
        </w:tc>
        <w:tc>
          <w:tcPr/>
          <w:p>
            <w:pPr>
              <w:pStyle w:val="Compact"/>
              <w:spacing w:line="240" w:lineRule="auto"/>
              <w:ind w:firstLine="0"/>
              <w:jc w:val="left"/>
            </w:pPr>
            <w:r>
              <w:rPr>
                <w:rFonts w:ascii="Times New Roman" w:hAnsi="Times New Roman" w:cs="Times New Roman" w:eastAsia="Times New Roman"/>
                <w:sz w:val="22"/>
              </w:rPr>
              <w:t xml:space="preserve">100%</w:t>
            </w:r>
          </w:p>
        </w:tc>
        <w:tc>
          <w:tcPr/>
          <w:p>
            <w:pPr>
              <w:pStyle w:val="Compact"/>
              <w:spacing w:line="240" w:lineRule="auto"/>
              <w:ind w:firstLine="0"/>
              <w:jc w:val="left"/>
            </w:pPr>
            <w:r>
              <w:rPr>
                <w:rFonts w:ascii="Times New Roman" w:hAnsi="Times New Roman" w:cs="Times New Roman" w:eastAsia="Times New Roman"/>
                <w:sz w:val="22"/>
              </w:rPr>
              <w:t xml:space="preserve">65–85%</w:t>
            </w:r>
          </w:p>
        </w:tc>
      </w:tr>
      <w:tr>
        <w:trPr>
          <w:cantSplit/>
        </w:trPr>
        <w:tc>
          <w:tcPr/>
          <w:p>
            <w:pPr>
              <w:pStyle w:val="Compact"/>
              <w:spacing w:line="240" w:lineRule="auto"/>
              <w:ind w:firstLine="0"/>
              <w:jc w:val="left"/>
            </w:pPr>
            <w:r>
              <w:rPr>
                <w:rFonts w:ascii="Times New Roman" w:hAnsi="Times New Roman" w:cs="Times New Roman" w:eastAsia="Times New Roman"/>
                <w:sz w:val="22"/>
              </w:rPr>
              <w:t xml:space="preserve">Muammoli va sud jarayonidagi kreditlar</w:t>
            </w:r>
          </w:p>
        </w:tc>
        <w:tc>
          <w:tcPr/>
          <w:p>
            <w:pPr>
              <w:pStyle w:val="Compact"/>
              <w:spacing w:line="240" w:lineRule="auto"/>
              <w:ind w:firstLine="0"/>
              <w:jc w:val="left"/>
            </w:pPr>
            <w:r>
              <w:rPr>
                <w:rFonts w:ascii="Times New Roman" w:hAnsi="Times New Roman" w:cs="Times New Roman" w:eastAsia="Times New Roman"/>
                <w:sz w:val="22"/>
              </w:rPr>
              <w:t xml:space="preserve">100%</w:t>
            </w:r>
          </w:p>
        </w:tc>
        <w:tc>
          <w:tcPr/>
          <w:p>
            <w:pPr>
              <w:pStyle w:val="Compact"/>
              <w:spacing w:line="240" w:lineRule="auto"/>
              <w:ind w:firstLine="0"/>
              <w:jc w:val="left"/>
            </w:pPr>
            <w:r>
              <w:rPr>
                <w:rFonts w:ascii="Times New Roman" w:hAnsi="Times New Roman" w:cs="Times New Roman" w:eastAsia="Times New Roman"/>
                <w:sz w:val="22"/>
              </w:rPr>
              <w:t xml:space="preserve">100%</w:t>
            </w:r>
          </w:p>
        </w:tc>
      </w:tr>
      <w:tr>
        <w:trPr>
          <w:cantSplit/>
        </w:trPr>
        <w:tc>
          <w:tcPr/>
          <w:p>
            <w:pPr>
              <w:pStyle w:val="Compact"/>
              <w:spacing w:line="240" w:lineRule="auto"/>
              <w:ind w:firstLine="0"/>
              <w:jc w:val="left"/>
            </w:pPr>
            <w:r>
              <w:rPr>
                <w:rFonts w:ascii="Times New Roman" w:hAnsi="Times New Roman" w:cs="Times New Roman" w:eastAsia="Times New Roman"/>
                <w:sz w:val="22"/>
              </w:rPr>
              <w:t xml:space="preserve">Asosiy vositalar, investitsiyalar, boshqa nolikvid aktivlar</w:t>
            </w:r>
          </w:p>
        </w:tc>
        <w:tc>
          <w:tcPr/>
          <w:p>
            <w:pPr>
              <w:pStyle w:val="Compact"/>
              <w:spacing w:line="240" w:lineRule="auto"/>
              <w:ind w:firstLine="0"/>
              <w:jc w:val="left"/>
            </w:pPr>
            <w:r>
              <w:rPr>
                <w:rFonts w:ascii="Times New Roman" w:hAnsi="Times New Roman" w:cs="Times New Roman" w:eastAsia="Times New Roman"/>
                <w:sz w:val="22"/>
              </w:rPr>
              <w:t xml:space="preserve">100%</w:t>
            </w:r>
          </w:p>
        </w:tc>
        <w:tc>
          <w:tcPr/>
          <w:p>
            <w:pPr>
              <w:pStyle w:val="Compact"/>
              <w:spacing w:line="240" w:lineRule="auto"/>
              <w:ind w:firstLine="0"/>
              <w:jc w:val="left"/>
            </w:pPr>
            <w:r>
              <w:rPr>
                <w:rFonts w:ascii="Times New Roman" w:hAnsi="Times New Roman" w:cs="Times New Roman" w:eastAsia="Times New Roman"/>
                <w:sz w:val="22"/>
              </w:rPr>
              <w:t xml:space="preserve">100%</w:t>
            </w:r>
          </w:p>
        </w:tc>
      </w:tr>
      <w:tr>
        <w:trPr>
          <w:cantSplit/>
        </w:trPr>
        <w:tc>
          <w:tcPr/>
          <w:p>
            <w:pPr>
              <w:pStyle w:val="Compact"/>
              <w:spacing w:line="240" w:lineRule="auto"/>
              <w:ind w:firstLine="0"/>
              <w:jc w:val="left"/>
            </w:pPr>
            <w:r>
              <w:rPr>
                <w:rFonts w:ascii="Times New Roman" w:hAnsi="Times New Roman" w:cs="Times New Roman" w:eastAsia="Times New Roman"/>
                <w:sz w:val="22"/>
              </w:rPr>
              <w:t xml:space="preserve">Balansdan tashqari majburiyatlar</w:t>
            </w:r>
          </w:p>
        </w:tc>
        <w:tc>
          <w:tcPr/>
          <w:p>
            <w:pPr>
              <w:pStyle w:val="Compact"/>
              <w:spacing w:line="240" w:lineRule="auto"/>
              <w:ind w:firstLine="0"/>
              <w:jc w:val="left"/>
            </w:pPr>
            <w:r>
              <w:rPr>
                <w:rFonts w:ascii="Times New Roman" w:hAnsi="Times New Roman" w:cs="Times New Roman" w:eastAsia="Times New Roman"/>
                <w:sz w:val="22"/>
              </w:rPr>
              <w:t xml:space="preserve">15%</w:t>
            </w:r>
          </w:p>
        </w:tc>
        <w:tc>
          <w:tcPr/>
          <w:p>
            <w:pPr>
              <w:pStyle w:val="Compact"/>
              <w:spacing w:line="240" w:lineRule="auto"/>
              <w:ind w:firstLine="0"/>
              <w:jc w:val="left"/>
            </w:pPr>
            <w:r>
              <w:rPr>
                <w:rFonts w:ascii="Times New Roman" w:hAnsi="Times New Roman" w:cs="Times New Roman" w:eastAsia="Times New Roman"/>
                <w:sz w:val="22"/>
              </w:rPr>
              <w:t xml:space="preserve">5%</w:t>
            </w:r>
          </w:p>
        </w:tc>
      </w:tr>
    </w:tbl>
    <w:p>
      <w:pPr>
        <w:pStyle w:val="BodyText"/>
        <w:spacing w:line="360" w:lineRule="auto" w:before="0" w:after="0"/>
        <w:ind w:firstLine="709"/>
        <w:jc w:val="both"/>
      </w:pPr>
      <w:r>
        <w:rPr>
          <w:rFonts w:ascii="Times New Roman" w:hAnsi="Times New Roman" w:cs="Times New Roman" w:eastAsia="Times New Roman"/>
          <w:sz w:val="28"/>
        </w:rPr>
        <w:t xml:space="preserve">Markaziy bank koeffitsiyentlari nizomning 53–55-bandlari va 2-ilovasidagi hisoblash namunasi bilan solishtirildi</w:t>
      </w:r>
      <w:r>
        <w:rPr>
          <w:rStyle w:val="FootnoteReference"/>
        </w:rPr>
        <w:footnoteReference w:id="28"/>
      </w:r>
      <w:r>
        <w:rPr>
          <w:rFonts w:ascii="Times New Roman" w:hAnsi="Times New Roman" w:cs="Times New Roman" w:eastAsia="Times New Roman"/>
          <w:sz w:val="28"/>
        </w:rPr>
        <w:t xml:space="preserve">. Koeffitsiyentlar to‘liq mos keladi, biroq ikki jihatda nizom matni va bankning hisobot shakli o‘rtasida farq aniqlandi. Birinchidan, nizomda mavjud barqaror moliyalashtirish tarkibiga bankning regulyativ kapitali kiritilishi belgilangan, bankning hisobot shaklida esa xususiy kapital ko‘rsatilgan. «O‘zsanoatqurilishbank» ATB da regulyativ kapital (16 199,1 mlrd so‘m) xususiy kapitaldan (11 875,2 mlrd so‘m) ancha katta bo‘lgani uchun, nizom matni bo‘yicha hisoblanganda me’yor 122,2 foiz emas, taxminan 129,4 foizni tashkil etadi. Ikkinchidan, nizomda 30 foiz koeffitsiyent faqat depozitlar va qarz mablag‘lariga qo‘llanadi, hisobot shaklida esa bir yilgacha bo‘lgan barcha majburiyatlarga qo‘llangan. Ikkala holatda ham bankning amaldagi hisobot shakli nizomning 2015-yilgi matniga nisbatan ehtiyotkorroq natija beradi. Bu farqlar keyingi o‘zgartirishlar bilan bog‘liq bo‘lishi mumkin, shu sababli ularni nizomning amaldagi tahriri bilan tekshirish lozim.</w:t>
      </w:r>
    </w:p>
    <w:p>
      <w:pPr>
        <w:pStyle w:val="BodyText"/>
        <w:spacing w:line="360" w:lineRule="auto" w:before="0" w:after="0"/>
        <w:ind w:firstLine="709"/>
        <w:jc w:val="both"/>
      </w:pPr>
      <w:r>
        <w:rPr>
          <w:rFonts w:ascii="Times New Roman" w:hAnsi="Times New Roman" w:cs="Times New Roman" w:eastAsia="Times New Roman"/>
          <w:sz w:val="28"/>
        </w:rPr>
        <w:t xml:space="preserve">Jadval ma’lumotlari shuni ko‘rsatadiki, ikki metodika o‘rtasidagi asosiy farq kontragent turini hisobga olishda. Markaziy bank metodikasi qisqa muddatli resurslarni kim tomonidan joylashtirilganiga qaramay bir xil 30 foiz koeffitsiyent bilan baholaydi. Bazel III da esa jismoniy shaxslar depozitlari eng barqaror resurs sifatida 90–95 foiz, moliya institutlarining qisqa muddatli resurslari esa eng beqaror resurs sifatida 0 foiz koeffitsiyent oladi. Natijada depozit bazasi aholi va korxonalar mablag‘laridan iborat bank uchun milliy metodika me’yorni kamsitib, ulgurji bozordan qisqa muddatli resurs jalb qiluvchi bank uchun esa oshirib ko‘rsatadi. Aktivlar tomonida esa milliy metodika ba’zi jihatdan Bazel III dan qat’iyroq: muddati bir yildan ortiq davlat qimmatli qog‘ozlari unda 100 foiz, Bazel III da esa yuqori likvid aktiv sifatida atigi 5 foiz koeffitsiyent bilan olinadi.</w:t>
      </w:r>
    </w:p>
    <w:p>
      <w:pPr>
        <w:pStyle w:val="BodyText"/>
        <w:spacing w:line="360" w:lineRule="auto" w:before="0" w:after="0"/>
        <w:ind w:firstLine="709"/>
        <w:jc w:val="both"/>
      </w:pPr>
      <w:r>
        <w:rPr>
          <w:rFonts w:ascii="Times New Roman" w:hAnsi="Times New Roman" w:cs="Times New Roman" w:eastAsia="Times New Roman"/>
          <w:sz w:val="28"/>
        </w:rPr>
        <w:t xml:space="preserve">MHXS tuzatishlari uch qadamda kiritildi. Birinchi qadamda MHXS va milliy hisobot bo‘yicha xususiy kapital farqi (−1 601,3 mlrd so‘m) mavjud barqaror moliyalashtirishdan to‘liq chegirildi, chunki kapital har ikki metodikada 100 foiz koeffitsiyentga ega. Ikkinchi qadamda MHXS 9 bo‘yicha kutilgan kredit zararlari zaxirasi bilan milliy hisobotdagi kreditlar va ular bo‘yicha hisoblangan foizlar zaxiralari o‘rtasidagi farq (1 033,0 mlrd so‘m) sof kreditlar qiymatini kamaytiruvchi omil sifatida kreditlarning o‘rtacha koeffitsiyentiga ko‘paytirilib, talab qilinadigan barqaror moliyalashtirishdan ayirildi. Uchinchi qadamda MHXS 9 ning 3-bosqich kreditlari bilan milliy tasnifdagi muammoli kreditlar o‘rtasidagi sof qiymatdagi farq (2 900,9 mlrd so‘m) ishlaydigan kreditlardan muammoli kreditlarga o‘tkazildi va ularga 100 foiz koeffitsiyent qo‘llandi. Har bir variant bo‘yicha hisob-kitob natijalari 2-jadvalda keltirildi.</w:t>
      </w:r>
    </w:p>
    <w:p>
      <w:pPr>
        <w:pStyle w:val="BodyText"/>
        <w:keepNext/>
        <w:spacing w:line="360" w:lineRule="auto" w:before="120" w:after="0"/>
        <w:ind w:firstLine="0"/>
        <w:jc w:val="right"/>
      </w:pPr>
      <w:r>
        <w:rPr>
          <w:rFonts w:ascii="Times New Roman" w:hAnsi="Times New Roman" w:cs="Times New Roman" w:eastAsia="Times New Roman"/>
          <w:i/>
          <w:sz w:val="28"/>
        </w:rPr>
        <w:t xml:space="preserve">2-jadval</w:t>
      </w:r>
    </w:p>
    <w:p>
      <w:pPr>
        <w:pStyle w:val="BodyText"/>
        <w:keepNext/>
        <w:spacing w:line="240" w:lineRule="auto" w:before="0" w:after="120"/>
        <w:ind w:firstLine="0"/>
        <w:jc w:val="center"/>
      </w:pPr>
      <w:r>
        <w:rPr>
          <w:bCs/>
          <w:rFonts w:ascii="Times New Roman" w:hAnsi="Times New Roman" w:cs="Times New Roman" w:eastAsia="Times New Roman"/>
          <w:b/>
          <w:sz w:val="28"/>
        </w:rPr>
        <w:t xml:space="preserve">«O‘zsanoatqurilishbank» ATB ning sof barqaror moliyalashtirish me’yori: to‘rt variant bo‘yicha hisob-kitob, 2025-yil yakuni, mlrd so‘m</w:t>
      </w:r>
      <w:r>
        <w:rPr>
          <w:rStyle w:val="FootnoteReference"/>
        </w:rPr>
        <w:footnoteReference w:id="29"/>
      </w:r>
    </w:p>
    <w:tbl>
      <w:tblPr>
        <w:tblStyle w:val="Table"/>
        <w:tblW w:type="pct" w:w="5000"/>
        <w:tblLook w:firstRow="1" w:lastRow="0" w:firstColumn="0" w:lastColumn="0" w:noHBand="0" w:noVBand="0" w:val="0020"/>
        <w:jc w:val="start"/>
        <w:tblBorders>
          <w:top w:val="single" w:sz="4" w:color="000000"/>
          <w:left w:val="single" w:sz="4" w:color="000000"/>
          <w:bottom w:val="single" w:sz="4" w:color="000000"/>
          <w:right w:val="single" w:sz="4" w:color="000000"/>
          <w:insideH w:val="single" w:sz="4" w:color="000000"/>
          <w:insideV w:val="single" w:sz="4" w:color="000000"/>
        </w:tblBorders>
      </w:tblPr>
      <w:tblGrid>
        <w:gridCol w:w="1584"/>
        <w:gridCol w:w="1584"/>
        <w:gridCol w:w="1584"/>
        <w:gridCol w:w="1584"/>
        <w:gridCol w:w="1584"/>
      </w:tblGrid>
      <w:tr>
        <w:trPr>
          <w:tblHeader w:val="true"/>
          <w:cantSplit/>
          <w:tblHeader/>
        </w:trPr>
        <w:tc>
          <w:tcPr>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Tarkibiy qismlar</w:t>
            </w:r>
          </w:p>
        </w:tc>
        <w:tc>
          <w:tcPr>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1-variant</w:t>
            </w:r>
          </w:p>
        </w:tc>
        <w:tc>
          <w:tcPr>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2-variant</w:t>
            </w:r>
          </w:p>
        </w:tc>
        <w:tc>
          <w:tcPr>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3-variant</w:t>
            </w:r>
          </w:p>
        </w:tc>
        <w:tc>
          <w:tcPr>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4-variant</w:t>
            </w:r>
          </w:p>
        </w:tc>
      </w:tr>
      <w:tr>
        <w:trPr>
          <w:cantSplit/>
        </w:trPr>
        <w:tc>
          <w:tcPr/>
          <w:p>
            <w:pPr>
              <w:pStyle w:val="Compact"/>
              <w:spacing w:line="240" w:lineRule="auto"/>
              <w:ind w:firstLine="0"/>
              <w:jc w:val="left"/>
            </w:pPr>
            <w:r>
              <w:rPr>
                <w:rFonts w:ascii="Times New Roman" w:hAnsi="Times New Roman" w:cs="Times New Roman" w:eastAsia="Times New Roman"/>
                <w:sz w:val="22"/>
              </w:rPr>
              <w:t xml:space="preserve">Kapital</w:t>
            </w:r>
          </w:p>
        </w:tc>
        <w:tc>
          <w:tcPr/>
          <w:p>
            <w:pPr>
              <w:pStyle w:val="Compact"/>
              <w:spacing w:line="240" w:lineRule="auto"/>
              <w:ind w:firstLine="0"/>
              <w:jc w:val="left"/>
            </w:pPr>
            <w:r>
              <w:rPr>
                <w:rFonts w:ascii="Times New Roman" w:hAnsi="Times New Roman" w:cs="Times New Roman" w:eastAsia="Times New Roman"/>
                <w:sz w:val="22"/>
              </w:rPr>
              <w:t xml:space="preserve">11 875,2</w:t>
            </w:r>
          </w:p>
        </w:tc>
        <w:tc>
          <w:tcPr/>
          <w:p>
            <w:pPr>
              <w:pStyle w:val="Compact"/>
              <w:spacing w:line="240" w:lineRule="auto"/>
              <w:ind w:firstLine="0"/>
              <w:jc w:val="left"/>
            </w:pPr>
            <w:r>
              <w:rPr>
                <w:rFonts w:ascii="Times New Roman" w:hAnsi="Times New Roman" w:cs="Times New Roman" w:eastAsia="Times New Roman"/>
                <w:sz w:val="22"/>
              </w:rPr>
              <w:t xml:space="preserve">11 875,2</w:t>
            </w:r>
          </w:p>
        </w:tc>
        <w:tc>
          <w:tcPr/>
          <w:p>
            <w:pPr>
              <w:pStyle w:val="Compact"/>
              <w:spacing w:line="240" w:lineRule="auto"/>
              <w:ind w:firstLine="0"/>
              <w:jc w:val="left"/>
            </w:pPr>
            <w:r>
              <w:rPr>
                <w:rFonts w:ascii="Times New Roman" w:hAnsi="Times New Roman" w:cs="Times New Roman" w:eastAsia="Times New Roman"/>
                <w:sz w:val="22"/>
              </w:rPr>
              <w:t xml:space="preserve">10 273,8</w:t>
            </w:r>
          </w:p>
        </w:tc>
        <w:tc>
          <w:tcPr/>
          <w:p>
            <w:pPr>
              <w:pStyle w:val="Compact"/>
              <w:spacing w:line="240" w:lineRule="auto"/>
              <w:ind w:firstLine="0"/>
              <w:jc w:val="left"/>
            </w:pPr>
            <w:r>
              <w:rPr>
                <w:rFonts w:ascii="Times New Roman" w:hAnsi="Times New Roman" w:cs="Times New Roman" w:eastAsia="Times New Roman"/>
                <w:sz w:val="22"/>
              </w:rPr>
              <w:t xml:space="preserve">10 273,8</w:t>
            </w:r>
          </w:p>
        </w:tc>
      </w:tr>
      <w:tr>
        <w:trPr>
          <w:cantSplit/>
        </w:trPr>
        <w:tc>
          <w:tcPr/>
          <w:p>
            <w:pPr>
              <w:pStyle w:val="Compact"/>
              <w:spacing w:line="240" w:lineRule="auto"/>
              <w:ind w:firstLine="0"/>
              <w:jc w:val="left"/>
            </w:pPr>
            <w:r>
              <w:rPr>
                <w:rFonts w:ascii="Times New Roman" w:hAnsi="Times New Roman" w:cs="Times New Roman" w:eastAsia="Times New Roman"/>
                <w:sz w:val="22"/>
              </w:rPr>
              <w:t xml:space="preserve">Muddati bir yildan ortiq majburiyatlar</w:t>
            </w:r>
          </w:p>
        </w:tc>
        <w:tc>
          <w:tcPr/>
          <w:p>
            <w:pPr>
              <w:pStyle w:val="Compact"/>
              <w:spacing w:line="240" w:lineRule="auto"/>
              <w:ind w:firstLine="0"/>
              <w:jc w:val="left"/>
            </w:pPr>
            <w:r>
              <w:rPr>
                <w:rFonts w:ascii="Times New Roman" w:hAnsi="Times New Roman" w:cs="Times New Roman" w:eastAsia="Times New Roman"/>
                <w:sz w:val="22"/>
              </w:rPr>
              <w:t xml:space="preserve">50 126,3</w:t>
            </w:r>
          </w:p>
        </w:tc>
        <w:tc>
          <w:tcPr/>
          <w:p>
            <w:pPr>
              <w:pStyle w:val="Compact"/>
              <w:spacing w:line="240" w:lineRule="auto"/>
              <w:ind w:firstLine="0"/>
              <w:jc w:val="left"/>
            </w:pPr>
            <w:r>
              <w:rPr>
                <w:rFonts w:ascii="Times New Roman" w:hAnsi="Times New Roman" w:cs="Times New Roman" w:eastAsia="Times New Roman"/>
                <w:sz w:val="22"/>
              </w:rPr>
              <w:t xml:space="preserve">50 126,3</w:t>
            </w:r>
          </w:p>
        </w:tc>
        <w:tc>
          <w:tcPr/>
          <w:p>
            <w:pPr>
              <w:pStyle w:val="Compact"/>
              <w:spacing w:line="240" w:lineRule="auto"/>
              <w:ind w:firstLine="0"/>
              <w:jc w:val="left"/>
            </w:pPr>
            <w:r>
              <w:rPr>
                <w:rFonts w:ascii="Times New Roman" w:hAnsi="Times New Roman" w:cs="Times New Roman" w:eastAsia="Times New Roman"/>
                <w:sz w:val="22"/>
              </w:rPr>
              <w:t xml:space="preserve">50 126,3</w:t>
            </w:r>
          </w:p>
        </w:tc>
        <w:tc>
          <w:tcPr/>
          <w:p>
            <w:pPr>
              <w:pStyle w:val="Compact"/>
              <w:spacing w:line="240" w:lineRule="auto"/>
              <w:ind w:firstLine="0"/>
              <w:jc w:val="left"/>
            </w:pPr>
            <w:r>
              <w:rPr>
                <w:rFonts w:ascii="Times New Roman" w:hAnsi="Times New Roman" w:cs="Times New Roman" w:eastAsia="Times New Roman"/>
                <w:sz w:val="22"/>
              </w:rPr>
              <w:t xml:space="preserve">50 126,3</w:t>
            </w:r>
          </w:p>
        </w:tc>
      </w:tr>
      <w:tr>
        <w:trPr>
          <w:cantSplit/>
        </w:trPr>
        <w:tc>
          <w:tcPr/>
          <w:p>
            <w:pPr>
              <w:pStyle w:val="Compact"/>
              <w:spacing w:line="240" w:lineRule="auto"/>
              <w:ind w:firstLine="0"/>
              <w:jc w:val="left"/>
            </w:pPr>
            <w:r>
              <w:rPr>
                <w:rFonts w:ascii="Times New Roman" w:hAnsi="Times New Roman" w:cs="Times New Roman" w:eastAsia="Times New Roman"/>
                <w:sz w:val="22"/>
              </w:rPr>
              <w:t xml:space="preserve">Bir yilgacha va muddatsiz majburiyatlar (koeffitsiyent bilan)</w:t>
            </w:r>
          </w:p>
        </w:tc>
        <w:tc>
          <w:tcPr/>
          <w:p>
            <w:pPr>
              <w:pStyle w:val="Compact"/>
              <w:spacing w:line="240" w:lineRule="auto"/>
              <w:ind w:firstLine="0"/>
              <w:jc w:val="left"/>
            </w:pPr>
            <w:r>
              <w:rPr>
                <w:rFonts w:ascii="Times New Roman" w:hAnsi="Times New Roman" w:cs="Times New Roman" w:eastAsia="Times New Roman"/>
                <w:sz w:val="22"/>
              </w:rPr>
              <w:t xml:space="preserve">12 131,2</w:t>
            </w:r>
          </w:p>
        </w:tc>
        <w:tc>
          <w:tcPr/>
          <w:p>
            <w:pPr>
              <w:pStyle w:val="Compact"/>
              <w:spacing w:line="240" w:lineRule="auto"/>
              <w:ind w:firstLine="0"/>
              <w:jc w:val="left"/>
            </w:pPr>
            <w:r>
              <w:rPr>
                <w:rFonts w:ascii="Times New Roman" w:hAnsi="Times New Roman" w:cs="Times New Roman" w:eastAsia="Times New Roman"/>
                <w:sz w:val="22"/>
              </w:rPr>
              <w:t xml:space="preserve">16 156,4</w:t>
            </w:r>
          </w:p>
        </w:tc>
        <w:tc>
          <w:tcPr/>
          <w:p>
            <w:pPr>
              <w:pStyle w:val="Compact"/>
              <w:spacing w:line="240" w:lineRule="auto"/>
              <w:ind w:firstLine="0"/>
              <w:jc w:val="left"/>
            </w:pPr>
            <w:r>
              <w:rPr>
                <w:rFonts w:ascii="Times New Roman" w:hAnsi="Times New Roman" w:cs="Times New Roman" w:eastAsia="Times New Roman"/>
                <w:sz w:val="22"/>
              </w:rPr>
              <w:t xml:space="preserve">12 131,2</w:t>
            </w:r>
          </w:p>
        </w:tc>
        <w:tc>
          <w:tcPr/>
          <w:p>
            <w:pPr>
              <w:pStyle w:val="Compact"/>
              <w:spacing w:line="240" w:lineRule="auto"/>
              <w:ind w:firstLine="0"/>
              <w:jc w:val="left"/>
            </w:pPr>
            <w:r>
              <w:rPr>
                <w:rFonts w:ascii="Times New Roman" w:hAnsi="Times New Roman" w:cs="Times New Roman" w:eastAsia="Times New Roman"/>
                <w:sz w:val="22"/>
              </w:rPr>
              <w:t xml:space="preserve">16 156,4</w:t>
            </w:r>
          </w:p>
        </w:tc>
      </w:tr>
      <w:tr>
        <w:trPr>
          <w:cantSplit/>
        </w:trPr>
        <w:tc>
          <w:tcPr/>
          <w:p>
            <w:pPr>
              <w:pStyle w:val="Compact"/>
              <w:spacing w:line="240" w:lineRule="auto"/>
              <w:ind w:firstLine="0"/>
              <w:jc w:val="left"/>
            </w:pPr>
            <w:r>
              <w:rPr>
                <w:bCs/>
                <w:rFonts w:ascii="Times New Roman" w:hAnsi="Times New Roman" w:cs="Times New Roman" w:eastAsia="Times New Roman"/>
                <w:b/>
                <w:sz w:val="22"/>
              </w:rPr>
              <w:t xml:space="preserve">Mavjud barqaror moliyalashtirish</w:t>
            </w:r>
          </w:p>
        </w:tc>
        <w:tc>
          <w:tcPr/>
          <w:p>
            <w:pPr>
              <w:pStyle w:val="Compact"/>
              <w:spacing w:line="240" w:lineRule="auto"/>
              <w:ind w:firstLine="0"/>
              <w:jc w:val="left"/>
            </w:pPr>
            <w:r>
              <w:rPr>
                <w:bCs/>
                <w:rFonts w:ascii="Times New Roman" w:hAnsi="Times New Roman" w:cs="Times New Roman" w:eastAsia="Times New Roman"/>
                <w:b/>
                <w:sz w:val="22"/>
              </w:rPr>
              <w:t xml:space="preserve">74 132,6</w:t>
            </w:r>
          </w:p>
        </w:tc>
        <w:tc>
          <w:tcPr/>
          <w:p>
            <w:pPr>
              <w:pStyle w:val="Compact"/>
              <w:spacing w:line="240" w:lineRule="auto"/>
              <w:ind w:firstLine="0"/>
              <w:jc w:val="left"/>
            </w:pPr>
            <w:r>
              <w:rPr>
                <w:bCs/>
                <w:rFonts w:ascii="Times New Roman" w:hAnsi="Times New Roman" w:cs="Times New Roman" w:eastAsia="Times New Roman"/>
                <w:b/>
                <w:sz w:val="22"/>
              </w:rPr>
              <w:t xml:space="preserve">78 157,9</w:t>
            </w:r>
          </w:p>
        </w:tc>
        <w:tc>
          <w:tcPr/>
          <w:p>
            <w:pPr>
              <w:pStyle w:val="Compact"/>
              <w:spacing w:line="240" w:lineRule="auto"/>
              <w:ind w:firstLine="0"/>
              <w:jc w:val="left"/>
            </w:pPr>
            <w:r>
              <w:rPr>
                <w:bCs/>
                <w:rFonts w:ascii="Times New Roman" w:hAnsi="Times New Roman" w:cs="Times New Roman" w:eastAsia="Times New Roman"/>
                <w:b/>
                <w:sz w:val="22"/>
              </w:rPr>
              <w:t xml:space="preserve">72 531,3</w:t>
            </w:r>
          </w:p>
        </w:tc>
        <w:tc>
          <w:tcPr/>
          <w:p>
            <w:pPr>
              <w:pStyle w:val="Compact"/>
              <w:spacing w:line="240" w:lineRule="auto"/>
              <w:ind w:firstLine="0"/>
              <w:jc w:val="left"/>
            </w:pPr>
            <w:r>
              <w:rPr>
                <w:bCs/>
                <w:rFonts w:ascii="Times New Roman" w:hAnsi="Times New Roman" w:cs="Times New Roman" w:eastAsia="Times New Roman"/>
                <w:b/>
                <w:sz w:val="22"/>
              </w:rPr>
              <w:t xml:space="preserve">76 556,6</w:t>
            </w:r>
          </w:p>
        </w:tc>
      </w:tr>
      <w:tr>
        <w:trPr>
          <w:cantSplit/>
        </w:trPr>
        <w:tc>
          <w:tcPr/>
          <w:p>
            <w:pPr>
              <w:pStyle w:val="Compact"/>
              <w:spacing w:line="240" w:lineRule="auto"/>
              <w:ind w:firstLine="0"/>
              <w:jc w:val="left"/>
            </w:pPr>
            <w:r>
              <w:rPr>
                <w:rFonts w:ascii="Times New Roman" w:hAnsi="Times New Roman" w:cs="Times New Roman" w:eastAsia="Times New Roman"/>
                <w:sz w:val="22"/>
              </w:rPr>
              <w:t xml:space="preserve">Muddati bir yildan ortiq aktivlar (koeffitsiyent bilan)</w:t>
            </w:r>
          </w:p>
        </w:tc>
        <w:tc>
          <w:tcPr/>
          <w:p>
            <w:pPr>
              <w:pStyle w:val="Compact"/>
              <w:spacing w:line="240" w:lineRule="auto"/>
              <w:ind w:firstLine="0"/>
              <w:jc w:val="left"/>
            </w:pPr>
            <w:r>
              <w:rPr>
                <w:rFonts w:ascii="Times New Roman" w:hAnsi="Times New Roman" w:cs="Times New Roman" w:eastAsia="Times New Roman"/>
                <w:sz w:val="22"/>
              </w:rPr>
              <w:t xml:space="preserve">42 221,4</w:t>
            </w:r>
          </w:p>
        </w:tc>
        <w:tc>
          <w:tcPr/>
          <w:p>
            <w:pPr>
              <w:pStyle w:val="Compact"/>
              <w:spacing w:line="240" w:lineRule="auto"/>
              <w:ind w:firstLine="0"/>
              <w:jc w:val="left"/>
            </w:pPr>
            <w:r>
              <w:rPr>
                <w:rFonts w:ascii="Times New Roman" w:hAnsi="Times New Roman" w:cs="Times New Roman" w:eastAsia="Times New Roman"/>
                <w:sz w:val="22"/>
              </w:rPr>
              <w:t xml:space="preserve">35 639,3</w:t>
            </w:r>
          </w:p>
        </w:tc>
        <w:tc>
          <w:tcPr/>
          <w:p>
            <w:pPr>
              <w:pStyle w:val="Compact"/>
              <w:spacing w:line="240" w:lineRule="auto"/>
              <w:ind w:firstLine="0"/>
              <w:jc w:val="left"/>
            </w:pPr>
            <w:r>
              <w:rPr>
                <w:rFonts w:ascii="Times New Roman" w:hAnsi="Times New Roman" w:cs="Times New Roman" w:eastAsia="Times New Roman"/>
                <w:sz w:val="22"/>
              </w:rPr>
              <w:t xml:space="preserve">39 837,5</w:t>
            </w:r>
          </w:p>
        </w:tc>
        <w:tc>
          <w:tcPr/>
          <w:p>
            <w:pPr>
              <w:pStyle w:val="Compact"/>
              <w:spacing w:line="240" w:lineRule="auto"/>
              <w:ind w:firstLine="0"/>
              <w:jc w:val="left"/>
            </w:pPr>
            <w:r>
              <w:rPr>
                <w:rFonts w:ascii="Times New Roman" w:hAnsi="Times New Roman" w:cs="Times New Roman" w:eastAsia="Times New Roman"/>
                <w:sz w:val="22"/>
              </w:rPr>
              <w:t xml:space="preserve">33 613,0</w:t>
            </w:r>
          </w:p>
        </w:tc>
      </w:tr>
      <w:tr>
        <w:trPr>
          <w:cantSplit/>
        </w:trPr>
        <w:tc>
          <w:tcPr/>
          <w:p>
            <w:pPr>
              <w:pStyle w:val="Compact"/>
              <w:spacing w:line="240" w:lineRule="auto"/>
              <w:ind w:firstLine="0"/>
              <w:jc w:val="left"/>
            </w:pPr>
            <w:r>
              <w:rPr>
                <w:rFonts w:ascii="Times New Roman" w:hAnsi="Times New Roman" w:cs="Times New Roman" w:eastAsia="Times New Roman"/>
                <w:sz w:val="22"/>
              </w:rPr>
              <w:t xml:space="preserve">Muddati bir yilgacha aktivlar (koeffitsiyent bilan)</w:t>
            </w:r>
          </w:p>
        </w:tc>
        <w:tc>
          <w:tcPr/>
          <w:p>
            <w:pPr>
              <w:pStyle w:val="Compact"/>
              <w:spacing w:line="240" w:lineRule="auto"/>
              <w:ind w:firstLine="0"/>
              <w:jc w:val="left"/>
            </w:pPr>
            <w:r>
              <w:rPr>
                <w:rFonts w:ascii="Times New Roman" w:hAnsi="Times New Roman" w:cs="Times New Roman" w:eastAsia="Times New Roman"/>
                <w:sz w:val="22"/>
              </w:rPr>
              <w:t xml:space="preserve">11 317,3</w:t>
            </w:r>
          </w:p>
        </w:tc>
        <w:tc>
          <w:tcPr/>
          <w:p>
            <w:pPr>
              <w:pStyle w:val="Compact"/>
              <w:spacing w:line="240" w:lineRule="auto"/>
              <w:ind w:firstLine="0"/>
              <w:jc w:val="left"/>
            </w:pPr>
            <w:r>
              <w:rPr>
                <w:rFonts w:ascii="Times New Roman" w:hAnsi="Times New Roman" w:cs="Times New Roman" w:eastAsia="Times New Roman"/>
                <w:sz w:val="22"/>
              </w:rPr>
              <w:t xml:space="preserve">16 926,9</w:t>
            </w:r>
          </w:p>
        </w:tc>
        <w:tc>
          <w:tcPr/>
          <w:p>
            <w:pPr>
              <w:pStyle w:val="Compact"/>
              <w:spacing w:line="240" w:lineRule="auto"/>
              <w:ind w:firstLine="0"/>
              <w:jc w:val="left"/>
            </w:pPr>
            <w:r>
              <w:rPr>
                <w:rFonts w:ascii="Times New Roman" w:hAnsi="Times New Roman" w:cs="Times New Roman" w:eastAsia="Times New Roman"/>
                <w:sz w:val="22"/>
              </w:rPr>
              <w:t xml:space="preserve">10 852,7</w:t>
            </w:r>
          </w:p>
        </w:tc>
        <w:tc>
          <w:tcPr/>
          <w:p>
            <w:pPr>
              <w:pStyle w:val="Compact"/>
              <w:spacing w:line="240" w:lineRule="auto"/>
              <w:ind w:firstLine="0"/>
              <w:jc w:val="left"/>
            </w:pPr>
            <w:r>
              <w:rPr>
                <w:rFonts w:ascii="Times New Roman" w:hAnsi="Times New Roman" w:cs="Times New Roman" w:eastAsia="Times New Roman"/>
                <w:sz w:val="22"/>
              </w:rPr>
              <w:t xml:space="preserve">16 152,3</w:t>
            </w:r>
          </w:p>
        </w:tc>
      </w:tr>
      <w:tr>
        <w:trPr>
          <w:cantSplit/>
        </w:trPr>
        <w:tc>
          <w:tcPr/>
          <w:p>
            <w:pPr>
              <w:pStyle w:val="Compact"/>
              <w:spacing w:line="240" w:lineRule="auto"/>
              <w:ind w:firstLine="0"/>
              <w:jc w:val="left"/>
            </w:pPr>
            <w:r>
              <w:rPr>
                <w:rFonts w:ascii="Times New Roman" w:hAnsi="Times New Roman" w:cs="Times New Roman" w:eastAsia="Times New Roman"/>
                <w:sz w:val="22"/>
              </w:rPr>
              <w:t xml:space="preserve">Muammoli va sud jarayonidagi kreditlar</w:t>
            </w:r>
          </w:p>
        </w:tc>
        <w:tc>
          <w:tcPr/>
          <w:p>
            <w:pPr>
              <w:pStyle w:val="Compact"/>
              <w:spacing w:line="240" w:lineRule="auto"/>
              <w:ind w:firstLine="0"/>
              <w:jc w:val="left"/>
            </w:pPr>
            <w:r>
              <w:rPr>
                <w:rFonts w:ascii="Times New Roman" w:hAnsi="Times New Roman" w:cs="Times New Roman" w:eastAsia="Times New Roman"/>
                <w:sz w:val="22"/>
              </w:rPr>
              <w:t xml:space="preserve">2 639,0</w:t>
            </w:r>
          </w:p>
        </w:tc>
        <w:tc>
          <w:tcPr/>
          <w:p>
            <w:pPr>
              <w:pStyle w:val="Compact"/>
              <w:spacing w:line="240" w:lineRule="auto"/>
              <w:ind w:firstLine="0"/>
              <w:jc w:val="left"/>
            </w:pPr>
            <w:r>
              <w:rPr>
                <w:rFonts w:ascii="Times New Roman" w:hAnsi="Times New Roman" w:cs="Times New Roman" w:eastAsia="Times New Roman"/>
                <w:sz w:val="22"/>
              </w:rPr>
              <w:t xml:space="preserve">436,0</w:t>
            </w:r>
          </w:p>
        </w:tc>
        <w:tc>
          <w:tcPr/>
          <w:p>
            <w:pPr>
              <w:pStyle w:val="Compact"/>
              <w:spacing w:line="240" w:lineRule="auto"/>
              <w:ind w:firstLine="0"/>
              <w:jc w:val="left"/>
            </w:pPr>
            <w:r>
              <w:rPr>
                <w:rFonts w:ascii="Times New Roman" w:hAnsi="Times New Roman" w:cs="Times New Roman" w:eastAsia="Times New Roman"/>
                <w:sz w:val="22"/>
              </w:rPr>
              <w:t xml:space="preserve">5 539,9</w:t>
            </w:r>
          </w:p>
        </w:tc>
        <w:tc>
          <w:tcPr/>
          <w:p>
            <w:pPr>
              <w:pStyle w:val="Compact"/>
              <w:spacing w:line="240" w:lineRule="auto"/>
              <w:ind w:firstLine="0"/>
              <w:jc w:val="left"/>
            </w:pPr>
            <w:r>
              <w:rPr>
                <w:rFonts w:ascii="Times New Roman" w:hAnsi="Times New Roman" w:cs="Times New Roman" w:eastAsia="Times New Roman"/>
                <w:sz w:val="22"/>
              </w:rPr>
              <w:t xml:space="preserve">3 336,9</w:t>
            </w:r>
          </w:p>
        </w:tc>
      </w:tr>
      <w:tr>
        <w:trPr>
          <w:cantSplit/>
        </w:trPr>
        <w:tc>
          <w:tcPr/>
          <w:p>
            <w:pPr>
              <w:pStyle w:val="Compact"/>
              <w:spacing w:line="240" w:lineRule="auto"/>
              <w:ind w:firstLine="0"/>
              <w:jc w:val="left"/>
            </w:pPr>
            <w:r>
              <w:rPr>
                <w:rFonts w:ascii="Times New Roman" w:hAnsi="Times New Roman" w:cs="Times New Roman" w:eastAsia="Times New Roman"/>
                <w:sz w:val="22"/>
              </w:rPr>
              <w:t xml:space="preserve">Asosiy vositalar va boshqa nolikvid aktivlar</w:t>
            </w:r>
          </w:p>
        </w:tc>
        <w:tc>
          <w:tcPr/>
          <w:p>
            <w:pPr>
              <w:pStyle w:val="Compact"/>
              <w:spacing w:line="240" w:lineRule="auto"/>
              <w:ind w:firstLine="0"/>
              <w:jc w:val="left"/>
            </w:pPr>
            <w:r>
              <w:rPr>
                <w:rFonts w:ascii="Times New Roman" w:hAnsi="Times New Roman" w:cs="Times New Roman" w:eastAsia="Times New Roman"/>
                <w:sz w:val="22"/>
              </w:rPr>
              <w:t xml:space="preserve">3 767,7</w:t>
            </w:r>
          </w:p>
        </w:tc>
        <w:tc>
          <w:tcPr/>
          <w:p>
            <w:pPr>
              <w:pStyle w:val="Compact"/>
              <w:spacing w:line="240" w:lineRule="auto"/>
              <w:ind w:firstLine="0"/>
              <w:jc w:val="left"/>
            </w:pPr>
            <w:r>
              <w:rPr>
                <w:rFonts w:ascii="Times New Roman" w:hAnsi="Times New Roman" w:cs="Times New Roman" w:eastAsia="Times New Roman"/>
                <w:sz w:val="22"/>
              </w:rPr>
              <w:t xml:space="preserve">7 949,0</w:t>
            </w:r>
          </w:p>
        </w:tc>
        <w:tc>
          <w:tcPr/>
          <w:p>
            <w:pPr>
              <w:pStyle w:val="Compact"/>
              <w:spacing w:line="240" w:lineRule="auto"/>
              <w:ind w:firstLine="0"/>
              <w:jc w:val="left"/>
            </w:pPr>
            <w:r>
              <w:rPr>
                <w:rFonts w:ascii="Times New Roman" w:hAnsi="Times New Roman" w:cs="Times New Roman" w:eastAsia="Times New Roman"/>
                <w:sz w:val="22"/>
              </w:rPr>
              <w:t xml:space="preserve">3 767,7</w:t>
            </w:r>
          </w:p>
        </w:tc>
        <w:tc>
          <w:tcPr/>
          <w:p>
            <w:pPr>
              <w:pStyle w:val="Compact"/>
              <w:spacing w:line="240" w:lineRule="auto"/>
              <w:ind w:firstLine="0"/>
              <w:jc w:val="left"/>
            </w:pPr>
            <w:r>
              <w:rPr>
                <w:rFonts w:ascii="Times New Roman" w:hAnsi="Times New Roman" w:cs="Times New Roman" w:eastAsia="Times New Roman"/>
                <w:sz w:val="22"/>
              </w:rPr>
              <w:t xml:space="preserve">7 949,0</w:t>
            </w:r>
          </w:p>
        </w:tc>
      </w:tr>
      <w:tr>
        <w:trPr>
          <w:cantSplit/>
        </w:trPr>
        <w:tc>
          <w:tcPr/>
          <w:p>
            <w:pPr>
              <w:pStyle w:val="Compact"/>
              <w:spacing w:line="240" w:lineRule="auto"/>
              <w:ind w:firstLine="0"/>
              <w:jc w:val="left"/>
            </w:pPr>
            <w:r>
              <w:rPr>
                <w:rFonts w:ascii="Times New Roman" w:hAnsi="Times New Roman" w:cs="Times New Roman" w:eastAsia="Times New Roman"/>
                <w:sz w:val="22"/>
              </w:rPr>
              <w:t xml:space="preserve">Balansdan tashqari majburiyatlar</w:t>
            </w:r>
          </w:p>
        </w:tc>
        <w:tc>
          <w:tcPr/>
          <w:p>
            <w:pPr>
              <w:pStyle w:val="Compact"/>
              <w:spacing w:line="240" w:lineRule="auto"/>
              <w:ind w:firstLine="0"/>
              <w:jc w:val="left"/>
            </w:pPr>
            <w:r>
              <w:rPr>
                <w:rFonts w:ascii="Times New Roman" w:hAnsi="Times New Roman" w:cs="Times New Roman" w:eastAsia="Times New Roman"/>
                <w:sz w:val="22"/>
              </w:rPr>
              <w:t xml:space="preserve">702,2</w:t>
            </w:r>
          </w:p>
        </w:tc>
        <w:tc>
          <w:tcPr/>
          <w:p>
            <w:pPr>
              <w:pStyle w:val="Compact"/>
              <w:spacing w:line="240" w:lineRule="auto"/>
              <w:ind w:firstLine="0"/>
              <w:jc w:val="left"/>
            </w:pPr>
            <w:r>
              <w:rPr>
                <w:rFonts w:ascii="Times New Roman" w:hAnsi="Times New Roman" w:cs="Times New Roman" w:eastAsia="Times New Roman"/>
                <w:sz w:val="22"/>
              </w:rPr>
              <w:t xml:space="preserve">304,1</w:t>
            </w:r>
          </w:p>
        </w:tc>
        <w:tc>
          <w:tcPr/>
          <w:p>
            <w:pPr>
              <w:pStyle w:val="Compact"/>
              <w:spacing w:line="240" w:lineRule="auto"/>
              <w:ind w:firstLine="0"/>
              <w:jc w:val="left"/>
            </w:pPr>
            <w:r>
              <w:rPr>
                <w:rFonts w:ascii="Times New Roman" w:hAnsi="Times New Roman" w:cs="Times New Roman" w:eastAsia="Times New Roman"/>
                <w:sz w:val="22"/>
              </w:rPr>
              <w:t xml:space="preserve">702,2</w:t>
            </w:r>
          </w:p>
        </w:tc>
        <w:tc>
          <w:tcPr/>
          <w:p>
            <w:pPr>
              <w:pStyle w:val="Compact"/>
              <w:spacing w:line="240" w:lineRule="auto"/>
              <w:ind w:firstLine="0"/>
              <w:jc w:val="left"/>
            </w:pPr>
            <w:r>
              <w:rPr>
                <w:rFonts w:ascii="Times New Roman" w:hAnsi="Times New Roman" w:cs="Times New Roman" w:eastAsia="Times New Roman"/>
                <w:sz w:val="22"/>
              </w:rPr>
              <w:t xml:space="preserve">304,1</w:t>
            </w:r>
          </w:p>
        </w:tc>
      </w:tr>
      <w:tr>
        <w:trPr>
          <w:cantSplit/>
        </w:trPr>
        <w:tc>
          <w:tcPr/>
          <w:p>
            <w:pPr>
              <w:pStyle w:val="Compact"/>
              <w:spacing w:line="240" w:lineRule="auto"/>
              <w:ind w:firstLine="0"/>
              <w:jc w:val="left"/>
            </w:pPr>
            <w:r>
              <w:rPr>
                <w:bCs/>
                <w:rFonts w:ascii="Times New Roman" w:hAnsi="Times New Roman" w:cs="Times New Roman" w:eastAsia="Times New Roman"/>
                <w:b/>
                <w:sz w:val="22"/>
              </w:rPr>
              <w:t xml:space="preserve">Talab qilinadigan barqaror moliyalashtirish</w:t>
            </w:r>
          </w:p>
        </w:tc>
        <w:tc>
          <w:tcPr/>
          <w:p>
            <w:pPr>
              <w:pStyle w:val="Compact"/>
              <w:spacing w:line="240" w:lineRule="auto"/>
              <w:ind w:firstLine="0"/>
              <w:jc w:val="left"/>
            </w:pPr>
            <w:r>
              <w:rPr>
                <w:bCs/>
                <w:rFonts w:ascii="Times New Roman" w:hAnsi="Times New Roman" w:cs="Times New Roman" w:eastAsia="Times New Roman"/>
                <w:b/>
                <w:sz w:val="22"/>
              </w:rPr>
              <w:t xml:space="preserve">60 647,6</w:t>
            </w:r>
          </w:p>
        </w:tc>
        <w:tc>
          <w:tcPr/>
          <w:p>
            <w:pPr>
              <w:pStyle w:val="Compact"/>
              <w:spacing w:line="240" w:lineRule="auto"/>
              <w:ind w:firstLine="0"/>
              <w:jc w:val="left"/>
            </w:pPr>
            <w:r>
              <w:rPr>
                <w:bCs/>
                <w:rFonts w:ascii="Times New Roman" w:hAnsi="Times New Roman" w:cs="Times New Roman" w:eastAsia="Times New Roman"/>
                <w:b/>
                <w:sz w:val="22"/>
              </w:rPr>
              <w:t xml:space="preserve">61 255,3</w:t>
            </w:r>
          </w:p>
        </w:tc>
        <w:tc>
          <w:tcPr/>
          <w:p>
            <w:pPr>
              <w:pStyle w:val="Compact"/>
              <w:spacing w:line="240" w:lineRule="auto"/>
              <w:ind w:firstLine="0"/>
              <w:jc w:val="left"/>
            </w:pPr>
            <w:r>
              <w:rPr>
                <w:bCs/>
                <w:rFonts w:ascii="Times New Roman" w:hAnsi="Times New Roman" w:cs="Times New Roman" w:eastAsia="Times New Roman"/>
                <w:b/>
                <w:sz w:val="22"/>
              </w:rPr>
              <w:t xml:space="preserve">60 700,0</w:t>
            </w:r>
          </w:p>
        </w:tc>
        <w:tc>
          <w:tcPr/>
          <w:p>
            <w:pPr>
              <w:pStyle w:val="Compact"/>
              <w:spacing w:line="240" w:lineRule="auto"/>
              <w:ind w:firstLine="0"/>
              <w:jc w:val="left"/>
            </w:pPr>
            <w:r>
              <w:rPr>
                <w:bCs/>
                <w:rFonts w:ascii="Times New Roman" w:hAnsi="Times New Roman" w:cs="Times New Roman" w:eastAsia="Times New Roman"/>
                <w:b/>
                <w:sz w:val="22"/>
              </w:rPr>
              <w:t xml:space="preserve">61 355,3</w:t>
            </w:r>
          </w:p>
        </w:tc>
      </w:tr>
      <w:tr>
        <w:trPr>
          <w:cantSplit/>
        </w:trPr>
        <w:tc>
          <w:tcPr/>
          <w:p>
            <w:pPr>
              <w:pStyle w:val="Compact"/>
              <w:spacing w:line="240" w:lineRule="auto"/>
              <w:ind w:firstLine="0"/>
              <w:jc w:val="left"/>
            </w:pPr>
            <w:r>
              <w:rPr>
                <w:bCs/>
                <w:rFonts w:ascii="Times New Roman" w:hAnsi="Times New Roman" w:cs="Times New Roman" w:eastAsia="Times New Roman"/>
                <w:b/>
                <w:sz w:val="22"/>
              </w:rPr>
              <w:t xml:space="preserve">Sof barqaror moliyalashtirish me’yori, %</w:t>
            </w:r>
          </w:p>
        </w:tc>
        <w:tc>
          <w:tcPr/>
          <w:p>
            <w:pPr>
              <w:pStyle w:val="Compact"/>
              <w:spacing w:line="240" w:lineRule="auto"/>
              <w:ind w:firstLine="0"/>
              <w:jc w:val="left"/>
            </w:pPr>
            <w:r>
              <w:rPr>
                <w:bCs/>
                <w:rFonts w:ascii="Times New Roman" w:hAnsi="Times New Roman" w:cs="Times New Roman" w:eastAsia="Times New Roman"/>
                <w:b/>
                <w:sz w:val="22"/>
              </w:rPr>
              <w:t xml:space="preserve">122,2</w:t>
            </w:r>
          </w:p>
        </w:tc>
        <w:tc>
          <w:tcPr/>
          <w:p>
            <w:pPr>
              <w:pStyle w:val="Compact"/>
              <w:spacing w:line="240" w:lineRule="auto"/>
              <w:ind w:firstLine="0"/>
              <w:jc w:val="left"/>
            </w:pPr>
            <w:r>
              <w:rPr>
                <w:bCs/>
                <w:rFonts w:ascii="Times New Roman" w:hAnsi="Times New Roman" w:cs="Times New Roman" w:eastAsia="Times New Roman"/>
                <w:b/>
                <w:sz w:val="22"/>
              </w:rPr>
              <w:t xml:space="preserve">127,6</w:t>
            </w:r>
          </w:p>
        </w:tc>
        <w:tc>
          <w:tcPr/>
          <w:p>
            <w:pPr>
              <w:pStyle w:val="Compact"/>
              <w:spacing w:line="240" w:lineRule="auto"/>
              <w:ind w:firstLine="0"/>
              <w:jc w:val="left"/>
            </w:pPr>
            <w:r>
              <w:rPr>
                <w:bCs/>
                <w:rFonts w:ascii="Times New Roman" w:hAnsi="Times New Roman" w:cs="Times New Roman" w:eastAsia="Times New Roman"/>
                <w:b/>
                <w:sz w:val="22"/>
              </w:rPr>
              <w:t xml:space="preserve">119,5</w:t>
            </w:r>
          </w:p>
        </w:tc>
        <w:tc>
          <w:tcPr/>
          <w:p>
            <w:pPr>
              <w:pStyle w:val="Compact"/>
              <w:spacing w:line="240" w:lineRule="auto"/>
              <w:ind w:firstLine="0"/>
              <w:jc w:val="left"/>
            </w:pPr>
            <w:r>
              <w:rPr>
                <w:bCs/>
                <w:rFonts w:ascii="Times New Roman" w:hAnsi="Times New Roman" w:cs="Times New Roman" w:eastAsia="Times New Roman"/>
                <w:b/>
                <w:sz w:val="22"/>
              </w:rPr>
              <w:t xml:space="preserve">124,8</w:t>
            </w:r>
          </w:p>
        </w:tc>
      </w:tr>
    </w:tbl>
    <w:p>
      <w:pPr>
        <w:pStyle w:val="BodyText"/>
        <w:spacing w:line="360" w:lineRule="auto" w:before="0" w:after="0"/>
        <w:ind w:firstLine="709"/>
        <w:jc w:val="both"/>
      </w:pPr>
      <w:r>
        <w:rPr>
          <w:rFonts w:ascii="Times New Roman" w:hAnsi="Times New Roman" w:cs="Times New Roman" w:eastAsia="Times New Roman"/>
          <w:sz w:val="28"/>
        </w:rPr>
        <w:t xml:space="preserve">Jadvaldan ko‘rinib turibdiki, metodika ta’siri ijobiy, hisobot standarti ta’siri esa salbiy yo‘nalishda. Metodikani Bazel III ga o‘zgartirish me’yorni milliy hisobot bo‘yicha 5,4 foiz punktga, MHXS bo‘yicha 5,3 foiz punktga oshiradi. Bunga asosan aholi va korxonalar depozitlarining Bazel III da yuqoriroq koeffitsiyent bilan hisobga olinishi sabab bo‘ladi. MHXS tuzatishlari esa me’yorni Markaziy bank metodikasida 2,7 foiz punktga, Bazel III metodikasida 2,8 foiz punktga pasaytiradi va bunga asosan kapitalning kamligi va muammoli kreditlarning ko‘pligi sabab bo‘ladi (2-rasm).</w:t>
      </w:r>
    </w:p>
    <w:p>
      <w:pPr>
        <w:pStyle w:val="BodyText"/>
        <w:keepNext/>
        <w:spacing w:line="240" w:lineRule="auto" w:before="0" w:after="0"/>
        <w:ind w:firstLine="0"/>
        <w:jc w:val="center"/>
      </w:pPr>
      <w:r xmlns:c="http://schemas.openxmlformats.org/drawingml/2006/chart">
        <w:rPr>
          <w:noProof/>
        </w:rPr>
        <w:drawing>
          <wp:inline distT="0" distB="0" distL="0" distR="0">
            <wp:extent cx="5760000" cy="2880000"/>
            <wp:effectExtent l="0" t="0" r="0" b="0"/>
            <wp:docPr id="1002" name="2-rasm"/>
            <wp:cNvGraphicFramePr/>
            <a:graphic>
              <a:graphicData uri="http://schemas.openxmlformats.org/drawingml/2006/chart">
                <c:chart r:id="rId9"/>
              </a:graphicData>
            </a:graphic>
          </wp:inline>
        </w:drawing>
      </w:r>
    </w:p>
    <w:p>
      <w:pPr>
        <w:pStyle w:val="BodyText"/>
        <w:spacing w:line="240" w:lineRule="auto" w:before="120" w:after="240"/>
        <w:ind w:firstLine="0"/>
        <w:jc w:val="center"/>
      </w:pPr>
      <w:r>
        <w:rPr>
          <w:rFonts w:ascii="Times New Roman" w:hAnsi="Times New Roman" w:cs="Times New Roman" w:eastAsia="Times New Roman"/>
          <w:b/>
          <w:sz w:val="28"/>
        </w:rPr>
        <w:t xml:space="preserve">2-rasm. Sof barqaror moliyalashtirish me’yoridagi farqning metodika va hisobot standarti ta’siriga ajratilishi, foiz punkt</w:t>
      </w:r>
      <w:r>
        <w:rPr>
          <w:rStyle w:val="FootnoteReference"/>
        </w:rPr>
        <w:footnoteReference w:id="30"/>
      </w:r>
    </w:p>
    <w:p>
      <w:pPr>
        <w:pStyle w:val="BodyText"/>
        <w:spacing w:line="360" w:lineRule="auto" w:before="0" w:after="0"/>
        <w:ind w:firstLine="709"/>
        <w:jc w:val="both"/>
      </w:pPr>
      <w:r>
        <w:rPr>
          <w:rFonts w:ascii="Times New Roman" w:hAnsi="Times New Roman" w:cs="Times New Roman" w:eastAsia="Times New Roman"/>
          <w:sz w:val="28"/>
        </w:rPr>
        <w:t xml:space="preserve">Natijada quyidagi xulosaga kelish mumkin. To‘rt variantning har biri o‘z maqsadiga ega: birinchisi me’yorga rioya qilinishini nazorat qilish, ikkinchisi metodikani xalqaro standartga moslashtirish oqibatini baholash, uchinchisi MHXS 9 ga o‘tishning ta’sirini oldindan ko‘rish, to‘rtinchisi esa bankni xalqaro miqyosda solishtirish uchun xizmat qiladi. Metodika va hisobot standarti ta’siri qarama-qarshi yo‘nalishda bo‘lib, ular bir-birini qisman qoplaydi, shu sababli faqat yakuniy me’yorga qarab xulosa chiqarish uning tarkibidagi muhim o‘zgarishlarni yashirib qo‘yishi mumkin. Shu bois tadqiqotda moliyaviy barqarorlikni xalqaro standartlar asosida baholashda to‘rtinchi variant asosiy mezon sifatida, birinchi variant esa nazorat talablariga muvofiqlikni tekshirish uchun qo‘shimcha mezon sifatida qo‘llanadi.</w:t>
      </w:r>
    </w:p>
    <w:p>
      <w:pPr>
        <w:pStyle w:val="BodyText"/>
        <w:spacing w:line="360" w:lineRule="auto" w:before="0" w:after="0"/>
        <w:ind w:firstLine="709"/>
        <w:jc w:val="both"/>
      </w:pPr>
      <w:r>
        <w:rPr>
          <w:rFonts w:ascii="Times New Roman" w:hAnsi="Times New Roman" w:cs="Times New Roman" w:eastAsia="Times New Roman"/>
          <w:sz w:val="28"/>
        </w:rPr>
        <w:t xml:space="preserve">Hisob-kitobning cheklovlarini ham qayd etish lozim. Milliy hisobot alohida bank bo‘yicha 2025-yil 30-dekabr holatiga, MHXS hisoboti esa bank guruhi bo‘yicha 31-dekabr holatiga tuzilgan. Bazel III metodikasida jismoniy shaxslar depozitlarining barqaror va kamroq barqaror qismlarini ajratish uchun ma’lumot yo‘qligi sababli ularga ehtiyotkorlik bilan 90 foiz koeffitsiyent qo‘llandi, MHXS tuzatishlari esa eng muhim uch omil bo‘yicha taxminiy tarzda kiritildi. Shunga qaramay, olingan natijalar farqlarning yo‘nalishi va ko‘lamini ishonchli tarzda ko‘rsatadi.</w:t>
      </w:r>
    </w:p>
    <w:bookmarkEnd w:id="31"/>
    <w:sectPr>
      <w:pgMar w:left="1701" w:right="850" w:top="1134" w:bottom="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0">
    <w:p>
      <w:pPr>
        <w:pStyle w:val="FootnoteText"/>
      </w:pPr>
      <w:r>
        <w:rPr>
          <w:rStyle w:val="FootnoteReference"/>
        </w:rPr>
        <w:footnoteRef/>
      </w:r>
      <w:r>
        <w:t xml:space="preserve"> </w:t>
      </w:r>
      <w:r>
        <w:t xml:space="preserve">Tadqiqot natijasida muallif tomonidan ishlab chiqildi.</w:t>
      </w:r>
    </w:p>
  </w:footnote>
  <w:footnote w:id="21">
    <w:p>
      <w:pPr>
        <w:pStyle w:val="FootnoteText"/>
      </w:pPr>
      <w:r>
        <w:rPr>
          <w:rStyle w:val="FootnoteReference"/>
        </w:rPr>
        <w:footnoteRef/>
      </w:r>
      <w:r>
        <w:t xml:space="preserve"> </w:t>
      </w:r>
      <w:r>
        <w:t xml:space="preserve">Basel Committee on Banking Supervision. Basel III: the net stable funding ratio. – Basel: Bank for International Settlements, October 2014.</w:t>
      </w:r>
    </w:p>
  </w:footnote>
  <w:footnote w:id="22">
    <w:p>
      <w:pPr>
        <w:pStyle w:val="FootnoteText"/>
      </w:pPr>
      <w:r>
        <w:rPr>
          <w:rStyle w:val="FootnoteReference"/>
        </w:rPr>
        <w:footnoteRef/>
      </w:r>
      <w:r>
        <w:t xml:space="preserve"> </w:t>
      </w:r>
      <w:r>
        <w:t xml:space="preserve">Basel Committee on Banking Supervision. Regulatory treatment of accounting provisions – interim approach and transitional arrangements. – Basel: Bank for International Settlements, March 2017.</w:t>
      </w:r>
    </w:p>
  </w:footnote>
  <w:footnote w:id="23">
    <w:p>
      <w:pPr>
        <w:pStyle w:val="FootnoteText"/>
      </w:pPr>
      <w:r>
        <w:rPr>
          <w:rStyle w:val="FootnoteReference"/>
        </w:rPr>
        <w:footnoteRef/>
      </w:r>
      <w:r>
        <w:t xml:space="preserve"> </w:t>
      </w:r>
      <w:r>
        <w:t xml:space="preserve">O‘zbekiston Respublikasi Markaziy banki Boshqaruvining 2015-yil 22-iyuldagi 19/14-son qarori bilan tasdiqlangan «Tijorat banklarining likvidliligini boshqarishga qo‘yiladigan talablar to‘g‘risida»gi nizom (ro‘yxat raqami 2709); «O‘zsanoatqurilishbank» ATB ning likvidlik tahlili (16-jadval), 2025-yil 30-dekabr.</w:t>
      </w:r>
    </w:p>
  </w:footnote>
  <w:footnote w:id="24">
    <w:p>
      <w:pPr>
        <w:pStyle w:val="FootnoteText"/>
      </w:pPr>
      <w:r>
        <w:rPr>
          <w:rStyle w:val="FootnoteReference"/>
        </w:rPr>
        <w:footnoteRef/>
      </w:r>
      <w:r>
        <w:t xml:space="preserve"> </w:t>
      </w:r>
      <w:r>
        <w:t xml:space="preserve">Basel Committee on Banking Supervision. Basel III: the net stable funding ratio. – Basel: Bank for International Settlements, October 2014.</w:t>
      </w:r>
    </w:p>
  </w:footnote>
  <w:footnote w:id="25">
    <w:p>
      <w:pPr>
        <w:pStyle w:val="FootnoteText"/>
      </w:pPr>
      <w:r>
        <w:rPr>
          <w:rStyle w:val="FootnoteReference"/>
        </w:rPr>
        <w:footnoteRef/>
      </w:r>
      <w:r>
        <w:t xml:space="preserve"> </w:t>
      </w:r>
      <w:r>
        <w:t xml:space="preserve">O‘zbekiston Respublikasi Markaziy banki. Moliya sektorini baholash dasturi (FSAP) tavsiyalarini amalga oshirish bo‘yicha 2025–2028-yillarga mo‘ljallangan «yo‘l xaritasi».</w:t>
      </w:r>
    </w:p>
  </w:footnote>
  <w:footnote w:id="26">
    <w:p>
      <w:pPr>
        <w:pStyle w:val="FootnoteText"/>
      </w:pPr>
      <w:r>
        <w:rPr>
          <w:rStyle w:val="FootnoteReference"/>
        </w:rPr>
        <w:footnoteRef/>
      </w:r>
      <w:r>
        <w:t xml:space="preserve"> </w:t>
      </w:r>
      <w:r>
        <w:t xml:space="preserve">O‘zbekiston Respublikasi Markaziy banki. Moliya sektorini baholash dasturi (FSAP) tavsiyalarini amalga oshirish bo‘yicha 2025–2028-yillarga mo‘ljallangan «yo‘l xaritasi».</w:t>
      </w:r>
    </w:p>
  </w:footnote>
  <w:footnote w:id="27">
    <w:p>
      <w:pPr>
        <w:pStyle w:val="FootnoteText"/>
      </w:pPr>
      <w:r>
        <w:rPr>
          <w:rStyle w:val="FootnoteReference"/>
        </w:rPr>
        <w:footnoteRef/>
      </w:r>
      <w:r>
        <w:t xml:space="preserve"> </w:t>
      </w:r>
      <w:r>
        <w:t xml:space="preserve">Tadqiqot natijasida muallif tomonidan quyidagi manbalar asosida ishlab chiqildi: «O‘zsanoatqurilishbank» ATB ning likvidlik tahlili (16-jadval), 2025-yil 30-dekabr; Basel Committee on Banking Supervision. Basel III: the net stable funding ratio. – Basel: BIS, October 2014.</w:t>
      </w:r>
    </w:p>
  </w:footnote>
  <w:footnote w:id="28">
    <w:p>
      <w:pPr>
        <w:pStyle w:val="FootnoteText"/>
      </w:pPr>
      <w:r>
        <w:rPr>
          <w:rStyle w:val="FootnoteReference"/>
        </w:rPr>
        <w:footnoteRef/>
      </w:r>
      <w:r>
        <w:t xml:space="preserve"> </w:t>
      </w:r>
      <w:r>
        <w:t xml:space="preserve">O‘zbekiston Respublikasi Markaziy banki Boshqaruvining 2015-yil 22-iyuldagi 19/14-son qarori bilan tasdiqlangan «Tijorat banklarining likvidliligini boshqarishga qo‘yiladigan talablar to‘g‘risida»gi nizom (ro‘yxat raqami 2709). – 53–55-bandlar, 2-ilova // O‘zbekiston Respublikasi qonun hujjatlari to‘plami. – 2015. – 32 (688)-son. – 437-modda.</w:t>
      </w:r>
    </w:p>
  </w:footnote>
  <w:footnote w:id="29">
    <w:p>
      <w:pPr>
        <w:pStyle w:val="FootnoteText"/>
      </w:pPr>
      <w:r>
        <w:rPr>
          <w:rStyle w:val="FootnoteReference"/>
        </w:rPr>
        <w:footnoteRef/>
      </w:r>
      <w:r>
        <w:t xml:space="preserve"> </w:t>
      </w:r>
      <w:r>
        <w:t xml:space="preserve">Tadqiqot natijasida muallif tomonidan quyidagi manbalar ma’lumotlari asosida hisoblandi: «O‘zsanoatqurilishbank» ATB ning 2025-yil 30-dekabr holatidagi prudensial hisobot shakllari (1, 10, 16–18-jadvallar); Joint Stock Commercial Bank «Uzbek Industrial and Construction Bank» and its subsidiaries. Consolidated Financial Statements for the year ended 31 December 2025. – Tashkent, 2026. – P. 2–3, 28–31.</w:t>
      </w:r>
    </w:p>
  </w:footnote>
  <w:footnote w:id="30">
    <w:p>
      <w:pPr>
        <w:pStyle w:val="FootnoteText"/>
      </w:pPr>
      <w:r>
        <w:rPr>
          <w:rStyle w:val="FootnoteReference"/>
        </w:rPr>
        <w:footnoteRef/>
      </w:r>
      <w:r>
        <w:t xml:space="preserve"> </w:t>
      </w:r>
      <w:r>
        <w:t xml:space="preserve">Tadqiqot natijasida muallif tomonidan ishlab chiqildi.</w:t>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Times New Roman" w:hAnsi="Times New Roman"/>
    </w:rPr>
  </w:style>
  <w:style w:styleId="BodyText" w:type="paragraph">
    <w:name w:val="Body Text"/>
    <w:basedOn w:val="Normal"/>
    <w:link w:val="BodyTextChar"/>
    <w:pPr>
      <w:spacing w:after="180" w:before="180"/>
    </w:pPr>
    <w:qFormat/>
    <w:rPr>
      <w:rFonts w:ascii="Times New Roman" w:hAnsi="Times New Roman"/>
    </w:rPr>
  </w:style>
  <w:style w:customStyle="1" w:styleId="FirstParagraph" w:type="paragraph">
    <w:name w:val="First Paragraph"/>
    <w:basedOn w:val="BodyText"/>
    <w:next w:val="BodyText"/>
    <w:qFormat/>
    <w:rPr>
      <w:rFonts w:ascii="Times New Roman" w:hAnsi="Times New Roman"/>
    </w:rPr>
  </w:style>
  <w:style w:customStyle="1" w:styleId="Compact" w:type="paragraph">
    <w:name w:val="Compact"/>
    <w:basedOn w:val="BodyText"/>
    <w:qFormat/>
    <w:pPr>
      <w:spacing w:after="36" w:before="36"/>
    </w:pPr>
    <w:rPr>
      <w:rFonts w:ascii="Times New Roman" w:hAnsi="Times New Roman"/>
    </w:r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ascii="Times New Roman" w:hAnsi="Times New Roman"/>
      <w:b/>
      <w:bCs/>
      <w:sz w:val="36"/>
      <w:szCs w:val="36"/>
    </w:rPr>
  </w:style>
  <w:style w:styleId="Subtitle" w:type="paragraph">
    <w:name w:val="Subtitle"/>
    <w:basedOn w:val="Title"/>
    <w:next w:val="BodyText"/>
    <w:qFormat/>
    <w:pPr>
      <w:keepNext/>
      <w:keepLines/>
      <w:spacing w:after="240" w:before="240"/>
      <w:jc w:val="center"/>
    </w:pPr>
    <w:rPr>
      <w:rFonts w:ascii="Times New Roman" w:hAnsi="Times New Roman"/>
      <w:sz w:val="30"/>
      <w:szCs w:val="30"/>
    </w:rPr>
  </w:style>
  <w:style w:customStyle="1" w:styleId="Author" w:type="paragraph">
    <w:name w:val="Author"/>
    <w:next w:val="BodyText"/>
    <w:qFormat/>
    <w:pPr>
      <w:keepNext/>
      <w:keepLines/>
      <w:jc w:val="center"/>
    </w:pPr>
    <w:rPr>
      <w:rFonts w:ascii="Times New Roman" w:hAnsi="Times New Roman"/>
    </w:rPr>
  </w:style>
  <w:style w:styleId="Date" w:type="paragraph">
    <w:name w:val="Date"/>
    <w:next w:val="BodyText"/>
    <w:qFormat/>
    <w:pPr>
      <w:keepNext/>
      <w:keepLines/>
      <w:jc w:val="center"/>
    </w:pPr>
    <w:rPr>
      <w:rFonts w:ascii="Times New Roman" w:hAnsi="Times New Roman"/>
    </w:rPr>
  </w:style>
  <w:style w:customStyle="1" w:styleId="AbstractTitle" w:type="paragraph">
    <w:name w:val="Abstract Title"/>
    <w:basedOn w:val="Normal"/>
    <w:next w:val="Abstract"/>
    <w:qFormat/>
    <w:pPr>
      <w:keepNext/>
      <w:keepLines/>
      <w:jc w:val="center"/>
      <w:spacing w:after="0" w:before="300"/>
    </w:pPr>
    <w:rPr>
      <w:sz w:val="20"/>
      <w:szCs w:val="20"/>
      <w:rFonts w:ascii="Times New Roman" w:hAnsi="Times New Roman"/>
      <w:b/>
    </w:rPr>
  </w:style>
  <w:style w:customStyle="1" w:styleId="Abstract" w:type="paragraph">
    <w:name w:val="Abstract"/>
    <w:basedOn w:val="Normal"/>
    <w:next w:val="BodyText"/>
    <w:qFormat/>
    <w:pPr>
      <w:keepNext/>
      <w:keepLines/>
      <w:spacing w:after="300" w:before="100"/>
    </w:pPr>
    <w:rPr>
      <w:rFonts w:ascii="Times New Roman" w:hAnsi="Times New Roman"/>
      <w:sz w:val="20"/>
      <w:szCs w:val="20"/>
    </w:rPr>
  </w:style>
  <w:style w:styleId="Bibliography" w:type="paragraph">
    <w:name w:val="Bibliography"/>
    <w:basedOn w:val="Normal"/>
    <w:next w:val="Bibliography"/>
    <w:qFormat/>
    <w:pPr/>
    <w:rPr>
      <w:rFonts w:ascii="Times New Roman" w:hAnsi="Times New Roman"/>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ascii="Times New Roman" w:hAnsi="Times New Roman"/>
      <w:b/>
      <w:bCs/>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ascii="Times New Roman" w:hAnsi="Times New Roman"/>
      <w:b/>
      <w:bCs/>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ascii="Times New Roman" w:hAnsi="Times New Roman"/>
      <w:b/>
      <w:bCs/>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ascii="Times New Roman" w:hAnsi="Times New Roman"/>
      <w:i/>
      <w:bCs/>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ascii="Times New Roman" w:hAnsi="Times New Roman"/>
      <w:iCs/>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ascii="Times New Roman" w:hAnsi="Times New Roman"/>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ascii="Times New Roman" w:hAnsi="Times New Roman"/>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ascii="Times New Roman" w:hAnsi="Times New Roman"/>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ascii="Times New Roman" w:hAnsi="Times New Roman"/>
      <w:sz w:val="24"/>
      <w:szCs w:val="24"/>
    </w:rPr>
  </w:style>
  <w:style w:styleId="BlockText" w:type="paragraph">
    <w:name w:val="Block Text"/>
    <w:basedOn w:val="BodyText"/>
    <w:next w:val="BodyText"/>
    <w:uiPriority w:val="9"/>
    <w:unhideWhenUsed/>
    <w:qFormat/>
    <w:pPr>
      <w:spacing w:after="100" w:before="100"/>
      <w:ind w:firstLine="0" w:left="480" w:right="480"/>
    </w:pPr>
    <w:rPr>
      <w:rFonts w:ascii="Times New Roman" w:hAnsi="Times New Roman"/>
    </w:rPr>
  </w:style>
  <w:style w:styleId="FootnoteText" w:type="paragraph">
    <w:name w:val="Footnote Text"/>
    <w:basedOn w:val="Normal"/>
    <w:next w:val="FootnoteText"/>
    <w:uiPriority w:val="9"/>
    <w:unhideWhenUsed/>
    <w:qFormat/>
    <w:pPr>
      <w:spacing w:line="240" w:lineRule="auto" w:after="0"/>
      <w:ind w:firstLine="0"/>
      <w:jc w:val="both"/>
    </w:pPr>
    <w:rPr>
      <w:rFonts w:ascii="Times New Roman" w:hAnsi="Times New Roman"/>
      <w:sz w:val="20"/>
    </w:rPr>
  </w:style>
  <w:style w:default="1" w:styleId="DefaultParagraphFont" w:type="character">
    <w:name w:val="Default Paragraph Font"/>
    <w:semiHidden/>
    <w:unhideWhenUsed/>
    <w:rPr>
      <w:rFonts w:ascii="Times New Roman" w:hAnsi="Times New Roman"/>
    </w:rPr>
  </w:style>
  <w:style w:default="1" w:styleId="Table" w:type="table">
    <w:name w:val="Table"/>
    <w:basedOn w:val="TableNormal"/>
    <w:semiHidden/>
    <w:unhideWhenUsed/>
    <w:qFormat/>
    <w:rPr>
      <w:rFonts w:ascii="Times New Roman" w:hAnsi="Times New Roman"/>
    </w:rPr>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rFonts w:ascii="Times New Roman" w:hAnsi="Times New Roman"/>
      <w:b/>
    </w:rPr>
  </w:style>
  <w:style w:customStyle="1" w:styleId="Definition" w:type="paragraph">
    <w:name w:val="Definition"/>
    <w:basedOn w:val="Normal"/>
    <w:rPr>
      <w:rFonts w:ascii="Times New Roman" w:hAnsi="Times New Roman"/>
    </w:rPr>
  </w:style>
  <w:style w:styleId="Caption" w:type="paragraph">
    <w:name w:val="Caption"/>
    <w:basedOn w:val="Normal"/>
    <w:link w:val="BodyTextChar"/>
    <w:pPr>
      <w:spacing w:after="120" w:before="0"/>
    </w:pPr>
    <w:rPr>
      <w:rFonts w:ascii="Times New Roman" w:hAnsi="Times New Roman"/>
      <w:i/>
    </w:rPr>
  </w:style>
  <w:style w:customStyle="1" w:styleId="TableCaption" w:type="paragraph">
    <w:name w:val="Table Caption"/>
    <w:basedOn w:val="Caption"/>
    <w:pPr>
      <w:keepNext/>
    </w:pPr>
    <w:rPr>
      <w:rFonts w:ascii="Times New Roman" w:hAnsi="Times New Roman"/>
    </w:rPr>
  </w:style>
  <w:style w:customStyle="1" w:styleId="ImageCaption" w:type="paragraph">
    <w:name w:val="Image Caption"/>
    <w:basedOn w:val="Caption"/>
    <w:rPr>
      <w:rFonts w:ascii="Times New Roman" w:hAnsi="Times New Roman"/>
    </w:rPr>
  </w:style>
  <w:style w:customStyle="1" w:styleId="Figure" w:type="paragraph">
    <w:name w:val="Figure"/>
    <w:basedOn w:val="Normal"/>
    <w:rPr>
      <w:rFonts w:ascii="Times New Roman" w:hAnsi="Times New Roman"/>
    </w:rPr>
  </w:style>
  <w:style w:customStyle="1" w:styleId="CaptionedFigure" w:type="paragraph">
    <w:name w:val="Captioned Figure"/>
    <w:basedOn w:val="Figure"/>
    <w:pPr>
      <w:keepNext/>
    </w:pPr>
    <w:rPr>
      <w:rFonts w:ascii="Times New Roman" w:hAnsi="Times New Roman"/>
    </w:rPr>
  </w:style>
  <w:style w:customStyle="1" w:styleId="BodyTextChar" w:type="character">
    <w:name w:val="Body Text Char"/>
    <w:basedOn w:val="DefaultParagraphFont"/>
    <w:link w:val="BodyText"/>
    <w:rPr>
      <w:rFonts w:ascii="Times New Roman" w:hAnsi="Times New Roman"/>
    </w:rPr>
  </w:style>
  <w:style w:customStyle="1" w:styleId="VerbatimChar" w:type="character">
    <w:name w:val="Verbatim Char"/>
    <w:basedOn w:val="BodyTextChar"/>
    <w:rPr>
      <w:rFonts w:ascii="Times New Roman" w:hAnsi="Times New Roman"/>
      <w:sz w:val="22"/>
    </w:rPr>
  </w:style>
  <w:style w:customStyle="1" w:styleId="SectionNumber" w:type="character">
    <w:name w:val="Section Number"/>
    <w:basedOn w:val="BodyTextChar"/>
    <w:rPr>
      <w:rFonts w:ascii="Times New Roman" w:hAnsi="Times New Roman"/>
    </w:rPr>
  </w:style>
  <w:style w:styleId="FootnoteReference" w:type="character">
    <w:name w:val="Footnote Reference"/>
    <w:basedOn w:val="BodyTextChar"/>
    <w:rPr>
      <w:rFonts w:ascii="Times New Roman" w:hAnsi="Times New Roman"/>
      <w:vertAlign w:val="superscript"/>
    </w:rPr>
  </w:style>
  <w:style w:styleId="Hyperlink" w:type="character">
    <w:name w:val="Hyperlink"/>
    <w:basedOn w:val="BodyTextChar"/>
    <w:rPr>
      <w:rFonts w:ascii="Times New Roman" w:hAnsi="Times New Roman"/>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ascii="Times New Roman" w:hAnsi="Times New Roman"/>
      <w:b w:val="0"/>
      <w:bCs w:val="0"/>
    </w:rPr>
  </w:style>
  <w:style w:type="paragraph" w:customStyle="1" w:styleId="SourceCode">
    <w:name w:val="Source Code"/>
    <w:basedOn w:val="Normal"/>
    <w:link w:val="VerbatimChar"/>
    <w:pPr>
      <w:wordWrap w:val="off"/>
    </w:pPr>
    <w:rPr>
      <w:rFonts w:ascii="Times New Roman" w:hAnsi="Times New Roman"/>
    </w:rPr>
  </w:style>
  <w:style w:type="character" w:customStyle="1" w:styleId="KeywordTok">
    <w:name w:val="KeywordTok"/>
    <w:basedOn w:val="VerbatimChar"/>
    <w:rPr>
      <w:rFonts w:ascii="Times New Roman" w:hAnsi="Times New Roman"/>
      <w:b/>
    </w:rPr>
  </w:style>
  <w:style w:type="character" w:customStyle="1" w:styleId="DataTypeTok">
    <w:name w:val="DataTypeTok"/>
    <w:basedOn w:val="VerbatimChar"/>
    <w:rPr>
      <w:rFonts w:ascii="Times New Roman" w:hAnsi="Times New Roman"/>
    </w:rPr>
  </w:style>
  <w:style w:type="character" w:customStyle="1" w:styleId="DecValTok">
    <w:name w:val="DecValTok"/>
    <w:basedOn w:val="VerbatimChar"/>
    <w:rPr>
      <w:rFonts w:ascii="Times New Roman" w:hAnsi="Times New Roman"/>
    </w:rPr>
  </w:style>
  <w:style w:type="character" w:customStyle="1" w:styleId="BaseNTok">
    <w:name w:val="BaseNTok"/>
    <w:basedOn w:val="VerbatimChar"/>
    <w:rPr>
      <w:rFonts w:ascii="Times New Roman" w:hAnsi="Times New Roman"/>
    </w:rPr>
  </w:style>
  <w:style w:type="character" w:customStyle="1" w:styleId="FloatTok">
    <w:name w:val="FloatTok"/>
    <w:basedOn w:val="VerbatimChar"/>
    <w:rPr>
      <w:rFonts w:ascii="Times New Roman" w:hAnsi="Times New Roman"/>
    </w:rPr>
  </w:style>
  <w:style w:type="character" w:customStyle="1" w:styleId="ConstantTok">
    <w:name w:val="ConstantTok"/>
    <w:basedOn w:val="VerbatimChar"/>
    <w:rPr>
      <w:rFonts w:ascii="Times New Roman" w:hAnsi="Times New Roman"/>
    </w:rPr>
  </w:style>
  <w:style w:type="character" w:customStyle="1" w:styleId="CharTok">
    <w:name w:val="CharTok"/>
    <w:basedOn w:val="VerbatimChar"/>
    <w:rPr>
      <w:rFonts w:ascii="Times New Roman" w:hAnsi="Times New Roman"/>
    </w:rPr>
  </w:style>
  <w:style w:type="character" w:customStyle="1" w:styleId="SpecialCharTok">
    <w:name w:val="SpecialCharTok"/>
    <w:basedOn w:val="VerbatimChar"/>
    <w:rPr>
      <w:rFonts w:ascii="Times New Roman" w:hAnsi="Times New Roman"/>
    </w:rPr>
  </w:style>
  <w:style w:type="character" w:customStyle="1" w:styleId="StringTok">
    <w:name w:val="StringTok"/>
    <w:basedOn w:val="VerbatimChar"/>
    <w:rPr>
      <w:rFonts w:ascii="Times New Roman" w:hAnsi="Times New Roman"/>
    </w:rPr>
  </w:style>
  <w:style w:type="character" w:customStyle="1" w:styleId="VerbatimStringTok">
    <w:name w:val="VerbatimStringTok"/>
    <w:basedOn w:val="VerbatimChar"/>
    <w:rPr>
      <w:rFonts w:ascii="Times New Roman" w:hAnsi="Times New Roman"/>
    </w:rPr>
  </w:style>
  <w:style w:type="character" w:customStyle="1" w:styleId="SpecialStringTok">
    <w:name w:val="SpecialStringTok"/>
    <w:basedOn w:val="VerbatimChar"/>
    <w:rPr>
      <w:rFonts w:ascii="Times New Roman" w:hAnsi="Times New Roman"/>
    </w:rPr>
  </w:style>
  <w:style w:type="character" w:customStyle="1" w:styleId="ImportTok">
    <w:name w:val="ImportTok"/>
    <w:basedOn w:val="VerbatimChar"/>
    <w:rPr>
      <w:rFonts w:ascii="Times New Roman" w:hAnsi="Times New Roman"/>
      <w:b/>
    </w:rPr>
  </w:style>
  <w:style w:type="character" w:customStyle="1" w:styleId="CommentTok">
    <w:name w:val="CommentTok"/>
    <w:basedOn w:val="VerbatimChar"/>
    <w:rPr>
      <w:rFonts w:ascii="Times New Roman" w:hAnsi="Times New Roman"/>
      <w:i/>
    </w:rPr>
  </w:style>
  <w:style w:type="character" w:customStyle="1" w:styleId="DocumentationTok">
    <w:name w:val="DocumentationTok"/>
    <w:basedOn w:val="VerbatimChar"/>
    <w:rPr>
      <w:rFonts w:ascii="Times New Roman" w:hAnsi="Times New Roman"/>
      <w:i/>
    </w:rPr>
  </w:style>
  <w:style w:type="character" w:customStyle="1" w:styleId="AnnotationTok">
    <w:name w:val="AnnotationTok"/>
    <w:basedOn w:val="VerbatimChar"/>
    <w:rPr>
      <w:rFonts w:ascii="Times New Roman" w:hAnsi="Times New Roman"/>
      <w:b/>
      <w:i/>
    </w:rPr>
  </w:style>
  <w:style w:type="character" w:customStyle="1" w:styleId="CommentVarTok">
    <w:name w:val="CommentVarTok"/>
    <w:basedOn w:val="VerbatimChar"/>
    <w:rPr>
      <w:rFonts w:ascii="Times New Roman" w:hAnsi="Times New Roman"/>
      <w:b/>
      <w:i/>
    </w:rPr>
  </w:style>
  <w:style w:type="character" w:customStyle="1" w:styleId="OtherTok">
    <w:name w:val="OtherTok"/>
    <w:basedOn w:val="VerbatimChar"/>
    <w:rPr>
      <w:rFonts w:ascii="Times New Roman" w:hAnsi="Times New Roman"/>
    </w:rPr>
  </w:style>
  <w:style w:type="character" w:customStyle="1" w:styleId="FunctionTok">
    <w:name w:val="FunctionTok"/>
    <w:basedOn w:val="VerbatimChar"/>
    <w:rPr>
      <w:rFonts w:ascii="Times New Roman" w:hAnsi="Times New Roman"/>
    </w:rPr>
  </w:style>
  <w:style w:type="character" w:customStyle="1" w:styleId="VariableTok">
    <w:name w:val="VariableTok"/>
    <w:basedOn w:val="VerbatimChar"/>
    <w:rPr>
      <w:rFonts w:ascii="Times New Roman" w:hAnsi="Times New Roman"/>
    </w:rPr>
  </w:style>
  <w:style w:type="character" w:customStyle="1" w:styleId="ControlFlowTok">
    <w:name w:val="ControlFlowTok"/>
    <w:basedOn w:val="VerbatimChar"/>
    <w:rPr>
      <w:rFonts w:ascii="Times New Roman" w:hAnsi="Times New Roman"/>
      <w:b/>
    </w:rPr>
  </w:style>
  <w:style w:type="character" w:customStyle="1" w:styleId="OperatorTok">
    <w:name w:val="OperatorTok"/>
    <w:basedOn w:val="VerbatimChar"/>
    <w:rPr>
      <w:rFonts w:ascii="Times New Roman" w:hAnsi="Times New Roman"/>
    </w:rPr>
  </w:style>
  <w:style w:type="character" w:customStyle="1" w:styleId="BuiltInTok">
    <w:name w:val="BuiltInTok"/>
    <w:basedOn w:val="VerbatimChar"/>
    <w:rPr>
      <w:rFonts w:ascii="Times New Roman" w:hAnsi="Times New Roman"/>
    </w:rPr>
  </w:style>
  <w:style w:type="character" w:customStyle="1" w:styleId="ExtensionTok">
    <w:name w:val="ExtensionTok"/>
    <w:basedOn w:val="VerbatimChar"/>
    <w:rPr>
      <w:rFonts w:ascii="Times New Roman" w:hAnsi="Times New Roman"/>
    </w:rPr>
  </w:style>
  <w:style w:type="character" w:customStyle="1" w:styleId="PreprocessorTok">
    <w:name w:val="PreprocessorTok"/>
    <w:basedOn w:val="VerbatimChar"/>
    <w:rPr>
      <w:rFonts w:ascii="Times New Roman" w:hAnsi="Times New Roman"/>
    </w:rPr>
  </w:style>
  <w:style w:type="character" w:customStyle="1" w:styleId="AttributeTok">
    <w:name w:val="AttributeTok"/>
    <w:basedOn w:val="VerbatimChar"/>
    <w:rPr>
      <w:rFonts w:ascii="Times New Roman" w:hAnsi="Times New Roman"/>
    </w:rPr>
  </w:style>
  <w:style w:type="character" w:customStyle="1" w:styleId="RegionMarkerTok">
    <w:name w:val="RegionMarkerTok"/>
    <w:basedOn w:val="VerbatimChar"/>
    <w:rPr>
      <w:rFonts w:ascii="Times New Roman" w:hAnsi="Times New Roman"/>
    </w:rPr>
  </w:style>
  <w:style w:type="character" w:customStyle="1" w:styleId="InformationTok">
    <w:name w:val="InformationTok"/>
    <w:basedOn w:val="VerbatimChar"/>
    <w:rPr>
      <w:rFonts w:ascii="Times New Roman" w:hAnsi="Times New Roman"/>
      <w:b/>
      <w:i/>
    </w:rPr>
  </w:style>
  <w:style w:type="character" w:customStyle="1" w:styleId="WarningTok">
    <w:name w:val="WarningTok"/>
    <w:basedOn w:val="VerbatimChar"/>
    <w:rPr>
      <w:rFonts w:ascii="Times New Roman" w:hAnsi="Times New Roman"/>
      <w:b/>
      <w:i/>
    </w:rPr>
  </w:style>
  <w:style w:type="character" w:customStyle="1" w:styleId="AlertTok">
    <w:name w:val="AlertTok"/>
    <w:basedOn w:val="VerbatimChar"/>
    <w:rPr>
      <w:rFonts w:ascii="Times New Roman" w:hAnsi="Times New Roman"/>
      <w:b/>
    </w:rPr>
  </w:style>
  <w:style w:type="character" w:customStyle="1" w:styleId="ErrorTok">
    <w:name w:val="ErrorTok"/>
    <w:basedOn w:val="VerbatimChar"/>
    <w:rPr>
      <w:rFonts w:ascii="Times New Roman" w:hAnsi="Times New Roman"/>
      <w:b/>
    </w:rPr>
  </w:style>
  <w:style w:type="character" w:customStyle="1" w:styleId="NormalTok">
    <w:name w:val="NormalTok"/>
    <w:basedOn w:val="VerbatimChar"/>
    <w:rPr>
      <w:rFonts w:ascii="Times New Roman" w:hAnsi="Times New Roman"/>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9" Type="http://schemas.openxmlformats.org/officeDocument/2006/relationships/chart" Target="charts/chart1.xml"/></Relationships>
</file>

<file path=word/charts/_rels/chart1.xml.rels><?xml version='1.0' encoding='UTF-8' standalone='yes'?>
<Relationships xmlns="http://schemas.openxmlformats.org/package/2006/relationships"><Relationship Id="rId1" Type="http://schemas.openxmlformats.org/officeDocument/2006/relationships/package" Target="../embeddings/Microsoft_Excel_Worksheet1.xlsx"/></Relationships>
</file>

<file path=word/charts/chart1.xml><?xml version="1.0" encoding="utf-8"?>
<c:chartSpace xmlns:c="http://schemas.openxmlformats.org/drawingml/2006/chart" xmlns:a="http://schemas.openxmlformats.org/drawingml/2006/main" xmlns:r="http://schemas.openxmlformats.org/officeDocument/2006/relationships">
  <c:date1904 val="0"/>
  <c:lang val="uz-Latn-UZ"/>
  <c:roundedCorners val="0"/>
  <c:chart>
    <c:autoTitleDeleted val="1"/>
    <c:plotArea>
      <c:layout/>
      <c:barChart>
        <c:barDir val="col"/>
        <c:grouping val="clustered"/>
        <c:varyColors val="0"/>
        <c:ser>
          <c:idx val="0"/>
          <c:order val="0"/>
          <c:tx>
            <c:strRef>
              <c:f>Sheet1!$B$1</c:f>
              <c:strCache>
                <c:ptCount val="1"/>
                <c:pt idx="0">
                  <c:v>Milliy hisobot / Markaziy bank metodikasi</c:v>
                </c:pt>
              </c:strCache>
            </c:strRef>
          </c:tx>
          <c:spPr>
            <a:solidFill>
              <a:srgbClr val="2A78D6"/>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uz-Latn-UZ"/>
              </a:p>
            </c:txPr>
            <c:dLblPos val="outEnd"/>
            <c:showLegendKey val="0"/>
            <c:showVal val="1"/>
            <c:showCatName val="0"/>
            <c:showSerName val="0"/>
            <c:showPercent val="0"/>
            <c:showBubbleSize val="0"/>
          </c:dLbls>
          <c:cat>
            <c:strRef>
              <c:f>Sheet1!$A$2:$A$3</c:f>
              <c:strCache>
                <c:ptCount val="2"/>
                <c:pt idx="0">
                  <c:v>Metodika ta’siri
(Bazel III − Markaziy bank)</c:v>
                </c:pt>
                <c:pt idx="1">
                  <c:v>Hisobot standarti ta’siri
(MHXS − milliy hisobot)</c:v>
                </c:pt>
              </c:strCache>
            </c:strRef>
          </c:cat>
          <c:val>
            <c:numRef>
              <c:f>Sheet1!$B$2:$B$3</c:f>
              <c:numCache>
                <c:formatCode>General</c:formatCode>
                <c:ptCount val="2"/>
                <c:pt idx="0">
                  <c:v>5.4</c:v>
                </c:pt>
                <c:pt idx="1">
                  <c:v>-2.7</c:v>
                </c:pt>
              </c:numCache>
            </c:numRef>
          </c:val>
        </c:ser>
        <c:ser>
          <c:idx val="1"/>
          <c:order val="1"/>
          <c:tx>
            <c:strRef>
              <c:f>Sheet1!$C$1</c:f>
              <c:strCache>
                <c:ptCount val="1"/>
                <c:pt idx="0">
                  <c:v>MHXS / Bazel III metodikasi</c:v>
                </c:pt>
              </c:strCache>
            </c:strRef>
          </c:tx>
          <c:spPr>
            <a:solidFill>
              <a:srgbClr val="EB6834"/>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uz-Latn-UZ"/>
              </a:p>
            </c:txPr>
            <c:dLblPos val="outEnd"/>
            <c:showLegendKey val="0"/>
            <c:showVal val="1"/>
            <c:showCatName val="0"/>
            <c:showSerName val="0"/>
            <c:showPercent val="0"/>
            <c:showBubbleSize val="0"/>
          </c:dLbls>
          <c:cat>
            <c:strRef>
              <c:f>Sheet1!$A$2:$A$3</c:f>
              <c:strCache>
                <c:ptCount val="2"/>
                <c:pt idx="0">
                  <c:v>Metodika ta’siri
(Bazel III − Markaziy bank)</c:v>
                </c:pt>
                <c:pt idx="1">
                  <c:v>Hisobot standarti ta’siri
(MHXS − milliy hisobot)</c:v>
                </c:pt>
              </c:strCache>
            </c:strRef>
          </c:cat>
          <c:val>
            <c:numRef>
              <c:f>Sheet1!$C$2:$C$3</c:f>
              <c:numCache>
                <c:formatCode>General</c:formatCode>
                <c:ptCount val="2"/>
                <c:pt idx="0">
                  <c:v>5.3</c:v>
                </c:pt>
                <c:pt idx="1">
                  <c:v>-2.8</c:v>
                </c:pt>
              </c:numCache>
            </c:numRef>
          </c:val>
        </c:ser>
        <c:gapWidth val="80"/>
        <c:axId val="111"/>
        <c:axId val="222"/>
      </c:barChart>
      <c:catAx>
        <c:axId val="111"/>
        <c:scaling>
          <c:orientation val="minMax"/>
        </c:scaling>
        <c:delete val="0"/>
        <c:axPos val="b"/>
        <c:numFmt formatCode="General" sourceLinked="0"/>
        <c:majorTickMark val="none"/>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uz-Latn-UZ"/>
          </a:p>
        </c:txPr>
        <c:crossAx val="222"/>
        <c:crosses val="autoZero"/>
        <c:auto val="1"/>
        <c:lblAlgn val="ctr"/>
        <c:lblOffset val="100"/>
        <c:noMultiLvlLbl val="0"/>
      </c:catAx>
      <c:valAx>
        <c:axId val="222"/>
        <c:scaling>
          <c:orientation val="minMax"/>
          <c:max val="6"/>
          <c:min val="-4"/>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foiz punkt</a:t>
                </a:r>
              </a:p>
            </c:rich>
          </c:tx>
          <c:overlay val="0"/>
        </c:title>
        <c:numFmt formatCode="General"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uz-Latn-UZ"/>
          </a:p>
        </c:txPr>
        <c:crossAx val="111"/>
        <c:crosses val="autoZero"/>
        <c:crossBetween val="between"/>
        <c:majorUnit val="2"/>
      </c:valAx>
      <c:spPr>
        <a:noFill/>
        <a:ln>
          <a:noFill/>
        </a:ln>
      </c:spPr>
    </c:plotArea>
    <c:legend>
      <c:legendPos val="b"/>
      <c:overlay val="0"/>
      <c:txPr>
        <a:bodyPr/>
        <a:lstStyle/>
        <a:p>
          <a:pPr>
            <a:defRPr sz="1050" b="0">
              <a:solidFill>
                <a:srgbClr val="000000"/>
              </a:solidFill>
              <a:latin typeface="Times New Roman"/>
              <a:cs typeface="Times New Roman"/>
            </a:defRPr>
          </a:pPr>
          <a:endParaRPr lang="uz-Latn-UZ"/>
        </a:p>
      </c:txPr>
    </c:legend>
    <c:plotVisOnly val="1"/>
    <c:dispBlanksAs val="gap"/>
  </c:chart>
  <c:spPr>
    <a:solidFill>
      <a:srgbClr val="FFFFFF"/>
    </a:solidFill>
    <a:ln>
      <a:noFill/>
    </a:ln>
  </c:spPr>
  <c:txPr>
    <a:bodyPr/>
    <a:lstStyle/>
    <a:p>
      <a:pPr>
        <a:defRPr sz="1100" b="0">
          <a:solidFill>
            <a:srgbClr val="000000"/>
          </a:solidFill>
          <a:latin typeface="Times New Roman"/>
          <a:cs typeface="Times New Roman"/>
        </a:defRPr>
      </a:pPr>
      <a:endParaRPr lang="uz-Latn-UZ"/>
    </a:p>
  </c:txPr>
  <c:externalData r:id="rId1">
    <c:autoUpdate val="0"/>
  </c:externalData>
</c:chartSpace>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2026-10-11T05:40:23Z</dcterms:created>
  <dcterms:modified xsi:type="dcterms:W3CDTF">2026-10-11T05:40:23Z</dcterms:modified>
</cp:coreProperties>
</file>

<file path=docProps/custom.xml><?xml version="1.0" encoding="utf-8"?>
<Properties xmlns="http://schemas.openxmlformats.org/officeDocument/2006/custom-properties" xmlns:vt="http://schemas.openxmlformats.org/officeDocument/2006/docPropsVTypes"/>
</file>