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8fb3762712e760328e092772a6165c3a5d0d3c4"/>
    <w:p>
      <w:pPr>
        <w:pStyle w:val="Heading2"/>
        <w:keepNext/>
        <w:spacing w:line="360" w:lineRule="auto" w:before="240" w:after="120"/>
        <w:ind w:firstLine="0"/>
        <w:jc w:val="center"/>
      </w:pPr>
      <w:r>
        <w:rPr>
          <w:rFonts w:ascii="Times New Roman" w:hAnsi="Times New Roman" w:cs="Times New Roman" w:eastAsia="Times New Roman"/>
          <w:b/>
          <w:i w:val="0"/>
          <w:sz w:val="28"/>
        </w:rPr>
        <w:t xml:space="preserve">«O‘zsanoatqurilishbank» ATB misolida moliyaviy barqarorlik ko‘rsatkichlarining milliy hisobot va MHXS bo‘yicha qiyosiy tahlili</w:t>
      </w:r>
    </w:p>
    <w:p>
      <w:pPr>
        <w:pStyle w:val="FirstParagraph"/>
        <w:spacing w:line="360" w:lineRule="auto" w:before="0" w:after="0"/>
        <w:ind w:firstLine="709"/>
        <w:jc w:val="both"/>
      </w:pPr>
      <w:r>
        <w:rPr>
          <w:rFonts w:ascii="Times New Roman" w:hAnsi="Times New Roman" w:cs="Times New Roman" w:eastAsia="Times New Roman"/>
          <w:sz w:val="28"/>
        </w:rPr>
        <w:t xml:space="preserve">Milliy hisobot va Moliyaviy hisobotning xalqaro standartlari (MHXS) o‘rtasidagi farqning moliyaviy barqarorlik ko‘rsatkichlariga ta’sirini nazariy jihatdan asoslash yetarli emas, uni muayyan bank ma’lumotlarida ham tekshirish zarur. Shu maqsadda tizimli ahamiyatga ega banklardan biri bo‘lgan «O‘zsanoatqurilishbank» ATB ning 2025-yil yakunidagi ikki turdagi hisoboti solishtirildi: Markaziy bankka taqdim etiladigan va milliy buxgalteriya hisobi asosida tuzilgan prudensial hisobot shakllari</w:t>
      </w:r>
      <w:r>
        <w:rPr>
          <w:rStyle w:val="FootnoteReference"/>
        </w:rPr>
        <w:footnoteReference w:id="20"/>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hamda xalqaro auditorlik tashkiloti tomonidan tasdiqlangan MHXS bo‘yicha konsolidatsiyalashgan moliyaviy hisobot</w:t>
      </w:r>
      <w:r>
        <w:rPr>
          <w:rStyle w:val="FootnoteReference"/>
        </w:rPr>
        <w:footnoteReference w:id="21"/>
      </w:r>
      <w:r>
        <w:rPr>
          <w:rFonts w:ascii="Times New Roman" w:hAnsi="Times New Roman" w:cs="Times New Roman" w:eastAsia="Times New Roman"/>
          <w:sz w:val="28"/>
        </w:rPr>
        <w:t xml:space="preserve">. Ta’kidlash lozimki, birinchi hisobot alohida bank bo‘yicha, ikkinchisi esa bank guruhi bo‘yicha tuzilgan, shu sababli ayrim farqlar konsolidatsiya bilan ham bog‘liq. Tahlil natijalari 1-jadvalda keltirildi.</w:t>
      </w:r>
    </w:p>
    <w:p>
      <w:pPr>
        <w:pStyle w:val="BodyText"/>
        <w:keepNext/>
        <w:spacing w:line="360" w:lineRule="auto" w:before="120" w:after="0"/>
        <w:ind w:firstLine="0"/>
        <w:jc w:val="right"/>
      </w:pPr>
      <w:r>
        <w:rPr>
          <w:rFonts w:ascii="Times New Roman" w:hAnsi="Times New Roman" w:cs="Times New Roman" w:eastAsia="Times New Roman"/>
          <w:i/>
          <w:sz w:val="28"/>
        </w:rPr>
        <w:t xml:space="preserve">1-jadval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«O‘zsanoatqurilishbank» ATB ning asosiy ko‘rsatkichlari: milliy hisobot va MHXS, 2025-yil yakuni, mlrd so‘m</w:t>
      </w:r>
      <w:r>
        <w:rPr>
          <w:rStyle w:val="FootnoteReference"/>
        </w:rPr>
        <w:footnoteReference w:id="22"/>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true"/>
          <w:cantSplit/>
          <w:tblHeader/>
        </w:trPr>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Ko‘rsatkich</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Milliy hisobot</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MHXS</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Farq</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Jami aktivlar</w:t>
            </w:r>
          </w:p>
        </w:tc>
        <w:tc>
          <w:tcPr/>
          <w:p>
            <w:pPr>
              <w:pStyle w:val="Compact"/>
              <w:spacing w:line="240" w:lineRule="auto"/>
              <w:ind w:firstLine="0"/>
              <w:jc w:val="left"/>
            </w:pPr>
            <w:r>
              <w:rPr>
                <w:rFonts w:ascii="Times New Roman" w:hAnsi="Times New Roman" w:cs="Times New Roman" w:eastAsia="Times New Roman"/>
                <w:sz w:val="22"/>
              </w:rPr>
              <w:t xml:space="preserve">102 438,7</w:t>
            </w:r>
          </w:p>
        </w:tc>
        <w:tc>
          <w:tcPr/>
          <w:p>
            <w:pPr>
              <w:pStyle w:val="Compact"/>
              <w:spacing w:line="240" w:lineRule="auto"/>
              <w:ind w:firstLine="0"/>
              <w:jc w:val="left"/>
            </w:pPr>
            <w:r>
              <w:rPr>
                <w:rFonts w:ascii="Times New Roman" w:hAnsi="Times New Roman" w:cs="Times New Roman" w:eastAsia="Times New Roman"/>
                <w:sz w:val="22"/>
              </w:rPr>
              <w:t xml:space="preserve">97 184,4</w:t>
            </w:r>
          </w:p>
        </w:tc>
        <w:tc>
          <w:tcPr/>
          <w:p>
            <w:pPr>
              <w:pStyle w:val="Compact"/>
              <w:spacing w:line="240" w:lineRule="auto"/>
              <w:ind w:firstLine="0"/>
              <w:jc w:val="left"/>
            </w:pPr>
            <w:r>
              <w:rPr>
                <w:rFonts w:ascii="Times New Roman" w:hAnsi="Times New Roman" w:cs="Times New Roman" w:eastAsia="Times New Roman"/>
                <w:sz w:val="22"/>
              </w:rPr>
              <w:t xml:space="preserve">−5,1%</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Mijozlarga kreditlar (brutto)</w:t>
            </w:r>
          </w:p>
        </w:tc>
        <w:tc>
          <w:tcPr/>
          <w:p>
            <w:pPr>
              <w:pStyle w:val="Compact"/>
              <w:spacing w:line="240" w:lineRule="auto"/>
              <w:ind w:firstLine="0"/>
              <w:jc w:val="left"/>
            </w:pPr>
            <w:r>
              <w:rPr>
                <w:rFonts w:ascii="Times New Roman" w:hAnsi="Times New Roman" w:cs="Times New Roman" w:eastAsia="Times New Roman"/>
                <w:sz w:val="22"/>
              </w:rPr>
              <w:t xml:space="preserve">64 935,6</w:t>
            </w:r>
          </w:p>
        </w:tc>
        <w:tc>
          <w:tcPr/>
          <w:p>
            <w:pPr>
              <w:pStyle w:val="Compact"/>
              <w:spacing w:line="240" w:lineRule="auto"/>
              <w:ind w:firstLine="0"/>
              <w:jc w:val="left"/>
            </w:pPr>
            <w:r>
              <w:rPr>
                <w:rFonts w:ascii="Times New Roman" w:hAnsi="Times New Roman" w:cs="Times New Roman" w:eastAsia="Times New Roman"/>
                <w:sz w:val="22"/>
              </w:rPr>
              <w:t xml:space="preserve">71 008,8</w:t>
            </w:r>
          </w:p>
        </w:tc>
        <w:tc>
          <w:tcPr/>
          <w:p>
            <w:pPr>
              <w:pStyle w:val="Compact"/>
              <w:spacing w:line="240" w:lineRule="auto"/>
              <w:ind w:firstLine="0"/>
              <w:jc w:val="left"/>
            </w:pPr>
            <w:r>
              <w:rPr>
                <w:rFonts w:ascii="Times New Roman" w:hAnsi="Times New Roman" w:cs="Times New Roman" w:eastAsia="Times New Roman"/>
                <w:sz w:val="22"/>
              </w:rPr>
              <w:t xml:space="preserve">+9,4%</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Kreditlar bo‘yicha zaxiralar</w:t>
            </w:r>
          </w:p>
        </w:tc>
        <w:tc>
          <w:tcPr/>
          <w:p>
            <w:pPr>
              <w:pStyle w:val="Compact"/>
              <w:spacing w:line="240" w:lineRule="auto"/>
              <w:ind w:firstLine="0"/>
              <w:jc w:val="left"/>
            </w:pPr>
            <w:r>
              <w:rPr>
                <w:rFonts w:ascii="Times New Roman" w:hAnsi="Times New Roman" w:cs="Times New Roman" w:eastAsia="Times New Roman"/>
                <w:sz w:val="22"/>
              </w:rPr>
              <w:t xml:space="preserve">2 947,5</w:t>
            </w:r>
          </w:p>
        </w:tc>
        <w:tc>
          <w:tcPr/>
          <w:p>
            <w:pPr>
              <w:pStyle w:val="Compact"/>
              <w:spacing w:line="240" w:lineRule="auto"/>
              <w:ind w:firstLine="0"/>
              <w:jc w:val="left"/>
            </w:pPr>
            <w:r>
              <w:rPr>
                <w:rFonts w:ascii="Times New Roman" w:hAnsi="Times New Roman" w:cs="Times New Roman" w:eastAsia="Times New Roman"/>
                <w:sz w:val="22"/>
              </w:rPr>
              <w:t xml:space="preserve">4 250,9</w:t>
            </w:r>
          </w:p>
        </w:tc>
        <w:tc>
          <w:tcPr/>
          <w:p>
            <w:pPr>
              <w:pStyle w:val="Compact"/>
              <w:spacing w:line="240" w:lineRule="auto"/>
              <w:ind w:firstLine="0"/>
              <w:jc w:val="left"/>
            </w:pPr>
            <w:r>
              <w:rPr>
                <w:rFonts w:ascii="Times New Roman" w:hAnsi="Times New Roman" w:cs="Times New Roman" w:eastAsia="Times New Roman"/>
                <w:sz w:val="22"/>
              </w:rPr>
              <w:t xml:space="preserve">+44,2%</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Zaxiralarning kreditlarga nisbati, %</w:t>
            </w:r>
          </w:p>
        </w:tc>
        <w:tc>
          <w:tcPr/>
          <w:p>
            <w:pPr>
              <w:pStyle w:val="Compact"/>
              <w:spacing w:line="240" w:lineRule="auto"/>
              <w:ind w:firstLine="0"/>
              <w:jc w:val="left"/>
            </w:pPr>
            <w:r>
              <w:rPr>
                <w:rFonts w:ascii="Times New Roman" w:hAnsi="Times New Roman" w:cs="Times New Roman" w:eastAsia="Times New Roman"/>
                <w:sz w:val="22"/>
              </w:rPr>
              <w:t xml:space="preserve">4,54</w:t>
            </w:r>
          </w:p>
        </w:tc>
        <w:tc>
          <w:tcPr/>
          <w:p>
            <w:pPr>
              <w:pStyle w:val="Compact"/>
              <w:spacing w:line="240" w:lineRule="auto"/>
              <w:ind w:firstLine="0"/>
              <w:jc w:val="left"/>
            </w:pPr>
            <w:r>
              <w:rPr>
                <w:rFonts w:ascii="Times New Roman" w:hAnsi="Times New Roman" w:cs="Times New Roman" w:eastAsia="Times New Roman"/>
                <w:sz w:val="22"/>
              </w:rPr>
              <w:t xml:space="preserve">5,99</w:t>
            </w:r>
          </w:p>
        </w:tc>
        <w:tc>
          <w:tcPr/>
          <w:p>
            <w:pPr>
              <w:pStyle w:val="Compact"/>
              <w:spacing w:line="240" w:lineRule="auto"/>
              <w:ind w:firstLine="0"/>
              <w:jc w:val="left"/>
            </w:pPr>
            <w:r>
              <w:rPr>
                <w:rFonts w:ascii="Times New Roman" w:hAnsi="Times New Roman" w:cs="Times New Roman" w:eastAsia="Times New Roman"/>
                <w:sz w:val="22"/>
              </w:rPr>
              <w:t xml:space="preserve">+1,45 p.p.</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Muammoli kreditlar (milliy: qoniqarsiz, shubhali, umidsiz; MHXS: 3-bosqich)</w:t>
            </w:r>
          </w:p>
        </w:tc>
        <w:tc>
          <w:tcPr/>
          <w:p>
            <w:pPr>
              <w:pStyle w:val="Compact"/>
              <w:spacing w:line="240" w:lineRule="auto"/>
              <w:ind w:firstLine="0"/>
              <w:jc w:val="left"/>
            </w:pPr>
            <w:r>
              <w:rPr>
                <w:rFonts w:ascii="Times New Roman" w:hAnsi="Times New Roman" w:cs="Times New Roman" w:eastAsia="Times New Roman"/>
                <w:sz w:val="22"/>
              </w:rPr>
              <w:t xml:space="preserve">1 642,4</w:t>
            </w:r>
          </w:p>
        </w:tc>
        <w:tc>
          <w:tcPr/>
          <w:p>
            <w:pPr>
              <w:pStyle w:val="Compact"/>
              <w:spacing w:line="240" w:lineRule="auto"/>
              <w:ind w:firstLine="0"/>
              <w:jc w:val="left"/>
            </w:pPr>
            <w:r>
              <w:rPr>
                <w:rFonts w:ascii="Times New Roman" w:hAnsi="Times New Roman" w:cs="Times New Roman" w:eastAsia="Times New Roman"/>
                <w:sz w:val="22"/>
              </w:rPr>
              <w:t xml:space="preserve">5 310,2</w:t>
            </w:r>
          </w:p>
        </w:tc>
        <w:tc>
          <w:tcPr/>
          <w:p>
            <w:pPr>
              <w:pStyle w:val="Compact"/>
              <w:spacing w:line="240" w:lineRule="auto"/>
              <w:ind w:firstLine="0"/>
              <w:jc w:val="left"/>
            </w:pPr>
            <w:r>
              <w:rPr>
                <w:rFonts w:ascii="Times New Roman" w:hAnsi="Times New Roman" w:cs="Times New Roman" w:eastAsia="Times New Roman"/>
                <w:sz w:val="22"/>
              </w:rPr>
              <w:t xml:space="preserve">3,2 barobar</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Muammoli kreditlar ulushi, %</w:t>
            </w:r>
          </w:p>
        </w:tc>
        <w:tc>
          <w:tcPr/>
          <w:p>
            <w:pPr>
              <w:pStyle w:val="Compact"/>
              <w:spacing w:line="240" w:lineRule="auto"/>
              <w:ind w:firstLine="0"/>
              <w:jc w:val="left"/>
            </w:pPr>
            <w:r>
              <w:rPr>
                <w:rFonts w:ascii="Times New Roman" w:hAnsi="Times New Roman" w:cs="Times New Roman" w:eastAsia="Times New Roman"/>
                <w:sz w:val="22"/>
              </w:rPr>
              <w:t xml:space="preserve">2,53</w:t>
            </w:r>
          </w:p>
        </w:tc>
        <w:tc>
          <w:tcPr/>
          <w:p>
            <w:pPr>
              <w:pStyle w:val="Compact"/>
              <w:spacing w:line="240" w:lineRule="auto"/>
              <w:ind w:firstLine="0"/>
              <w:jc w:val="left"/>
            </w:pPr>
            <w:r>
              <w:rPr>
                <w:rFonts w:ascii="Times New Roman" w:hAnsi="Times New Roman" w:cs="Times New Roman" w:eastAsia="Times New Roman"/>
                <w:sz w:val="22"/>
              </w:rPr>
              <w:t xml:space="preserve">7,48</w:t>
            </w:r>
          </w:p>
        </w:tc>
        <w:tc>
          <w:tcPr/>
          <w:p>
            <w:pPr>
              <w:pStyle w:val="Compact"/>
              <w:spacing w:line="240" w:lineRule="auto"/>
              <w:ind w:firstLine="0"/>
              <w:jc w:val="left"/>
            </w:pPr>
            <w:r>
              <w:rPr>
                <w:rFonts w:ascii="Times New Roman" w:hAnsi="Times New Roman" w:cs="Times New Roman" w:eastAsia="Times New Roman"/>
                <w:sz w:val="22"/>
              </w:rPr>
              <w:t xml:space="preserve">+4,95 p.p.</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Substandart kreditlar (milliy) / 2-bosqich (MHXS)</w:t>
            </w:r>
          </w:p>
        </w:tc>
        <w:tc>
          <w:tcPr/>
          <w:p>
            <w:pPr>
              <w:pStyle w:val="Compact"/>
              <w:spacing w:line="240" w:lineRule="auto"/>
              <w:ind w:firstLine="0"/>
              <w:jc w:val="left"/>
            </w:pPr>
            <w:r>
              <w:rPr>
                <w:rFonts w:ascii="Times New Roman" w:hAnsi="Times New Roman" w:cs="Times New Roman" w:eastAsia="Times New Roman"/>
                <w:sz w:val="22"/>
              </w:rPr>
              <w:t xml:space="preserve">11 973,5</w:t>
            </w:r>
          </w:p>
        </w:tc>
        <w:tc>
          <w:tcPr/>
          <w:p>
            <w:pPr>
              <w:pStyle w:val="Compact"/>
              <w:spacing w:line="240" w:lineRule="auto"/>
              <w:ind w:firstLine="0"/>
              <w:jc w:val="left"/>
            </w:pPr>
            <w:r>
              <w:rPr>
                <w:rFonts w:ascii="Times New Roman" w:hAnsi="Times New Roman" w:cs="Times New Roman" w:eastAsia="Times New Roman"/>
                <w:sz w:val="22"/>
              </w:rPr>
              <w:t xml:space="preserve">25 320,4</w:t>
            </w:r>
          </w:p>
        </w:tc>
        <w:tc>
          <w:tcPr/>
          <w:p>
            <w:pPr>
              <w:pStyle w:val="Compact"/>
              <w:spacing w:line="240" w:lineRule="auto"/>
              <w:ind w:firstLine="0"/>
              <w:jc w:val="left"/>
            </w:pPr>
            <w:r>
              <w:rPr>
                <w:rFonts w:ascii="Times New Roman" w:hAnsi="Times New Roman" w:cs="Times New Roman" w:eastAsia="Times New Roman"/>
                <w:sz w:val="22"/>
              </w:rPr>
              <w:t xml:space="preserve">2,1 barobar</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Ularning ulushi, %</w:t>
            </w:r>
          </w:p>
        </w:tc>
        <w:tc>
          <w:tcPr/>
          <w:p>
            <w:pPr>
              <w:pStyle w:val="Compact"/>
              <w:spacing w:line="240" w:lineRule="auto"/>
              <w:ind w:firstLine="0"/>
              <w:jc w:val="left"/>
            </w:pPr>
            <w:r>
              <w:rPr>
                <w:rFonts w:ascii="Times New Roman" w:hAnsi="Times New Roman" w:cs="Times New Roman" w:eastAsia="Times New Roman"/>
                <w:sz w:val="22"/>
              </w:rPr>
              <w:t xml:space="preserve">18,44</w:t>
            </w:r>
          </w:p>
        </w:tc>
        <w:tc>
          <w:tcPr/>
          <w:p>
            <w:pPr>
              <w:pStyle w:val="Compact"/>
              <w:spacing w:line="240" w:lineRule="auto"/>
              <w:ind w:firstLine="0"/>
              <w:jc w:val="left"/>
            </w:pPr>
            <w:r>
              <w:rPr>
                <w:rFonts w:ascii="Times New Roman" w:hAnsi="Times New Roman" w:cs="Times New Roman" w:eastAsia="Times New Roman"/>
                <w:sz w:val="22"/>
              </w:rPr>
              <w:t xml:space="preserve">35,66</w:t>
            </w:r>
          </w:p>
        </w:tc>
        <w:tc>
          <w:tcPr/>
          <w:p>
            <w:pPr>
              <w:pStyle w:val="Compact"/>
              <w:spacing w:line="240" w:lineRule="auto"/>
              <w:ind w:firstLine="0"/>
              <w:jc w:val="left"/>
            </w:pPr>
            <w:r>
              <w:rPr>
                <w:rFonts w:ascii="Times New Roman" w:hAnsi="Times New Roman" w:cs="Times New Roman" w:eastAsia="Times New Roman"/>
                <w:sz w:val="22"/>
              </w:rPr>
              <w:t xml:space="preserve">+17,22 p.p.</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Muammoli kreditlarning zaxira bilan qoplanishi, %</w:t>
            </w:r>
          </w:p>
        </w:tc>
        <w:tc>
          <w:tcPr/>
          <w:p>
            <w:pPr>
              <w:pStyle w:val="Compact"/>
              <w:spacing w:line="240" w:lineRule="auto"/>
              <w:ind w:firstLine="0"/>
              <w:jc w:val="left"/>
            </w:pPr>
            <w:r>
              <w:rPr>
                <w:rFonts w:ascii="Times New Roman" w:hAnsi="Times New Roman" w:cs="Times New Roman" w:eastAsia="Times New Roman"/>
                <w:sz w:val="22"/>
              </w:rPr>
              <w:t xml:space="preserve">75,3</w:t>
            </w:r>
          </w:p>
        </w:tc>
        <w:tc>
          <w:tcPr/>
          <w:p>
            <w:pPr>
              <w:pStyle w:val="Compact"/>
              <w:spacing w:line="240" w:lineRule="auto"/>
              <w:ind w:firstLine="0"/>
              <w:jc w:val="left"/>
            </w:pPr>
            <w:r>
              <w:rPr>
                <w:rFonts w:ascii="Times New Roman" w:hAnsi="Times New Roman" w:cs="Times New Roman" w:eastAsia="Times New Roman"/>
                <w:sz w:val="22"/>
              </w:rPr>
              <w:t xml:space="preserve">37,7</w:t>
            </w:r>
          </w:p>
        </w:tc>
        <w:tc>
          <w:tcPr/>
          <w:p>
            <w:pPr>
              <w:pStyle w:val="Compact"/>
              <w:spacing w:line="240" w:lineRule="auto"/>
              <w:ind w:firstLine="0"/>
              <w:jc w:val="left"/>
            </w:pPr>
            <w:r>
              <w:rPr>
                <w:rFonts w:ascii="Times New Roman" w:hAnsi="Times New Roman" w:cs="Times New Roman" w:eastAsia="Times New Roman"/>
                <w:sz w:val="22"/>
              </w:rPr>
              <w:t xml:space="preserve">−37,6 p.p.</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Xususiy kapital</w:t>
            </w:r>
          </w:p>
        </w:tc>
        <w:tc>
          <w:tcPr/>
          <w:p>
            <w:pPr>
              <w:pStyle w:val="Compact"/>
              <w:spacing w:line="240" w:lineRule="auto"/>
              <w:ind w:firstLine="0"/>
              <w:jc w:val="left"/>
            </w:pPr>
            <w:r>
              <w:rPr>
                <w:rFonts w:ascii="Times New Roman" w:hAnsi="Times New Roman" w:cs="Times New Roman" w:eastAsia="Times New Roman"/>
                <w:sz w:val="22"/>
              </w:rPr>
              <w:t xml:space="preserve">11 875,2</w:t>
            </w:r>
          </w:p>
        </w:tc>
        <w:tc>
          <w:tcPr/>
          <w:p>
            <w:pPr>
              <w:pStyle w:val="Compact"/>
              <w:spacing w:line="240" w:lineRule="auto"/>
              <w:ind w:firstLine="0"/>
              <w:jc w:val="left"/>
            </w:pPr>
            <w:r>
              <w:rPr>
                <w:rFonts w:ascii="Times New Roman" w:hAnsi="Times New Roman" w:cs="Times New Roman" w:eastAsia="Times New Roman"/>
                <w:sz w:val="22"/>
              </w:rPr>
              <w:t xml:space="preserve">10 273,8</w:t>
            </w:r>
          </w:p>
        </w:tc>
        <w:tc>
          <w:tcPr/>
          <w:p>
            <w:pPr>
              <w:pStyle w:val="Compact"/>
              <w:spacing w:line="240" w:lineRule="auto"/>
              <w:ind w:firstLine="0"/>
              <w:jc w:val="left"/>
            </w:pPr>
            <w:r>
              <w:rPr>
                <w:rFonts w:ascii="Times New Roman" w:hAnsi="Times New Roman" w:cs="Times New Roman" w:eastAsia="Times New Roman"/>
                <w:sz w:val="22"/>
              </w:rPr>
              <w:t xml:space="preserve">−13,5%</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Sof foyda</w:t>
            </w:r>
          </w:p>
        </w:tc>
        <w:tc>
          <w:tcPr/>
          <w:p>
            <w:pPr>
              <w:pStyle w:val="Compact"/>
              <w:spacing w:line="240" w:lineRule="auto"/>
              <w:ind w:firstLine="0"/>
              <w:jc w:val="left"/>
            </w:pPr>
            <w:r>
              <w:rPr>
                <w:rFonts w:ascii="Times New Roman" w:hAnsi="Times New Roman" w:cs="Times New Roman" w:eastAsia="Times New Roman"/>
                <w:sz w:val="22"/>
              </w:rPr>
              <w:t xml:space="preserve">1 880,1</w:t>
            </w:r>
          </w:p>
        </w:tc>
        <w:tc>
          <w:tcPr/>
          <w:p>
            <w:pPr>
              <w:pStyle w:val="Compact"/>
              <w:spacing w:line="240" w:lineRule="auto"/>
              <w:ind w:firstLine="0"/>
              <w:jc w:val="left"/>
            </w:pPr>
            <w:r>
              <w:rPr>
                <w:rFonts w:ascii="Times New Roman" w:hAnsi="Times New Roman" w:cs="Times New Roman" w:eastAsia="Times New Roman"/>
                <w:sz w:val="22"/>
              </w:rPr>
              <w:t xml:space="preserve">1 543,8</w:t>
            </w:r>
          </w:p>
        </w:tc>
        <w:tc>
          <w:tcPr/>
          <w:p>
            <w:pPr>
              <w:pStyle w:val="Compact"/>
              <w:spacing w:line="240" w:lineRule="auto"/>
              <w:ind w:firstLine="0"/>
              <w:jc w:val="left"/>
            </w:pPr>
            <w:r>
              <w:rPr>
                <w:rFonts w:ascii="Times New Roman" w:hAnsi="Times New Roman" w:cs="Times New Roman" w:eastAsia="Times New Roman"/>
                <w:sz w:val="22"/>
              </w:rPr>
              <w:t xml:space="preserve">−17,9%</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 ma’lumotlari shuni ko‘rsatadiki, ikki hisobot o‘rtasidagi eng katta farq aktivlar sifatida namoyon bo‘ladi. Milliy tasnif bo‘yicha muammoli kreditlar ulushi atigi 2,53 foizni tashkil etgan bo‘lsa, MHXS 9 ning 3-bosqichi, ya’ni kredit qadrsizlangan kreditlar ulushi 7,48 foizga teng, boshqacha aytganda, qariyb uch barobar yuqori. Kredit riski sezilarli oshgan 2-bosqich kreditlar ulushi ham milliy hisobotdagi substandart kreditlar ulushidan ikki barobar katta. Bu farq ikki hisobotdagi tasniflash mantig‘i bilan izohlanadi: milliy tasnif asosan muddati o‘tgan kunlar va rasmiy belgilarga tayanadi, MHXS 9 esa qarz oluvchining moliyaviy holati yomonlashuvini, restrukturizatsiyani va kelajakka yo‘naltirilgan ma’lumotlarni ham hisobga oladi (1-rasm).</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1" name="1-rasm"/>
            <wp:cNvGraphicFramePr/>
            <a:graphic>
              <a:graphicData uri="http://schemas.openxmlformats.org/drawingml/2006/chart">
                <c:chart r:id="rId9"/>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1-rasm. «O‘zsanoatqurilishbank» ATB da muammoli va riski oshgan kreditlar ulushi: milliy hisobot va MHXS, 2025-yil, %</w:t>
      </w:r>
      <w:r>
        <w:rPr>
          <w:rStyle w:val="FootnoteReference"/>
        </w:rPr>
        <w:footnoteReference w:id="23"/>
      </w:r>
    </w:p>
    <w:p>
      <w:pPr>
        <w:pStyle w:val="BodyText"/>
        <w:spacing w:line="360" w:lineRule="auto" w:before="0" w:after="0"/>
        <w:ind w:firstLine="709"/>
        <w:jc w:val="both"/>
      </w:pPr>
      <w:r>
        <w:rPr>
          <w:rFonts w:ascii="Times New Roman" w:hAnsi="Times New Roman" w:cs="Times New Roman" w:eastAsia="Times New Roman"/>
          <w:sz w:val="28"/>
        </w:rPr>
        <w:t xml:space="preserve">Shu bilan birga, e’tiborli jihati shundaki, milliy hisobotda muammoli kreditlar 75,3 foizga zaxira bilan qoplangan, MHXS bo‘yicha esa 3-bosqich kreditlarning qoplanishi 37,7 foizni tashkil etadi. Demak, milliy tizim muammoli deb tan olingan kreditlar bo‘yicha ancha qat’iy zaxira talab qiladi, ammo muammoni tan olish doirasi tor. MHXS 9 esa muammoni kengroq doirada va ertaroq tan oladi, lekin har bir kredit bo‘yicha garov va kutilayotgan undirishni hisobga olgan holda zaxira shakllantiradi. Natijada jami zaxiralar MHXS bo‘yicha 44,2 foizga ko‘p bo‘lib, bu kapital va foydaga bevosita ta’sir qilgan: xususiy kapital 1 601,3 mlrd so‘mga (13,5 foiz), sof foyda esa 336,3 mlrd so‘mga (17,9 foiz) kam (2-rasm).</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2" name="2-rasm"/>
            <wp:cNvGraphicFramePr/>
            <a:graphic>
              <a:graphicData uri="http://schemas.openxmlformats.org/drawingml/2006/chart">
                <c:chart r:id="rId10"/>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2-rasm. «O‘zsanoatqurilishbank» ATB ning kapitali, foydasi va kredit zaxiralari: milliy hisobot va MHXS, 2025-yil, trln so‘m</w:t>
      </w:r>
      <w:r>
        <w:rPr>
          <w:rStyle w:val="FootnoteReference"/>
        </w:rPr>
        <w:footnoteReference w:id="24"/>
      </w:r>
    </w:p>
    <w:p>
      <w:pPr>
        <w:pStyle w:val="BodyText"/>
        <w:spacing w:line="360" w:lineRule="auto" w:before="0" w:after="0"/>
        <w:ind w:firstLine="709"/>
        <w:jc w:val="both"/>
      </w:pPr>
      <w:r>
        <w:rPr>
          <w:rFonts w:ascii="Times New Roman" w:hAnsi="Times New Roman" w:cs="Times New Roman" w:eastAsia="Times New Roman"/>
          <w:sz w:val="28"/>
        </w:rPr>
        <w:t xml:space="preserve">Bu farq kapital yetarliligi ko‘rsatkichlariga ham sezilarli ta’sir ko‘rsatadi. Bank MHXS hisobotining o‘zida ham regulyativ kapital milliy buxgalteriya hisobi asosida hisoblangani qayd etilgan: regulyativ kapitalning monandlik koeffitsiyenti 17 foiz, birinchi darajali asosiy kapital bo‘yicha esa 10,2 foizni tashkil etgan</w:t>
      </w:r>
      <w:r>
        <w:rPr>
          <w:rStyle w:val="FootnoteReference"/>
        </w:rPr>
        <w:footnoteReference w:id="25"/>
      </w:r>
      <w:r>
        <w:rPr>
          <w:rFonts w:ascii="Times New Roman" w:hAnsi="Times New Roman" w:cs="Times New Roman" w:eastAsia="Times New Roman"/>
          <w:sz w:val="28"/>
        </w:rPr>
        <w:t xml:space="preserve">. Agar MHXS bo‘yicha kapital farqi birinchi darajali asosiy kapitaldan chegirilsa va risk bo‘yicha tortilgan aktivlar o‘zgarmagan deb qabul qilinsa, ushbu koeffitsiyent taxminan 8,5 foizgacha, ya’ni 8 foizlik minimal talabga yaqin darajagacha pasayadi, regulyativ kapital monandligi esa 15,3 foizni tashkil etadi. Bu hisob-kitob taxminiy bo‘lsa-da, milliy hisobot asosidagi kapital zaxirasi MHXS bo‘yicha ancha kichik bo‘lishi mumkinligini ko‘rsatadi.</w:t>
      </w:r>
    </w:p>
    <w:p>
      <w:pPr>
        <w:pStyle w:val="BodyText"/>
        <w:spacing w:line="360" w:lineRule="auto" w:before="0" w:after="0"/>
        <w:ind w:firstLine="709"/>
        <w:jc w:val="both"/>
      </w:pPr>
      <w:r>
        <w:rPr>
          <w:rFonts w:ascii="Times New Roman" w:hAnsi="Times New Roman" w:cs="Times New Roman" w:eastAsia="Times New Roman"/>
          <w:sz w:val="28"/>
        </w:rPr>
        <w:t xml:space="preserve">Sof barqaror moliyalashtirish me’yoriga ta’sirni baholash uchun u to‘rt variantda hisoblandi. Birinchi variant – Markaziy bank metodikasi va milliy hisobot ma’lumotlari bo‘yicha bankning rasmiy hisoboti. Ikkinchi variantda xuddi shu ma’lumotlarga Bazel III koeffitsiyentlari qo‘llandi. Uchinchi va to‘rtinchi variantlarda esa har ikki metodikaga MHXS bo‘yicha kapital farqi, muammoli kreditlar tasnifi va zaxiralar farqi kiritildi (2-jadval).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2-jadval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«O‘zsanoatqurilishbank» ATB ning sof barqaror moliyalashtirish me’yori: metodika va hisobot turiga qarab, 2025-yil yakuni</w:t>
      </w:r>
      <w:r>
        <w:rPr>
          <w:rStyle w:val="FootnoteReference"/>
        </w:rPr>
        <w:footnoteReference w:id="26"/>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true"/>
          <w:cantSplit/>
          <w:tblHeader/>
        </w:trPr>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Variant</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Mavjud barqaror moliyalashtirish, mlrd so‘m</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Talab qilinadigan barqaror moliyalashtirish, mlrd so‘m</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Me’yor, %</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Markaziy bank metodikasi, milliy hisobot</w:t>
            </w:r>
          </w:p>
        </w:tc>
        <w:tc>
          <w:tcPr/>
          <w:p>
            <w:pPr>
              <w:pStyle w:val="Compact"/>
              <w:spacing w:line="240" w:lineRule="auto"/>
              <w:ind w:firstLine="0"/>
              <w:jc w:val="left"/>
            </w:pPr>
            <w:r>
              <w:rPr>
                <w:rFonts w:ascii="Times New Roman" w:hAnsi="Times New Roman" w:cs="Times New Roman" w:eastAsia="Times New Roman"/>
                <w:sz w:val="22"/>
              </w:rPr>
              <w:t xml:space="preserve">74 132,6</w:t>
            </w:r>
          </w:p>
        </w:tc>
        <w:tc>
          <w:tcPr/>
          <w:p>
            <w:pPr>
              <w:pStyle w:val="Compact"/>
              <w:spacing w:line="240" w:lineRule="auto"/>
              <w:ind w:firstLine="0"/>
              <w:jc w:val="left"/>
            </w:pPr>
            <w:r>
              <w:rPr>
                <w:rFonts w:ascii="Times New Roman" w:hAnsi="Times New Roman" w:cs="Times New Roman" w:eastAsia="Times New Roman"/>
                <w:sz w:val="22"/>
              </w:rPr>
              <w:t xml:space="preserve">60 647,6</w:t>
            </w:r>
          </w:p>
        </w:tc>
        <w:tc>
          <w:tcPr/>
          <w:p>
            <w:pPr>
              <w:pStyle w:val="Compact"/>
              <w:spacing w:line="240" w:lineRule="auto"/>
              <w:ind w:firstLine="0"/>
              <w:jc w:val="left"/>
            </w:pPr>
            <w:r>
              <w:rPr>
                <w:rFonts w:ascii="Times New Roman" w:hAnsi="Times New Roman" w:cs="Times New Roman" w:eastAsia="Times New Roman"/>
                <w:sz w:val="22"/>
              </w:rPr>
              <w:t xml:space="preserve">122,2</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Bazel III metodikasi, milliy hisobot</w:t>
            </w:r>
          </w:p>
        </w:tc>
        <w:tc>
          <w:tcPr/>
          <w:p>
            <w:pPr>
              <w:pStyle w:val="Compact"/>
              <w:spacing w:line="240" w:lineRule="auto"/>
              <w:ind w:firstLine="0"/>
              <w:jc w:val="left"/>
            </w:pPr>
            <w:r>
              <w:rPr>
                <w:rFonts w:ascii="Times New Roman" w:hAnsi="Times New Roman" w:cs="Times New Roman" w:eastAsia="Times New Roman"/>
                <w:sz w:val="22"/>
              </w:rPr>
              <w:t xml:space="preserve">78 157,9</w:t>
            </w:r>
          </w:p>
        </w:tc>
        <w:tc>
          <w:tcPr/>
          <w:p>
            <w:pPr>
              <w:pStyle w:val="Compact"/>
              <w:spacing w:line="240" w:lineRule="auto"/>
              <w:ind w:firstLine="0"/>
              <w:jc w:val="left"/>
            </w:pPr>
            <w:r>
              <w:rPr>
                <w:rFonts w:ascii="Times New Roman" w:hAnsi="Times New Roman" w:cs="Times New Roman" w:eastAsia="Times New Roman"/>
                <w:sz w:val="22"/>
              </w:rPr>
              <w:t xml:space="preserve">61 255,3</w:t>
            </w:r>
          </w:p>
        </w:tc>
        <w:tc>
          <w:tcPr/>
          <w:p>
            <w:pPr>
              <w:pStyle w:val="Compact"/>
              <w:spacing w:line="240" w:lineRule="auto"/>
              <w:ind w:firstLine="0"/>
              <w:jc w:val="left"/>
            </w:pPr>
            <w:r>
              <w:rPr>
                <w:rFonts w:ascii="Times New Roman" w:hAnsi="Times New Roman" w:cs="Times New Roman" w:eastAsia="Times New Roman"/>
                <w:sz w:val="22"/>
              </w:rPr>
              <w:t xml:space="preserve">127,6</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Markaziy bank metodikasi, MHXS tuzatishlari bilan</w:t>
            </w:r>
          </w:p>
        </w:tc>
        <w:tc>
          <w:tcPr/>
          <w:p>
            <w:pPr>
              <w:pStyle w:val="Compact"/>
              <w:spacing w:line="240" w:lineRule="auto"/>
              <w:ind w:firstLine="0"/>
              <w:jc w:val="left"/>
            </w:pPr>
            <w:r>
              <w:rPr>
                <w:rFonts w:ascii="Times New Roman" w:hAnsi="Times New Roman" w:cs="Times New Roman" w:eastAsia="Times New Roman"/>
                <w:sz w:val="22"/>
              </w:rPr>
              <w:t xml:space="preserve">72 531,3</w:t>
            </w:r>
          </w:p>
        </w:tc>
        <w:tc>
          <w:tcPr/>
          <w:p>
            <w:pPr>
              <w:pStyle w:val="Compact"/>
              <w:spacing w:line="240" w:lineRule="auto"/>
              <w:ind w:firstLine="0"/>
              <w:jc w:val="left"/>
            </w:pPr>
            <w:r>
              <w:rPr>
                <w:rFonts w:ascii="Times New Roman" w:hAnsi="Times New Roman" w:cs="Times New Roman" w:eastAsia="Times New Roman"/>
                <w:sz w:val="22"/>
              </w:rPr>
              <w:t xml:space="preserve">60 700,0</w:t>
            </w:r>
          </w:p>
        </w:tc>
        <w:tc>
          <w:tcPr/>
          <w:p>
            <w:pPr>
              <w:pStyle w:val="Compact"/>
              <w:spacing w:line="240" w:lineRule="auto"/>
              <w:ind w:firstLine="0"/>
              <w:jc w:val="left"/>
            </w:pPr>
            <w:r>
              <w:rPr>
                <w:rFonts w:ascii="Times New Roman" w:hAnsi="Times New Roman" w:cs="Times New Roman" w:eastAsia="Times New Roman"/>
                <w:sz w:val="22"/>
              </w:rPr>
              <w:t xml:space="preserve">119,5</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Bazel III metodikasi, MHXS tuzatishlari bilan</w:t>
            </w:r>
          </w:p>
        </w:tc>
        <w:tc>
          <w:tcPr/>
          <w:p>
            <w:pPr>
              <w:pStyle w:val="Compact"/>
              <w:spacing w:line="240" w:lineRule="auto"/>
              <w:ind w:firstLine="0"/>
              <w:jc w:val="left"/>
            </w:pPr>
            <w:r>
              <w:rPr>
                <w:rFonts w:ascii="Times New Roman" w:hAnsi="Times New Roman" w:cs="Times New Roman" w:eastAsia="Times New Roman"/>
                <w:sz w:val="22"/>
              </w:rPr>
              <w:t xml:space="preserve">76 556,6</w:t>
            </w:r>
          </w:p>
        </w:tc>
        <w:tc>
          <w:tcPr/>
          <w:p>
            <w:pPr>
              <w:pStyle w:val="Compact"/>
              <w:spacing w:line="240" w:lineRule="auto"/>
              <w:ind w:firstLine="0"/>
              <w:jc w:val="left"/>
            </w:pPr>
            <w:r>
              <w:rPr>
                <w:rFonts w:ascii="Times New Roman" w:hAnsi="Times New Roman" w:cs="Times New Roman" w:eastAsia="Times New Roman"/>
                <w:sz w:val="22"/>
              </w:rPr>
              <w:t xml:space="preserve">61 355,3</w:t>
            </w:r>
          </w:p>
        </w:tc>
        <w:tc>
          <w:tcPr/>
          <w:p>
            <w:pPr>
              <w:pStyle w:val="Compact"/>
              <w:spacing w:line="240" w:lineRule="auto"/>
              <w:ind w:firstLine="0"/>
              <w:jc w:val="left"/>
            </w:pPr>
            <w:r>
              <w:rPr>
                <w:rFonts w:ascii="Times New Roman" w:hAnsi="Times New Roman" w:cs="Times New Roman" w:eastAsia="Times New Roman"/>
                <w:sz w:val="22"/>
              </w:rPr>
              <w:t xml:space="preserve">124,8</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Markaziy bank metodikasi Bazel III metodikasiga nisbatan ehtiyotkorroq natija beradi. Buning sababi shundaki, milliy metodikada bir yilgacha bo‘lgan majburiyatlarning faqat 30 foizi barqaror deb hisoblanadi, Bazel III da esa jismoniy shaxslar depozitlari 90–95 foiz, korxonalar depozitlari 50 foiz koeffitsiyent bilan hisobga olinadi. Aktivlar tomonida esa milliy metodika bir yildan ortiq barcha aktivlarga 100 foiz koeffitsiyent qo‘llaydi, Bazel III da ishlaydigan uzoq muddatli kreditlar uchun bu koeffitsiyent 85 foizni tashkil etadi. MHXS tuzatishlari esa me’yorni har ikki metodikada taxminan 2,7–2,8 foiz punktga pasaytiradi (3-rasm).</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3" name="3-rasm"/>
            <wp:cNvGraphicFramePr/>
            <a:graphic>
              <a:graphicData uri="http://schemas.openxmlformats.org/drawingml/2006/chart">
                <c:chart r:id="rId11"/>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3-rasm. «O‘zsanoatqurilishbank» ATB ning sof barqaror moliyalashtirish me’yori: metodika va hisobot turiga qarab, %</w:t>
      </w:r>
      <w:r>
        <w:rPr>
          <w:rStyle w:val="FootnoteReference"/>
        </w:rPr>
        <w:footnoteReference w:id="27"/>
      </w:r>
    </w:p>
    <w:p>
      <w:pPr>
        <w:pStyle w:val="BodyText"/>
        <w:spacing w:line="360" w:lineRule="auto" w:before="0" w:after="0"/>
        <w:ind w:firstLine="709"/>
        <w:jc w:val="both"/>
      </w:pPr>
      <w:r>
        <w:rPr>
          <w:rFonts w:ascii="Times New Roman" w:hAnsi="Times New Roman" w:cs="Times New Roman" w:eastAsia="Times New Roman"/>
          <w:sz w:val="28"/>
        </w:rPr>
        <w:t xml:space="preserve">Rasm ma’lumotlari muhim xulosaga olib keladi: MHXS va milliy hisobot o‘rtasidagi farq kapital yetarliligini 1,7 foiz punktga, muammoli kreditlar ulushini esa qariyb 5 foiz punktga o‘zgartirgani holda, sof barqaror moliyalashtirish me’yorini bor-yo‘g‘i 2,7–2,8 foiz punktga o‘zgartiradi. Bu avvalroq shartli misolda olingan xulosani real bank ma’lumotlarida tasdiqlaydi: hisobot standartidagi farq eng avvalo aktivlar sifati va kapital ko‘rsatkichlarida, likvidlik ko‘rsatkichlarida esa kamroq darajada namoyon bo‘ladi.</w:t>
      </w:r>
    </w:p>
    <w:p>
      <w:pPr>
        <w:pStyle w:val="BodyText"/>
        <w:spacing w:line="360" w:lineRule="auto" w:before="0" w:after="0"/>
        <w:ind w:firstLine="709"/>
        <w:jc w:val="both"/>
      </w:pPr>
      <w:r>
        <w:rPr>
          <w:rFonts w:ascii="Times New Roman" w:hAnsi="Times New Roman" w:cs="Times New Roman" w:eastAsia="Times New Roman"/>
          <w:sz w:val="28"/>
        </w:rPr>
        <w:t xml:space="preserve">Natijada quyidagi xulosaga kelish mumkin. Birinchidan, milliy hisobot asosidagi ko‘rsatkichlar «O‘zsanoatqurilishbank» ATB ning moliyaviy holatini MHXS bo‘yicha tasvirga nisbatan ancha ijobiy ko‘rsatadi: muammoli kreditlar uch barobar kam, kapital 13,5 foiz, foyda 17,9 foiz ko‘p. Ikkinchidan, bu farq bir xil emas: u aktivlar sifati blokida eng katta, kapital blokida sezilarli, likvidlik blokida esa nisbatan kichik. Uchinchidan, Markaziy bankning sof barqaror moliyalashtirish me’yorini hisoblash metodikasi Bazel III dan soddalashtirilgan va ehtiyotkorroq bo‘lib, uning koeffitsiyentlari Bazel standartiga mos emas. Shu sababli moliyaviy barqarorlikni integral baholashda milliy hisobot va MHXS ma’lumotlari o‘rtasidagi tafovutni alohida ko‘rsatkich sifatida hisobga olish va «yo‘l xaritasi»da belgilangan aktivlar tasnifi va zaxiralarni MHXS 9 ga moslashtirish ishlarini tezlashtirish maqsadga muvofiq.</w:t>
      </w:r>
    </w:p>
    <w:bookmarkEnd w:id="28"/>
    <w:sectPr>
      <w:pgMar w:left="1701" w:right="850"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«O‘zsanoatqurilishbank» ATB ning Markaziy bankka taqdim etilgan 2025-yil 30-dekabr holatidagi prudensial hisobot shakllari (crs003C, crs003L, crs003O): bank balansi, regulyativ kapital hisob-kitobi, likvidlik tahlili, aktivlarni tasniflash va prudensial me’yorlar jadvallari.</w:t>
      </w:r>
    </w:p>
  </w:footnote>
  <w:footnote w:id="21">
    <w:p>
      <w:pPr>
        <w:pStyle w:val="FootnoteText"/>
      </w:pPr>
      <w:r>
        <w:rPr>
          <w:rStyle w:val="FootnoteReference"/>
        </w:rPr>
        <w:footnoteRef/>
      </w:r>
      <w:r>
        <w:t xml:space="preserve"> </w:t>
      </w:r>
      <w:r>
        <w:t xml:space="preserve">Joint Stock Commercial Bank «Uzbek Industrial and Construction Bank» and its subsidiaries. Consolidated Financial Statements for the year ended 31 December 2025 and Independent Auditor’s Report. – Tashkent, 2026. – 103 p.</w:t>
      </w:r>
    </w:p>
  </w:footnote>
  <w:footnote w:id="22">
    <w:p>
      <w:pPr>
        <w:pStyle w:val="FootnoteText"/>
      </w:pPr>
      <w:r>
        <w:rPr>
          <w:rStyle w:val="FootnoteReference"/>
        </w:rPr>
        <w:footnoteRef/>
      </w:r>
      <w:r>
        <w:t xml:space="preserve"> </w:t>
      </w:r>
      <w:r>
        <w:t xml:space="preserve">Tadqiqot natijasida muallif tomonidan quyidagi manbalar ma’lumotlari asosida hisoblandi: «O‘zsanoatqurilishbank» ATB ning 2025-yil 30-dekabr holatidagi prudensial hisobot shakllari; Consolidated Financial Statements for the year ended 31 December 2025. – P. 2–3, 28–31.</w:t>
      </w:r>
    </w:p>
  </w:footnote>
  <w:footnote w:id="23">
    <w:p>
      <w:pPr>
        <w:pStyle w:val="FootnoteText"/>
      </w:pPr>
      <w:r>
        <w:rPr>
          <w:rStyle w:val="FootnoteReference"/>
        </w:rPr>
        <w:footnoteRef/>
      </w:r>
      <w:r>
        <w:t xml:space="preserve"> </w:t>
      </w:r>
      <w:r>
        <w:t xml:space="preserve">Tadqiqot natijasida muallif tomonidan quyidagi manbalar ma’lumotlari asosida ishlab chiqildi: «O‘zsanoatqurilishbank» ATB ning aktivlarni tasniflash to‘g‘risidagi hisoboti (10-jadval), 2025-yil 30-dekabr; Consolidated Financial Statements for the year ended 31 December 2025. – P. 28–31.</w:t>
      </w:r>
    </w:p>
  </w:footnote>
  <w:footnote w:id="24">
    <w:p>
      <w:pPr>
        <w:pStyle w:val="FootnoteText"/>
      </w:pPr>
      <w:r>
        <w:rPr>
          <w:rStyle w:val="FootnoteReference"/>
        </w:rPr>
        <w:footnoteRef/>
      </w:r>
      <w:r>
        <w:t xml:space="preserve"> </w:t>
      </w:r>
      <w:r>
        <w:t xml:space="preserve">Tadqiqot natijasida muallif tomonidan quyidagi manbalar ma’lumotlari asosida ishlab chiqildi: «O‘zsanoatqurilishbank» ATB ning bank balansi (1-jadval) va aktivlarni tasniflash to‘g‘risidagi hisoboti (10-jadval), 2025-yil 30-dekabr; Consolidated Financial Statements for the year ended 31 December 2025. – P. 2–3, 28–31.</w:t>
      </w:r>
    </w:p>
  </w:footnote>
  <w:footnote w:id="25">
    <w:p>
      <w:pPr>
        <w:pStyle w:val="FootnoteText"/>
      </w:pPr>
      <w:r>
        <w:rPr>
          <w:rStyle w:val="FootnoteReference"/>
        </w:rPr>
        <w:footnoteRef/>
      </w:r>
      <w:r>
        <w:t xml:space="preserve"> </w:t>
      </w:r>
      <w:r>
        <w:t xml:space="preserve">Consolidated Financial Statements for the year ended 31 December 2025. – P. 74.</w:t>
      </w:r>
    </w:p>
  </w:footnote>
  <w:footnote w:id="26">
    <w:p>
      <w:pPr>
        <w:pStyle w:val="FootnoteText"/>
      </w:pPr>
      <w:r>
        <w:rPr>
          <w:rStyle w:val="FootnoteReference"/>
        </w:rPr>
        <w:footnoteRef/>
      </w:r>
      <w:r>
        <w:t xml:space="preserve"> </w:t>
      </w:r>
      <w:r>
        <w:t xml:space="preserve">Tadqiqot natijasida muallif tomonidan quyidagi manbalar ma’lumotlari asosida hisoblandi: «O‘zsanoatqurilishbank» ATB ning likvidlik tahlili (16-jadval), aktiv va majburiyatlar tahlili (17–18-jadvallar), 2025-yil 30-dekabr; Consolidated Financial Statements for the year ended 31 December 2025; Basel Committee on Banking Supervision. Basel III: the net stable funding ratio. – Basel: BIS, October 2014.</w:t>
      </w:r>
    </w:p>
  </w:footnote>
  <w:footnote w:id="27">
    <w:p>
      <w:pPr>
        <w:pStyle w:val="FootnoteText"/>
      </w:pPr>
      <w:r>
        <w:rPr>
          <w:rStyle w:val="FootnoteReference"/>
        </w:rPr>
        <w:footnoteRef/>
      </w:r>
      <w:r>
        <w:t xml:space="preserve"> </w:t>
      </w:r>
      <w:r>
        <w:t xml:space="preserve">Tadqiqot natijasida muallif tomonidan ishlab chiqildi.</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pPr>
      <w:spacing w:after="180" w:before="180"/>
    </w:pPr>
    <w:qFormat/>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pPr>
      <w:spacing w:line="240" w:lineRule="auto" w:after="0"/>
      <w:ind w:firstLine="0"/>
      <w:jc w:val="both"/>
    </w:pPr>
    <w:rPr>
      <w:rFonts w:ascii="Times New Roman" w:hAnsi="Times New Roman"/>
      <w:sz w:val="20"/>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rFonts w:ascii="Times New Roman" w:hAnsi="Times New Roman"/>
      <w:b/>
    </w:rPr>
  </w:style>
  <w:style w:type="character" w:customStyle="1" w:styleId="DataTypeTok">
    <w:name w:val="DataTypeTok"/>
    <w:basedOn w:val="VerbatimChar"/>
    <w:rPr>
      <w:rFonts w:ascii="Times New Roman" w:hAnsi="Times New Roman"/>
    </w:rPr>
  </w:style>
  <w:style w:type="character" w:customStyle="1" w:styleId="DecValTok">
    <w:name w:val="DecValTok"/>
    <w:basedOn w:val="VerbatimChar"/>
    <w:rPr>
      <w:rFonts w:ascii="Times New Roman" w:hAnsi="Times New Roman"/>
    </w:rPr>
  </w:style>
  <w:style w:type="character" w:customStyle="1" w:styleId="BaseNTok">
    <w:name w:val="BaseNTok"/>
    <w:basedOn w:val="VerbatimChar"/>
    <w:rPr>
      <w:rFonts w:ascii="Times New Roman" w:hAnsi="Times New Roman"/>
    </w:rPr>
  </w:style>
  <w:style w:type="character" w:customStyle="1" w:styleId="FloatTok">
    <w:name w:val="FloatTok"/>
    <w:basedOn w:val="VerbatimChar"/>
    <w:rPr>
      <w:rFonts w:ascii="Times New Roman" w:hAnsi="Times New Roman"/>
    </w:rPr>
  </w:style>
  <w:style w:type="character" w:customStyle="1" w:styleId="ConstantTok">
    <w:name w:val="ConstantTok"/>
    <w:basedOn w:val="VerbatimChar"/>
    <w:rPr>
      <w:rFonts w:ascii="Times New Roman" w:hAnsi="Times New Roman"/>
    </w:rPr>
  </w:style>
  <w:style w:type="character" w:customStyle="1" w:styleId="CharTok">
    <w:name w:val="CharTok"/>
    <w:basedOn w:val="VerbatimChar"/>
    <w:rPr>
      <w:rFonts w:ascii="Times New Roman" w:hAnsi="Times New Roman"/>
    </w:rPr>
  </w:style>
  <w:style w:type="character" w:customStyle="1" w:styleId="SpecialCharTok">
    <w:name w:val="SpecialCharTok"/>
    <w:basedOn w:val="VerbatimChar"/>
    <w:rPr>
      <w:rFonts w:ascii="Times New Roman" w:hAnsi="Times New Roman"/>
    </w:rPr>
  </w:style>
  <w:style w:type="character" w:customStyle="1" w:styleId="StringTok">
    <w:name w:val="StringTok"/>
    <w:basedOn w:val="VerbatimChar"/>
    <w:rPr>
      <w:rFonts w:ascii="Times New Roman" w:hAnsi="Times New Roman"/>
    </w:rPr>
  </w:style>
  <w:style w:type="character" w:customStyle="1" w:styleId="VerbatimStringTok">
    <w:name w:val="VerbatimStringTok"/>
    <w:basedOn w:val="VerbatimChar"/>
    <w:rPr>
      <w:rFonts w:ascii="Times New Roman" w:hAnsi="Times New Roman"/>
    </w:rPr>
  </w:style>
  <w:style w:type="character" w:customStyle="1" w:styleId="SpecialStringTok">
    <w:name w:val="SpecialStringTok"/>
    <w:basedOn w:val="VerbatimChar"/>
    <w:rPr>
      <w:rFonts w:ascii="Times New Roman" w:hAnsi="Times New Roman"/>
    </w:rPr>
  </w:style>
  <w:style w:type="character" w:customStyle="1" w:styleId="ImportTok">
    <w:name w:val="ImportTok"/>
    <w:basedOn w:val="VerbatimChar"/>
    <w:rPr>
      <w:rFonts w:ascii="Times New Roman" w:hAnsi="Times New Roman"/>
      <w:b/>
    </w:rPr>
  </w:style>
  <w:style w:type="character" w:customStyle="1" w:styleId="CommentTok">
    <w:name w:val="CommentTok"/>
    <w:basedOn w:val="VerbatimChar"/>
    <w:rPr>
      <w:rFonts w:ascii="Times New Roman" w:hAnsi="Times New Roman"/>
      <w:i/>
    </w:rPr>
  </w:style>
  <w:style w:type="character" w:customStyle="1" w:styleId="DocumentationTok">
    <w:name w:val="DocumentationTok"/>
    <w:basedOn w:val="VerbatimChar"/>
    <w:rPr>
      <w:rFonts w:ascii="Times New Roman" w:hAnsi="Times New Roman"/>
      <w:i/>
    </w:rPr>
  </w:style>
  <w:style w:type="character" w:customStyle="1" w:styleId="AnnotationTok">
    <w:name w:val="AnnotationTok"/>
    <w:basedOn w:val="VerbatimChar"/>
    <w:rPr>
      <w:rFonts w:ascii="Times New Roman" w:hAnsi="Times New Roman"/>
      <w:b/>
      <w:i/>
    </w:rPr>
  </w:style>
  <w:style w:type="character" w:customStyle="1" w:styleId="CommentVarTok">
    <w:name w:val="CommentVarTok"/>
    <w:basedOn w:val="VerbatimChar"/>
    <w:rPr>
      <w:rFonts w:ascii="Times New Roman" w:hAnsi="Times New Roman"/>
      <w:b/>
      <w:i/>
    </w:rPr>
  </w:style>
  <w:style w:type="character" w:customStyle="1" w:styleId="OtherTok">
    <w:name w:val="OtherTok"/>
    <w:basedOn w:val="VerbatimChar"/>
    <w:rPr>
      <w:rFonts w:ascii="Times New Roman" w:hAnsi="Times New Roman"/>
    </w:rPr>
  </w:style>
  <w:style w:type="character" w:customStyle="1" w:styleId="FunctionTok">
    <w:name w:val="FunctionTok"/>
    <w:basedOn w:val="VerbatimChar"/>
    <w:rPr>
      <w:rFonts w:ascii="Times New Roman" w:hAnsi="Times New Roman"/>
    </w:rPr>
  </w:style>
  <w:style w:type="character" w:customStyle="1" w:styleId="VariableTok">
    <w:name w:val="VariableTok"/>
    <w:basedOn w:val="VerbatimChar"/>
    <w:rPr>
      <w:rFonts w:ascii="Times New Roman" w:hAnsi="Times New Roman"/>
    </w:rPr>
  </w:style>
  <w:style w:type="character" w:customStyle="1" w:styleId="ControlFlowTok">
    <w:name w:val="ControlFlowTok"/>
    <w:basedOn w:val="VerbatimChar"/>
    <w:rPr>
      <w:rFonts w:ascii="Times New Roman" w:hAnsi="Times New Roman"/>
      <w:b/>
    </w:rPr>
  </w:style>
  <w:style w:type="character" w:customStyle="1" w:styleId="OperatorTok">
    <w:name w:val="OperatorTok"/>
    <w:basedOn w:val="VerbatimChar"/>
    <w:rPr>
      <w:rFonts w:ascii="Times New Roman" w:hAnsi="Times New Roman"/>
    </w:rPr>
  </w:style>
  <w:style w:type="character" w:customStyle="1" w:styleId="BuiltInTok">
    <w:name w:val="BuiltInTok"/>
    <w:basedOn w:val="VerbatimChar"/>
    <w:rPr>
      <w:rFonts w:ascii="Times New Roman" w:hAnsi="Times New Roman"/>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rPr>
  </w:style>
  <w:style w:type="character" w:customStyle="1" w:styleId="AttributeTok">
    <w:name w:val="AttributeTok"/>
    <w:basedOn w:val="VerbatimChar"/>
    <w:rPr>
      <w:rFonts w:ascii="Times New Roman" w:hAnsi="Times New Roman"/>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rFonts w:ascii="Times New Roman" w:hAnsi="Times New Roman"/>
      <w:b/>
      <w:i/>
    </w:rPr>
  </w:style>
  <w:style w:type="character" w:customStyle="1" w:styleId="WarningTok">
    <w:name w:val="WarningTok"/>
    <w:basedOn w:val="VerbatimChar"/>
    <w:rPr>
      <w:rFonts w:ascii="Times New Roman" w:hAnsi="Times New Roman"/>
      <w:b/>
      <w:i/>
    </w:rPr>
  </w:style>
  <w:style w:type="character" w:customStyle="1" w:styleId="AlertTok">
    <w:name w:val="AlertTok"/>
    <w:basedOn w:val="VerbatimChar"/>
    <w:rPr>
      <w:rFonts w:ascii="Times New Roman" w:hAnsi="Times New Roman"/>
      <w:b/>
    </w:rPr>
  </w:style>
  <w:style w:type="character" w:customStyle="1" w:styleId="ErrorTok">
    <w:name w:val="ErrorTok"/>
    <w:basedOn w:val="VerbatimChar"/>
    <w:rPr>
      <w:rFonts w:ascii="Times New Roman" w:hAnsi="Times New Roman"/>
      <w:b/>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chart" Target="charts/chart1.xml"/><Relationship Id="rId10" Type="http://schemas.openxmlformats.org/officeDocument/2006/relationships/chart" Target="charts/chart2.xml"/><Relationship Id="rId11" Type="http://schemas.openxmlformats.org/officeDocument/2006/relationships/chart" Target="charts/chart3.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Milliy hisobot</c:v>
                </c:pt>
              </c:strCache>
            </c:strRef>
          </c:tx>
          <c:spPr>
            <a:solidFill>
              <a:srgbClr val="2A78D6"/>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Sheet1!$A$2:$A$3</c:f>
              <c:strCache>
                <c:ptCount val="2"/>
                <c:pt idx="0">
                  <c:v>Muammoli kreditlar
(milliy) / 3-bosqich (MHXS)</c:v>
                </c:pt>
                <c:pt idx="1">
                  <c:v>Substandart kreditlar
(milliy) / 2-bosqich (MHXS)</c:v>
                </c:pt>
              </c:strCache>
            </c:strRef>
          </c:cat>
          <c:val>
            <c:numRef>
              <c:f>Sheet1!$B$2:$B$3</c:f>
              <c:numCache>
                <c:formatCode>General</c:formatCode>
                <c:ptCount val="2"/>
                <c:pt idx="0">
                  <c:v>2.53</c:v>
                </c:pt>
                <c:pt idx="1">
                  <c:v>18.44</c:v>
                </c:pt>
              </c:numCache>
            </c:numRef>
          </c:val>
        </c:ser>
        <c:ser>
          <c:idx val="1"/>
          <c:order val="1"/>
          <c:tx>
            <c:strRef>
              <c:f>Sheet1!$C$1</c:f>
              <c:strCache>
                <c:ptCount val="1"/>
                <c:pt idx="0">
                  <c:v>MHXS</c:v>
                </c:pt>
              </c:strCache>
            </c:strRef>
          </c:tx>
          <c:spPr>
            <a:solidFill>
              <a:srgbClr val="EB6834"/>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Sheet1!$A$2:$A$3</c:f>
              <c:strCache>
                <c:ptCount val="2"/>
                <c:pt idx="0">
                  <c:v>Muammoli kreditlar
(milliy) / 3-bosqich (MHXS)</c:v>
                </c:pt>
                <c:pt idx="1">
                  <c:v>Substandart kreditlar
(milliy) / 2-bosqich (MHXS)</c:v>
                </c:pt>
              </c:strCache>
            </c:strRef>
          </c:cat>
          <c:val>
            <c:numRef>
              <c:f>Sheet1!$C$2:$C$3</c:f>
              <c:numCache>
                <c:formatCode>General</c:formatCode>
                <c:ptCount val="2"/>
                <c:pt idx="0">
                  <c:v>7.48</c:v>
                </c:pt>
                <c:pt idx="1">
                  <c:v>35.66</c:v>
                </c:pt>
              </c:numCache>
            </c:numRef>
          </c:val>
        </c:ser>
        <c:gapWidth val="8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222"/>
        <c:crosses val="autoZero"/>
        <c:auto val="1"/>
        <c:lblAlgn val="ctr"/>
        <c:lblOffset val="100"/>
        <c:noMultiLvlLbl val="0"/>
      </c:catAx>
      <c:valAx>
        <c:axId val="222"/>
        <c:scaling>
          <c:orientation val="minMax"/>
          <c:max val="4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Jami kreditlardagi ulushi,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1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Milliy hisobot</c:v>
                </c:pt>
              </c:strCache>
            </c:strRef>
          </c:tx>
          <c:spPr>
            <a:solidFill>
              <a:srgbClr val="2A78D6"/>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Sheet1!$A$2:$A$4</c:f>
              <c:strCache>
                <c:ptCount val="3"/>
                <c:pt idx="0">
                  <c:v>Xususiy kapital</c:v>
                </c:pt>
                <c:pt idx="1">
                  <c:v>Sof foyda</c:v>
                </c:pt>
                <c:pt idx="2">
                  <c:v>Kreditlar bo‘yicha
zaxiralar</c:v>
                </c:pt>
              </c:strCache>
            </c:strRef>
          </c:cat>
          <c:val>
            <c:numRef>
              <c:f>Sheet1!$B$2:$B$4</c:f>
              <c:numCache>
                <c:formatCode>General</c:formatCode>
                <c:ptCount val="3"/>
                <c:pt idx="0">
                  <c:v>11.88</c:v>
                </c:pt>
                <c:pt idx="1">
                  <c:v>1.88</c:v>
                </c:pt>
                <c:pt idx="2">
                  <c:v>2.95</c:v>
                </c:pt>
              </c:numCache>
            </c:numRef>
          </c:val>
        </c:ser>
        <c:ser>
          <c:idx val="1"/>
          <c:order val="1"/>
          <c:tx>
            <c:strRef>
              <c:f>Sheet1!$C$1</c:f>
              <c:strCache>
                <c:ptCount val="1"/>
                <c:pt idx="0">
                  <c:v>MHXS</c:v>
                </c:pt>
              </c:strCache>
            </c:strRef>
          </c:tx>
          <c:spPr>
            <a:solidFill>
              <a:srgbClr val="EB6834"/>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Sheet1!$A$2:$A$4</c:f>
              <c:strCache>
                <c:ptCount val="3"/>
                <c:pt idx="0">
                  <c:v>Xususiy kapital</c:v>
                </c:pt>
                <c:pt idx="1">
                  <c:v>Sof foyda</c:v>
                </c:pt>
                <c:pt idx="2">
                  <c:v>Kreditlar bo‘yicha
zaxiralar</c:v>
                </c:pt>
              </c:strCache>
            </c:strRef>
          </c:cat>
          <c:val>
            <c:numRef>
              <c:f>Sheet1!$C$2:$C$4</c:f>
              <c:numCache>
                <c:formatCode>General</c:formatCode>
                <c:ptCount val="3"/>
                <c:pt idx="0">
                  <c:v>10.27</c:v>
                </c:pt>
                <c:pt idx="1">
                  <c:v>1.54</c:v>
                </c:pt>
                <c:pt idx="2">
                  <c:v>4.25</c:v>
                </c:pt>
              </c:numCache>
            </c:numRef>
          </c:val>
        </c:ser>
        <c:gapWidth val="8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222"/>
        <c:crosses val="autoZero"/>
        <c:auto val="1"/>
        <c:lblAlgn val="ctr"/>
        <c:lblOffset val="100"/>
        <c:noMultiLvlLbl val="0"/>
      </c:catAx>
      <c:valAx>
        <c:axId val="222"/>
        <c:scaling>
          <c:orientation val="minMax"/>
          <c:max val="1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trln so‘m</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Milliy hisobot</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Sheet1!$A$2:$A$3</c:f>
              <c:strCache>
                <c:ptCount val="2"/>
                <c:pt idx="0">
                  <c:v>Markaziy bank
metodikasi</c:v>
                </c:pt>
                <c:pt idx="1">
                  <c:v>Bazel III
metodikasi</c:v>
                </c:pt>
              </c:strCache>
            </c:strRef>
          </c:cat>
          <c:val>
            <c:numRef>
              <c:f>Sheet1!$B$2:$B$3</c:f>
              <c:numCache>
                <c:formatCode>General</c:formatCode>
                <c:ptCount val="2"/>
                <c:pt idx="0">
                  <c:v>122.2</c:v>
                </c:pt>
                <c:pt idx="1">
                  <c:v>127.6</c:v>
                </c:pt>
              </c:numCache>
            </c:numRef>
          </c:val>
        </c:ser>
        <c:ser>
          <c:idx val="1"/>
          <c:order val="1"/>
          <c:tx>
            <c:strRef>
              <c:f>Sheet1!$C$1</c:f>
              <c:strCache>
                <c:ptCount val="1"/>
                <c:pt idx="0">
                  <c:v>MHXS tuzatishlari bilan</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Sheet1!$A$2:$A$3</c:f>
              <c:strCache>
                <c:ptCount val="2"/>
                <c:pt idx="0">
                  <c:v>Markaziy bank
metodikasi</c:v>
                </c:pt>
                <c:pt idx="1">
                  <c:v>Bazel III
metodikasi</c:v>
                </c:pt>
              </c:strCache>
            </c:strRef>
          </c:cat>
          <c:val>
            <c:numRef>
              <c:f>Sheet1!$C$2:$C$3</c:f>
              <c:numCache>
                <c:formatCode>General</c:formatCode>
                <c:ptCount val="2"/>
                <c:pt idx="0">
                  <c:v>119.5</c:v>
                </c:pt>
                <c:pt idx="1">
                  <c:v>124.8</c:v>
                </c:pt>
              </c:numCache>
            </c:numRef>
          </c:val>
        </c:ser>
        <c:ser>
          <c:idx val="2"/>
          <c:order val="2"/>
          <c:tx>
            <c:strRef>
              <c:f>Sheet1!$D$1</c:f>
              <c:strCache>
                <c:ptCount val="1"/>
                <c:pt idx="0">
                  <c:v>Minimal talab</c:v>
                </c:pt>
              </c:strCache>
            </c:strRef>
          </c:tx>
          <c:spPr>
            <a:solidFill>
              <a:srgbClr val="A5A5A5"/>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Sheet1!$A$2:$A$3</c:f>
              <c:strCache>
                <c:ptCount val="2"/>
                <c:pt idx="0">
                  <c:v>Markaziy bank
metodikasi</c:v>
                </c:pt>
                <c:pt idx="1">
                  <c:v>Bazel III
metodikasi</c:v>
                </c:pt>
              </c:strCache>
            </c:strRef>
          </c:cat>
          <c:val>
            <c:numRef>
              <c:f>Sheet1!$D$2:$D$3</c:f>
              <c:numCache>
                <c:formatCode>General</c:formatCode>
                <c:ptCount val="2"/>
                <c:pt idx="0">
                  <c:v>100</c:v>
                </c:pt>
                <c:pt idx="1">
                  <c:v>100</c:v>
                </c:pt>
              </c:numCache>
            </c:numRef>
          </c:val>
        </c:ser>
        <c:gapWidth val="8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222"/>
        <c:crosses val="autoZero"/>
        <c:auto val="1"/>
        <c:lblAlgn val="ctr"/>
        <c:lblOffset val="100"/>
        <c:noMultiLvlLbl val="0"/>
      </c:catAx>
      <c:valAx>
        <c:axId val="222"/>
        <c:scaling>
          <c:orientation val="minMax"/>
          <c:max val="14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2026-10-11T05:40:22Z</dcterms:created>
  <dcterms:modified xsi:type="dcterms:W3CDTF">2026-10-11T05:40:22Z</dcterms:modified>
</cp:coreProperties>
</file>

<file path=docProps/custom.xml><?xml version="1.0" encoding="utf-8"?>
<Properties xmlns="http://schemas.openxmlformats.org/officeDocument/2006/custom-properties" xmlns:vt="http://schemas.openxmlformats.org/officeDocument/2006/docPropsVTypes"/>
</file>