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foydalanilgan-adabiyotlar-royxati"/>
    <w:p>
      <w:pPr>
        <w:pStyle w:val="Heading2"/>
        <w:keepNext/>
        <w:spacing w:line="360" w:lineRule="auto" w:before="24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 xml:space="preserve">FOYDALANILGAN ADABIYOTLAR RO‘YXATI</w:t>
      </w:r>
    </w:p>
    <w:p>
      <w:pPr>
        <w:pStyle w:val="FirstParagraph"/>
        <w:spacing w:line="360" w:lineRule="auto" w:before="0" w:after="0"/>
        <w:ind w:firstLine="709"/>
        <w:jc w:val="both"/>
      </w:pPr>
      <w:r>
        <w:rPr>
          <w:bCs/>
          <w:rFonts w:ascii="Times New Roman" w:hAnsi="Times New Roman" w:cs="Times New Roman" w:eastAsia="Times New Roman"/>
          <w:b/>
          <w:sz w:val="28"/>
        </w:rPr>
        <w:t xml:space="preserve">I. Normativ-huquqiy hujjatlar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1. O‘zbekiston Respublikasining 2019-yil 11-noyabrdagi O‘RQ-582-son «O‘zbekiston Respublikasining Markaziy banki to‘g‘risida»gi Qonuni // Qonunchilik ma’lumotlari milliy bazasi.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2. O‘zbekiston Respublikasining 2019-yil 5-noyabrdagi O‘RQ-580-son «Banklar va bank faoliyati to‘g‘risida»gi Qonuni // Qonunchilik ma’lumotlari milliy bazasi, 06.11.2019-y.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3. O‘zbekiston Respublikasining 2025-yil 23-iyundagi O‘RQ-1070-son «Banklarni sanatsiya qilish va tugatish to‘g‘risida»gi Qonuni // Qonunchilik ma’lumotlari milliy bazasi.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4. O‘zbekiston Respublikasi Prezidentining 2020-yil 12-maydagi PF-5992-son «2020–2025-yillarga mo‘ljallangan O‘zbekiston Respublikasining bank tizimini isloh qilish strategiyasi to‘g‘risida»gi Farmoni // Qonunchilik ma’lumotlari milliy bazasi, 13.05.2020-y.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5. O‘zbekiston Respublikasi Prezidentining 2022-yil 28-yanvardagi PF-60-son «2022–2026-yillarga mo‘ljallangan Yangi O‘zbekistonning taraqqiyot strategiyasi to‘g‘risida»gi Farmoni // Qonunchilik ma’lumotlari milliy bazasi.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6. O‘zbekiston Respublikasi Prezidentining 2020-yil 24-fevraldagi PQ-4611-son «Moliyaviy hisobotning xalqaro standartlariga o‘tish bo‘yicha qo‘shimcha chora-tadbirlar to‘g‘risida»gi qarori // Qonunchilik ma’lumotlari milliy bazasi, 25.02.2020-y.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7. Banklar kapitalining monandligiga qo‘yiladigan talablar to‘g‘risidagi nizom (O‘zbekiston Respublikasi Markaziy banki Boshqaruvining 02.10.2025 dagi 21/6-son qarori, ro‘yxat raqami 3697, 28.10.2025) // https://lex.uz/docs/7793613.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8. Tijorat banklari kapitalining monandligiga qo‘yiladigan talablar to‘g‘risidagi nizom (O‘zbekiston Respublikasi Markaziy banki Boshqaruvining qarori, ro‘yxat raqami 2693, 06.07.2015). – https://lex.uz.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9. O‘zbekiston Respublikasi Markaziy banki Boshqaruvining 2015-yil 22-iyuldagi 19/14-son qarori bilan tasdiqlangan «Tijorat banklarining likvidliligini boshqarishga qo‘yiladigan talablar to‘g‘risida»gi nizom (ro‘yxat raqami 2709) // O‘zbekiston Respublikasi qonun hujjatlari to‘plami. – 2015. – 32 (688)-son. – 437-modda.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10. Tijorat banklarida aktivlar sifatini tasniflash va aktivlar bo‘yicha ehtimoliy yo‘qotishlarni qoplash uchun zaxiralarni shakllantirish hamda ulardan foydalanish tartibi to‘g‘risidagi nizom (O‘zbekiston Respublikasi Markaziy banki Boshqaruvining qarori, ro‘yxat raqami 2696, 14.07.2015) // https://lex.uz.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11. O‘zbekiston Respublikasi Markaziy banki. Moliya sektorini baholash dasturi (FSAP) tavsiyalarini amalga oshirish bo‘yicha 2025–2028-yillarga mo‘ljallangan «yo‘l xaritasi» – Toshkent, 17.11.2025.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bCs/>
          <w:rFonts w:ascii="Times New Roman" w:hAnsi="Times New Roman" w:cs="Times New Roman" w:eastAsia="Times New Roman"/>
          <w:b/>
          <w:sz w:val="28"/>
        </w:rPr>
        <w:t xml:space="preserve">II. Xalqaro standartlar, xalqaro tashkilotlar va xorijiy nazorat organlarining hujjatlari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12. Basel Committee on Banking Supervision. A framework for dealing with domestic systemically important banks. – Basel: Bank for International Settlements, October 2012.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13. Basel Committee on Banking Supervision. Basel III: A global regulatory framework for more resilient banks and banking systems. – Basel: Bank for International Settlements, December 2010 (rev. June 2011).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14. Basel Committee on Banking Supervision. Basel III: Finalising post-crisis reforms. – Basel: BIS, December 2017.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15. Basel Committee on Banking Supervision. Basel III: The Liquidity Coverage Ratio and liquidity risk monitoring tools. – Basel: BIS, January 2013.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16. Basel Committee on Banking Supervision. Basel III: The Net Stable Funding Ratio. – Basel: BIS, October 2014.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17. Basel Committee on Banking Supervision. Guidance on credit risk and accounting for expected credit losses. – Basel: Bank for International Settlements, December 2015.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18. Basel Committee on Banking Supervision. Regulatory treatment of accounting provisions – interim approach and transitional arrangements. – Basel: Bank for International Settlements, March 2017.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19. Basel Committee on Banking Supervision. Report on the 2023 banking turmoil. – Basel: BIS, October 2023.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20. Basel Committee on Banking Supervision. Stress testing principles. – Basel: BIS, October 2018.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21. Board of Governors of the Federal Reserve System, Federal Deposit Insurance Corporation, Office of the Comptroller of the Currency. Regulatory capital proposals implementing the final Basel III standards. – Washington, DC, 19 March 2026.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22. Board of Governors of the Federal Reserve System. Modifications to the Capital Plan Rule and Stress Capital Buffer Requirement // Federal Register. – 2026. – 2 October; Federal Reserve Board finalizes changes to enhance the transparency and public accountability of its stress test: press release, 30 September 2026.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23. Board of Governors of the Federal Reserve System. Revisions to the Large Financial Institution Rating System and Framework for the Supervision of Insurance Organizations // Federal Register. – 2025. – 17 November.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24. Čihák M. How Do Central Banks Write on Financial Stability?: IMF Working Paper WP/06/163. – Washington, DC: International Monetary Fund, 2006.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25. Čihák M. Introduction to Applied Stress Testing: IMF Working Paper WP/07/59. – Washington, DC: International Monetary Fund, 2007.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26. European Banking Authority. 2025 EU-wide stress test: Results. – Paris: EBA, 1 August 2025.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27. European Banking Authority. Guidelines on common procedures and methodologies for the supervisory review and evaluation process (SREP) and supervisory stress testing (EBA/GL/2022/03). – Paris: EBA, 18 March 2022.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28. European Central Bank. Financial stability and macroprudential policy. – https://www.ecb.europa.eu/paym/financial-stability/html/index.en.html.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29. Federal Deposit Insurance Corporation Improvement Act of 1991, Section 131: Prompt Corrective Action (12 U.S.C. § 1831o). – Washington, DC: U.S. Congress, 1991.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30. Federal Financial Institutions Examination Council. Proposed Revisions to the Uniform Financial Institutions Rating System (CAMELS). – Washington, DC, 19 May 2026.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31. Houben A., Kakes J., Schinasi G. Toward a Framework for Safeguarding Financial Stability: IMF Working Paper WP/04/101. – Washington, DC: International Monetary Fund, 2004.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32. IFRS 9 Financial Instruments. – London: International Accounting Standards Board, 2014.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33. International Monetary Fund. Financial Soundness Indicators: Compilation Guide. – Washington, DC: IMF, 2019.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34. International Monetary Fund. Global Financial Stability Report: Potent Policies for a Successful Normalization. – Washington, DC: IMF, April 2016.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35. International Monetary Fund. People’s Republic of China: 2025 Article IV Consultation – Press Release; Staff Report; and Statement by the Executive Director. IMF Country Report No. 26/44. – Washington, DC: IMF, 2026.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36. International Monetary Fund. Republic of Uzbekistan: 2022 Article IV Consultation – Press Release; Staff Report; and Statement by the Executive Director for the Republic of Uzbekistan. IMF Country Report No. 22/189. – Washington, DC: IMF, 2022. – P. 30 (Table 7).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37. International Monetary Fund. Republic of Uzbekistan: Financial Sector Assessment Program – Detailed Assessment of Observance – Basel Core Principles for Effective Banking Supervision. IMF Country Report No. 25/227. – Washington, DC: IMF, 2025.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38. International Monetary Fund. Republic of Uzbekistan: Financial Sector Assessment Program – Financial System Stability Assessment. IMF Country Report No. 25/145. – Washington, DC: IMF, 2025.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39. International Monetary Fund. Uzbekistan: Staff Concluding Statement of the 2026 Article IV Mission. – 13.04.2026. – https://www.imf.org/en/news/articles/2026/04/13/mcs041326-uzbekistan.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40. Law of the People’s Republic of China on Commercial Banks (2015 Amendment). – Beijing: Standing Committee of the National People’s Congress, 29 August 2015.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41. National Financial Regulatory Administration. Measures for the Capital Management of Commercial Banks. – Beijing, 2023 (2024-yil 1-yanvardan kuchga kirgan).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42. National Financial Regulatory Administration. Supervisory Statistics of the Banking and Insurance Sectors: 2023-yil IV chorak, 2024-yil IV chorak, 2025-yil III chorak. – https://www.nfra.gov.cn/en/.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43. Nkusu M. Nonperforming Loans and Macrofinancial Vulnerabilities in Advanced Economies: IMF Working Paper WP/11/161. – Washington, DC: International Monetary Fund, 2011.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44. OECD, JRC. Handbook on Constructing Composite Indicators: Methodology and User Guide. – Paris: OECD Publishing, 2008.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45. Prudential Regulation Authority. The PRA announces a delay to the implementation of Basel 3.1: press release. – London: Bank of England, 17 January 2025.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46. Regulation (EU) 2024/1623 of the European Parliament and of the Council of 31 May 2024 amending Regulation (EU) No 575/2013 as regards requirements for credit risk, credit valuation adjustment risk, operational risk, market risk and the output floor // Official Journal of the European Union. – 2024. – 19 June.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47. Sahajwala R., Van den Bergh P. Supervisory risk assessment and early warning systems: Basel Committee on Banking Supervision Working Papers No. 4. – Basel: BIS, December 2000.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48. Schinasi G.J. Defining Financial Stability: IMF Working Paper WP/04/187. – Washington, DC: International Monetary Fund, 2004. – 18 p.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49. World Bank. Republic of Uzbekistan: Financial Sector Assessment. – Washington, DC: World Bank, 2025.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50. World Bank. Uzbekistan Financial Sector Reform Project: Project Appraisal Document. Report No. PAD4468. – Washington, DC: World Bank, 2022.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51. Банк России устанавливает порядок выхода из послабления по нормативу краткосрочной ликвидности и предоставляет безотзывные кредитные линии: пресс-релиз Банка России. – М., 2023; ЦБ скорректировал условия кредитным линиям для банковского норматива краткосрочной ликвидности // Интерфакс. – 2025.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52. Банк России. Национальная антициклическая надбавка: решение Совета директоров от 8 ноября 2024 г. – https://www.cbr.ru/finstab/instruments/ccb/.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53. Национальный норматив краткосрочной ликвидности для СЗКО: порядок расчета: информация Банка России от 12 августа 2025 г. – https://www.cbr.ru/press/event/?id=26840.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bCs/>
          <w:rFonts w:ascii="Times New Roman" w:hAnsi="Times New Roman" w:cs="Times New Roman" w:eastAsia="Times New Roman"/>
          <w:b/>
          <w:sz w:val="28"/>
        </w:rPr>
        <w:t xml:space="preserve">III. Monografiyalar, darsliklar va o‘quv qo‘llanmalar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54. Baltagi B.H. Econometric Analysis of Panel Data. – 6th ed. – Cham: Springer, 2021.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55. Cargill T.F. The Financial System, Financial Regulation and Central Bank Policy. – Cambridge: Cambridge University Press, 2017.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56. He Wei Ping. Banking Regulation in China: The Role of Public and Private Sectors. – New York: Palgrave Macmillan, 2014.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57. Hendrickson J.M. Regulation and Instability in U.S. Commercial Banking: A History of Crises. – Basingstoke: Palgrave Macmillan, 2011.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58. Hosmer D.W., Lemeshow S., Sturdivant R.X. Applied Logistic Regression. – 3rd ed. – Hoboken, NJ: John Wiley &amp; Sons, 2013.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59. Izzi L., Oricchio G., Vitale L. Basel III Credit Rating Systems: An Applied Guide to Quantitative and Qualitative Models. – Basingstoke: Palgrave Macmillan, 2012.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60. Karaliyev T.M., Sayfiddinov I.F. Tijorat banklari faoliyatini tartibga solish va nazorati: darslik. – T.: Iqtisod-Moliya, 2019.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61. Langohr H., Langohr P. The Rating Agencies and Their Credit Ratings: What They Are, How They Work and Why They Are Relevant. – Chichester: John Wiley &amp; Sons, 2008.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62. Modina M. Credit Rating and Bank–Firm Relationships: New Models to Better Evaluate SMEs. – Basingstoke: Palgrave Macmillan, 2015.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63. Peláez C.M., Peláez C.A. Regulation of Banks and Finance: Theory and Policy after the Credit Crisis. – Basingstoke: Palgrave Macmillan, 2009.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64. Tarullo D.K. Banking on Basel: The Future of International Financial Regulation. – Washington, DC: Peterson Institute for International Economics, 2008.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65. Wooldridge J.M. Econometric Analysis of Cross Section and Panel Data. – 2nd ed. – Cambridge, MA: MIT Press, 2010.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66. Бердияров Б.Т. Ўзбекистон Республикаси тижорат банкларининг ликвидлилиги ва тўлов қобилиятини таъминлаш масалалари: монография. – Т.: BMA, 2020.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67. Герасимова Е.Б. Феноменологический подход к анализу устойчивости организации // Сибирская финансовая школа. – 2011. – № 3. – Цит. по: Вотинцева Р.С. Современные теоретические подходы к определению понятия «Финансовая устойчивость коммерческих банков» // Вестник Удмуртского университета. Серия «Экономика и право». – 2014. – Вып. 3.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68. Карминский А.М. Кредитные рейтинги и их моделирование. – М.: Изд. дом НИУ ВШЭ, 2015.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69. Оценка финансовой устойчивости кредитной организации: учебник / под ред. О.И. Лаврушина, И.Д. Мамоновой. – М.: КНОРУС, 2011.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70. Регулирование банковской сферы: учебник / под ред. О.Н. Афанасьевой, С.Е. Дубовой. – М.: КНОРУС.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71. Соколинская Н.Э. Анализ и оценка финансового состояния коммерческого банка на основе международных стандартов финансовой отчетности: учебное пособие. – М.: РУСАЙНС.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72. Устойчивость банковской системы и развитие банковской политики: монография / под ред. О.И. Лаврушина. – М.: КНОРУС, 2014.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73. Фетисов Г.Г. Устойчивость банковской системы и методология ее оценки. – М.: Экономика, 2003. – 394 с.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74. Фетисов Г.Г. Устойчивость коммерческого банка и рейтинговые системы ее оценки. – М.: Финансы и статистика, 1999.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75. Шаталова Е.П. Банковские рейтинги в системе риск-менеджмента: процедуры мониторинга кредитных рейтингов: учебное пособие. – 2020.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bCs/>
          <w:rFonts w:ascii="Times New Roman" w:hAnsi="Times New Roman" w:cs="Times New Roman" w:eastAsia="Times New Roman"/>
          <w:b/>
          <w:sz w:val="28"/>
        </w:rPr>
        <w:t xml:space="preserve">IV. Ilmiy maqolalar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76. Abad J., Suarez J. Assessing the cyclical implications of IFRS 9 – a recursive model // European Systemic Risk Board Occasional Paper Series. – 2017. – No. 12. – 48 p.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77. Adrian T., Brunnermeier M.K. CoVaR // American Economic Review. – 2016. – Vol. 106, No. 7. – P. 1705–1741.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78. Anderson T.W., Hsiao C. Estimation of Dynamic Models with Error Components // Journal of the American Statistical Association. – 1981. – Vol. 76, No. 375. – P. 598–606.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79. Arellano M., Bond S. Some Tests of Specification for Panel Data: Monte Carlo Evidence and an Application to Employment Equations // Review of Economic Studies. – 1991. – Vol. 58, No. 2. – P. 277–297.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80. Athanasoglou P.P., Brissimis S.N., Delis M.D. Bank-specific, industry-specific and macroeconomic determinants of bank profitability // Journal of International Financial Markets, Institutions and Money. – 2008. – Vol. 18, No. 2. – P. 121–136.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81. Beck R., Jakubík P., Piloiu A. Key Determinants of Non-performing Loans: New Evidence from a Global Sample // Open Economies Review. – 2015. – Vol. 26, No. 3. – P. 525–550.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82. Betz F., Oprică S., Peltonen T.A., Sarlin P. Predicting distress in European banks // Journal of Banking &amp; Finance. – 2014. – Vol. 45. – P. 225–241.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83. Bholat D., Lastra R.M., Markose S.M., Miglionico A., Sen K. Non-performing loans at the dawn of IFRS 9: regulatory and accounting treatment of asset quality // Journal of Banking Regulation. – 2018. – Vol. 19, No. 1. – P. 33–54.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84. Borio C. Towards a Macroprudential Framework for Financial Supervision and Regulation?: BIS Working Papers No. 128. – Basel: Bank for International Settlements, 2003. – 32 p.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85. Boyd J.H., Graham S.L. Risk, Regulation, and Bank Holding Company Expansion into Nonbanking // Federal Reserve Bank of Minneapolis Quarterly Review. – 1986. – Vol. 10, No. 2. – P. 2–17.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86. Breusch T.S., Pagan A.R. The Lagrange Multiplier Test and its Applications to Model Specification in Econometrics // Review of Economic Studies. – 1980. – Vol. 47, No. 1. – P. 239–253.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87. Charoenwong B., Miao M., Ruan T. Nonperforming Loan Disposals Without Resolution // Management Science. – 2025. – Vol. 71, No. 1. – P. 898–916.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88. Chiaramonte L., Poli F. Predicting European Bank Distress: Evidence from the Recent Financial Crisis // Governance, Regulation and Bank Stability / ed. by T. Lindblom, S. Sjögren, M. Willesson. – Basingstoke: Palgrave Macmillan, 2014.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89. Cocozza R. Back to the Future: Prospective Bank Risk Management in a Financial Analysis Perspective // Bank Risk, Governance and Regulation / ed. by E. Beccalli, F. Poli. – Basingstoke: Palgrave Macmillan, 2015.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90. Cole R.A., Gunther J.W. Predicting Bank Failures: A Comparison of On- and Off-Site Monitoring Systems // Journal of Financial Services Research. – 1998. – Vol. 13, No. 2. – P. 103–117.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91. Cornett M.M., Guo L., Khaksari S., Tehranian H. The impact of state ownership on performance differences in privately-owned versus state-owned banks: An international comparison // Journal of Financial Intermediation. – 2010. – Vol. 19, No. 1. – P. 74–94.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92. Crockett A. Why Is Financial Stability a Goal of Public Policy? // Maintaining Financial Stability in a Global Economy. – Kansas City: Federal Reserve Bank of Kansas City, 1997. – P. 7–36.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93. Davis E.P., Karim D. Comparing early warning systems for banking crises // Journal of Financial Stability. – 2008. – Vol. 4, No. 2. – P. 89–120.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94. DeLong E.R., DeLong D.M., Clarke-Pearson D.L. Comparing the Areas under Two or More Correlated Receiver Operating Characteristic Curves: A Nonparametric Approach // Biometrics. – 1988. – Vol. 44, No. 3. – P. 837–845.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95. Demirgüç-Kunt A., Detragiache E. The Determinants of Banking Crises in Developing and Developed Countries // IMF Staff Papers. – 1998. – Vol. 45, No. 1. – P. 81–109.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96. Demirgüç-Kunt A., Huizinga H. Bank activity and funding strategies: The impact on risk and returns // Journal of Financial Economics. – 2010. – Vol. 98, No. 3. – P. 626–650.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97. Diamond D.W., Dybvig P.H. Bank Runs, Deposit Insurance, and Liquidity // Journal of Political Economy. – 1983. – Vol. 91, No. 3. – P. 401–419.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98. Fawcett T. An introduction to ROC analysis // Pattern Recognition Letters. – 2006. – Vol. 27, No. 8. – P. 861–874.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99. Foos D., Norden L., Weber M. Loan growth and riskiness of banks // Journal of Banking &amp; Finance. – 2010. – Vol. 34, No. 12. – P. 2929–2940.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100. Gualandri E., Noera M. Towards a Macroprudential Policy in the EU // Bank Risk, Governance and Regulation / ed. by E. Beccalli, F. Poli. – Basingstoke: Palgrave Macmillan, 2015.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101. Hausman J.A. Specification Tests in Econometrics // Econometrica. – 1978. – Vol. 46, No. 6. – P. 1251–1271.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102. Huizinga H., Laeven L. Bank valuation and accounting discretion during a financial crisis // Journal of Financial Economics. – 2012. – Vol. 106, No. 3. – P. 614–634.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103. Iannotta G., Nocera G., Sironi A. Ownership structure, risk and performance in the European banking industry // Journal of Banking &amp; Finance. – 2007. – Vol. 31, No. 7. – P. 2127–2149.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104. Illing M., Liu Y. Measuring financial stress in a developed country: An application to Canada // Journal of Financial Stability. – 2006. – Vol. 2, No. 3. – P. 243–265.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105. Kaminsky G., Lizondo S., Reinhart C.M. Leading Indicators of Currency Crises // IMF Staff Papers. – 1998. – Vol. 45, No. 1. – P. 1–48.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106. Kaminsky G.L., Reinhart C.M. The Twin Crises: The Causes of Banking and Balance-of-Payments Problems // American Economic Review. – 1999. – Vol. 89, No. 3. – P. 473–500.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107. Laeven L., Levine R. Bank governance, regulation and risk taking // Journal of Financial Economics. – 2009. – Vol. 93, No. 2. – P. 259–275.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108. Laeven L., Valencia F. Systemic Banking Crises Database II // IMF Economic Review. – 2020. – Vol. 68, No. 2. – P. 307–361.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109. Lepetit L., Strobel F. Bank insolvency risk and time-varying Z-score measures // Journal of International Financial Markets, Institutions and Money. – 2013. – Vol. 25. – P. 73–87.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110. Louzis D.P., Vouldis A.T., Metaxas V.L. Macroeconomic and bank-specific determinants of non-performing loans in Greece: A comparative study of mortgage, business and consumer loan portfolios // Journal of Banking &amp; Finance. – 2012. – Vol. 36, No. 4. – P. 1012–1027.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111. Merton R.C. On the Pricing of Corporate Debt: The Risk Structure of Interest Rates // Journal of Finance. – 1974. – Vol. 29, No. 2. – P. 449–470.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112. Minsky H.P. The Financial Instability Hypothesis: Working Paper No. 74. – Annandale-on-Hudson: The Jerome Levy Economics Institute of Bard College, 1992. – 10 p.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113. Mishkin F.S. Global Financial Instability: Framework, Events, Issues // Journal of Economic Perspectives. – 1999. – Vol. 13, No. 4. – P. 3–20.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114. Nickell S. Biases in Dynamic Models with Fixed Effects // Econometrica. – 1981. – Vol. 49, No. 6. – P. 1417–1426.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115. Roy A.D. Safety First and the Holding of Assets // Econometrica. – 1952. – Vol. 20, No. 3. – P. 431–449.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116. Saisana M., Saltelli A., Tarantola S. Uncertainty and sensitivity analysis techniques as tools for the quality assessment of composite indicators // Journal of the Royal Statistical Society: Series A. – 2005. – Vol. 168, No. 2. – P. 307–323.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117. Shannon C.E. A Mathematical Theory of Communication // Bell System Technical Journal. – 1948. – Vol. 27, No. 3. – P. 379–423.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118. Sorge M., Virolainen K. A comparative analysis of macro stress-testing methodologies with application to Finland // Journal of Financial Stability. – 2006. – Vol. 2, No. 2. – P. 113–151.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119. Stock J.H., Yogo M. Testing for Weak Instruments in Linear IV Regression // Identification and Inference for Econometric Models: Essays in Honor of Thomas Rothenberg / ed. by D.W.K. Andrews, J.H. Stock. – Cambridge: Cambridge University Press, 2005. – P. 80–108.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120. Thakor A.V. Leverage, System Risk and Financial System Health: How Do We Develop a Healthy Financial System? // Governance, Regulation and Bank Stability / ed. by T. Lindblom, S. Sjögren, M. Willesson. – Basingstoke: Palgrave Macmillan, 2014.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121. Tian W. Regulatory Capital Requirement in Basel III // Commercial Banking Risk Management: Regulation in the Wake of the Financial Crisis / ed. by W. Tian. – New York: Palgrave Macmillan, 2017.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122. Tutino F., Brugnoni G.C., Siena M.G. Italian Banks Facing Basel 3 Higher Capital Requirements: Which Strategies Are Actually Feasible? // Bank Risk, Governance and Regulation / ed. by E. Beccalli, F. Poli. – Basingstoke: Palgrave Macmillan, 2015.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123. О приведении банковского регулирования в соответствие со стандартами Базельского комитета по банковскому надзору (Базель III) в условиях нестабильной экономической ситуации: монография / под ред. И.В. Ларионовой. – М.: КНОРУС.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124. Тимофеева З.А. Концептуальные основы исследования экономического содержания финансовой устойчивости банковской системы // Финансы и кредит. – 2014. – № 6 (582).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125. Шуббар Х.Х., Гиринский А.В. Содержание и принципы устойчивости банковской системы // Вестник РУДН. Серия: Экономика. – 2019. – Т. 27, № 1.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bCs/>
          <w:rFonts w:ascii="Times New Roman" w:hAnsi="Times New Roman" w:cs="Times New Roman" w:eastAsia="Times New Roman"/>
          <w:b/>
          <w:sz w:val="28"/>
        </w:rPr>
        <w:t xml:space="preserve">V. Dissertatsiyalar va avtoreferatlar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126. Abdishukurov Sh.Sh. Tijorat banklarining moliyaviy barqarorligini ta’minlash yo‘nalishlari: iqtisodiyot fanlari bo‘yicha falsafa doktori (PhD) dissertatsiyasi avtoreferati. – Toshkent, 2026. – 54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127. Abdullayev A.Ya. Tijorat banklarining likvidlilik darajasini oshirish metodologiyasini takomillashtirish: iqtisodiyot fanlari doktori (DSc) dissertatsiyasi avtoreferati. – Toshkent, 2018. – 74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128. Bozorov R.X. Tijorat banklari moliyaviy barqarorligini ta’minlashni takomillashtirish: iqtisodiyot fanlari bo‘yicha falsafa doktori (PhD) dissertatsiyasi avtoreferati. – Toshkent, 2020. – 52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129. Djalilov G.K. Banklarning moliyaviy barqarorligini ta’minlashning ustuvor yo‘nalishlari: iqtisodiyot fanlari bo‘yicha falsafa doktori (PhD) dissertatsiyasi avtoreferati. – Toshkent, 2026. – 63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130. Ismatov N.R. Bank kredit portfeli riskini baholash va boshqarishning metodologik asoslarini takomillashtirish: iqtisodiyot fanlari doktori (DSc) dissertatsiyasi avtoreferati. – Toshkent, 2026. – 73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131. Karabayev N.A. Tijorat banklari faoliyatini reyting tizimi asosida baholashni takomillashtirish: iqtisodiyot fanlari bo‘yicha falsafa doktori (PhD) dissertatsiyasi avtoreferati. – Toshkent, 2018. – 54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132. Madaminov B.A. Tijorat banklarida risk-menejment tizimini takomillashtirish asosida moliyaviy barqarorlikni ta’minlash metodologiyasi: iqtisodiyot fanlari doktori (DSc) dissertatsiyasi avtoreferati. – Toshkent, 2026. – 78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133. Mahmudaliyeva Yo.A. Tijorat banklarining moliyaviy barqarorligi va uni baholash: iqtisod fanlari nomzodi dissertatsiyasi avtoreferati. – Toshkent, 2001. – 22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134. Sadikov I.G. Iqtisodiyotni transformatsiyalash jarayonida tijorat banklarining moliyaviy barqarorligini ta’minlash yo‘llari: iqtisodiyot fanlari bo‘yicha falsafa doktori (PhD) dissertatsiyasi avtoreferati. – Toshkent, 2025. – 57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135. Sattarov O.B. O‘zbekiston Respublikasi bank tizimi barqarorligini ta’minlash metodologiyasini takomillashtirish: iqtisodiyot fanlari doktori (DSc) dissertatsiyasi avtoreferati. – Toshkent, 2018. – 67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136. Sattorova N.G‘. Tijorat banklari likvidliligini optimallashtirish yo‘llari: iqtisodiyot fanlari bo‘yicha falsafa doktori (PhD) dissertatsiyasi avtoreferati. – Toshkent, 2026. – 69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137. Sharipova N.H. Tijorat banklari moliyaviy barqarorligini mustahkamlashning konseptual asoslarini takomillashtirish: iqtisodiyot fanlari doktori (DSc) dissertatsiyasi avtoreferati. – Toshkent, 2026.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138. Togayev S.S. Tijorat banklarining moliyaviy barqarorligini ta’minlash yo‘llari: iqtisodiyot fanlari bo‘yicha falsafa doktori (PhD) dissertatsiyasi. – Toshkent, 2022.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139. Xolmamatov F.K. O‘zbekiston Respublikasining bank tizimining barqarorligini oshirish yo‘llari: iqtisodiyot fanlari doktori (DSc) dissertatsiyasi avtoreferati. – Toshkent: TMI, 2023. – 91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140. Xolov N.Q. Tijorat banklari barqarorligini mustahkamlash metodologiyasini takomillashtirish: iqtisodiyot fanlari doktori (DSc) dissertatsiyasi. – Toshkent: TDIU, 2025.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141. Yodgorov M.N. Tijorat banklari kapitali barqarorligini ta’minlash yo‘llari: iqtisodiyot fanlari bo‘yicha falsafa doktori (PhD) dissertatsiyasi avtoreferati. – Toshkent, 2026. – 69 b.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bCs/>
          <w:rFonts w:ascii="Times New Roman" w:hAnsi="Times New Roman" w:cs="Times New Roman" w:eastAsia="Times New Roman"/>
          <w:b/>
          <w:sz w:val="28"/>
        </w:rPr>
        <w:t xml:space="preserve">VI. Statistik ma’lumotlar, hisobotlar va internet manbalari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142. O‘zbekiston Respublikasi Markaziy banki. Statistik byulleten: 2021-yil. – Toshkent, 2022. – https://cbu.uz/uz/statistics/buleten/.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143. O‘zbekiston Respublikasi Markaziy banki. Statistik byulleten: 2026-yil mart. – Toshkent, 2026. – https://cbu.uz/uz/statistics/buleten/.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144. O‘zbekiston Respublikasi Markaziy banki. Moliyaviy barqarorlik sharhi: 2022-yil. – Toshkent, 2023.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145. The Central Bank of the Republic of Uzbekistan. Financial Stability Report for 2023. – Tashkent, 2024.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146. O‘zbekiston Respublikasi Markaziy banki. 2024-yil uchun moliyaviy barqarorlik sharhi. – Toshkent, 2025.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147. The Central Bank of the Republic of Uzbekistan. Financial Stability Report for 2025. – Tashkent, 2026.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148. The Central Bank of the Republic of Uzbekistan. Annual Report 2023. – Tashkent, 2024.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149. O‘zbekiston Respublikasi Markaziy banki. Banklar statistikasi: tijorat banklarining asosiy ko‘rsatkichlari va muammoli kreditlari to‘g‘risidagi oylik ma’lumotlar, 2021-yil aprel – 2026-yil yanvar. – https://cbu.uz/uz/statistics/bankstats/.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150. «SNS» reyting agentligi. O‘zbekiston tijorat banklarining asosiy ko‘rsatkichlari bazasi (Banks_2025_IV, Banks_2026_II): 36 bank, 2021-yil IV chorak – 2026-yil II chorak.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151. «O‘zsanoatqurilishbank» ATB ning Markaziy bankka taqdim etilgan prudensial hisobot shakllari (crs003C, crs003L, crs003O): bank balansi, daromadlar, regulyativ kapital hisob-kitobi, aktivlarni tasniflash va prudensial me’yorlar jadvallari, 2020–2025-yillar 30-dekabr holatiga.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152. «Mikrokreditbank» ATB ning Markaziy bankka taqdim etilgan prudensial hisobot shakllari (crs005C, crs005L, crs005O): bank balansi, daromadlar, regulyativ kapital hisob-kitobi, aktivlarni tasniflash va prudensial me’yorlar jadvallari, 2020–2025-yillar 30-dekabr holatiga.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153. Joint Stock Commercial Bank «Uzbek Industrial and Construction Bank» and its subsidiaries. Consolidated Financial Statements for the year ended 31 December 2025 and Independent Auditor’s Report. – Tashkent, 2026.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154. Акционерный коммерческий банк «Узбекский промышленно-строительный банк» и его дочерние организации. Консолидированная финансовая отчетность за год, закончившийся 31 декабря 2021 года, и аудиторское заключение. – Ташкент, 2022.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155. Акционерный коммерческий банк «Узбекский промышленно-строительный банк» и его дочерние организации. Консолидированная финансовая отчетность и аудиторское заключение за годы, закончившиеся 31 декабря 2023, 2022 и 2021 гг. – Ташкент, 2024.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156. Акционерно-коммерческий банк «Микрокредитбанк». Финансовая отчетность за год, закончившийся 31 декабря 2021 года, и заключение независимых аудиторов. – Ташкент, 2022.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157. Акционерно-коммерческий банк «Микрокредитбанк». Финансовая отчетность за год, закончившийся 31 декабря 2023 года, и заключение независимых аудиторов. – Ташкент, 2024.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158. Акционерно-коммерческий банк «Микрокредитбанк». Консолидированная финансовая отчетность за год, закончившийся 31 декабря 2025 года, и заключение независимых аудиторов. – Ташкент, 2026.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159. Joint-Stock Commercial Bank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“</w:t>
      </w:r>
      <w:r>
        <w:rPr>
          <w:rFonts w:ascii="Times New Roman" w:hAnsi="Times New Roman" w:cs="Times New Roman" w:eastAsia="Times New Roman"/>
          <w:sz w:val="28"/>
        </w:rPr>
        <w:t xml:space="preserve">Business Development Bank</w:t>
      </w:r>
      <w:r>
        <w:rPr>
          <w:rFonts w:ascii="Times New Roman" w:hAnsi="Times New Roman" w:cs="Times New Roman" w:eastAsia="Times New Roman"/>
          <w:sz w:val="28"/>
        </w:rPr>
        <w:t xml:space="preserve">”</w:t>
      </w:r>
      <w:r>
        <w:rPr>
          <w:rFonts w:ascii="Times New Roman" w:hAnsi="Times New Roman" w:cs="Times New Roman" w:eastAsia="Times New Roman"/>
          <w:sz w:val="28"/>
        </w:rPr>
        <w:t xml:space="preserve">. Consolidated Financial Statements for the year ended 31 December 2025 and Independent Auditors’ Report. – Tashkent: KPMG Audit, 2026. – https://brb.uz/bank-haqida/moliyaviy-korsatkichlar.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160. Joint-stock commercial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“</w:t>
      </w:r>
      <w:r>
        <w:rPr>
          <w:rFonts w:ascii="Times New Roman" w:hAnsi="Times New Roman" w:cs="Times New Roman" w:eastAsia="Times New Roman"/>
          <w:sz w:val="28"/>
        </w:rPr>
        <w:t xml:space="preserve">Xalq Bank</w:t>
      </w:r>
      <w:r>
        <w:rPr>
          <w:rFonts w:ascii="Times New Roman" w:hAnsi="Times New Roman" w:cs="Times New Roman" w:eastAsia="Times New Roman"/>
          <w:sz w:val="28"/>
        </w:rPr>
        <w:t xml:space="preserve">”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of the Republic of Uzbekistan. Consolidated financial statements and independent auditor’s report for the year ended 31 December 2025. – Tashkent: Ernst &amp; Young, 2026. – https://xb.uz/page/auditorlik-xulosalari-2.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161. Joint-Stock Commercial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“</w:t>
      </w:r>
      <w:r>
        <w:rPr>
          <w:rFonts w:ascii="Times New Roman" w:hAnsi="Times New Roman" w:cs="Times New Roman" w:eastAsia="Times New Roman"/>
          <w:sz w:val="28"/>
        </w:rPr>
        <w:t xml:space="preserve">Xalq Bank</w:t>
      </w:r>
      <w:r>
        <w:rPr>
          <w:rFonts w:ascii="Times New Roman" w:hAnsi="Times New Roman" w:cs="Times New Roman" w:eastAsia="Times New Roman"/>
          <w:sz w:val="28"/>
        </w:rPr>
        <w:t xml:space="preserve">”</w:t>
      </w:r>
      <w:r>
        <w:rPr>
          <w:rFonts w:ascii="Times New Roman" w:hAnsi="Times New Roman" w:cs="Times New Roman" w:eastAsia="Times New Roman"/>
          <w:sz w:val="28"/>
        </w:rPr>
        <w:t xml:space="preserve">. Consolidated financial statements and independent auditor’s report for the year ended 31 December 2022. – Tashkent: Ernst &amp; Young, 2023.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162. Joint Stock Commercial Mortgage Bank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“</w:t>
      </w:r>
      <w:r>
        <w:rPr>
          <w:rFonts w:ascii="Times New Roman" w:hAnsi="Times New Roman" w:cs="Times New Roman" w:eastAsia="Times New Roman"/>
          <w:sz w:val="28"/>
        </w:rPr>
        <w:t xml:space="preserve">Ipoteka Bank</w:t>
      </w:r>
      <w:r>
        <w:rPr>
          <w:rFonts w:ascii="Times New Roman" w:hAnsi="Times New Roman" w:cs="Times New Roman" w:eastAsia="Times New Roman"/>
          <w:sz w:val="28"/>
        </w:rPr>
        <w:t xml:space="preserve">”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and its subsidiaries. Consolidated Financial Statements and Independent Auditor’s Report for the year ended 31 December 2025. – Tashkent: Ernst &amp; Young, 2026. – https://www.ipotekabank.uz/en/about/investors/.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163. Joint Stock Commercial Mortgage Bank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“</w:t>
      </w:r>
      <w:r>
        <w:rPr>
          <w:rFonts w:ascii="Times New Roman" w:hAnsi="Times New Roman" w:cs="Times New Roman" w:eastAsia="Times New Roman"/>
          <w:sz w:val="28"/>
        </w:rPr>
        <w:t xml:space="preserve">Ipoteka Bank</w:t>
      </w:r>
      <w:r>
        <w:rPr>
          <w:rFonts w:ascii="Times New Roman" w:hAnsi="Times New Roman" w:cs="Times New Roman" w:eastAsia="Times New Roman"/>
          <w:sz w:val="28"/>
        </w:rPr>
        <w:t xml:space="preserve">”</w:t>
      </w:r>
      <w:r>
        <w:rPr>
          <w:rFonts w:ascii="Times New Roman" w:hAnsi="Times New Roman" w:cs="Times New Roman" w:eastAsia="Times New Roman"/>
          <w:sz w:val="28"/>
        </w:rPr>
        <w:t xml:space="preserve"> </w:t>
      </w:r>
      <w:r>
        <w:rPr>
          <w:rFonts w:ascii="Times New Roman" w:hAnsi="Times New Roman" w:cs="Times New Roman" w:eastAsia="Times New Roman"/>
          <w:sz w:val="28"/>
        </w:rPr>
        <w:t xml:space="preserve">and its subsidiaries. Consolidated Financial Statements and Independent Auditors’ Report for the year ended 31 December 2023. – Tashkent: Ernst &amp; Young, 2024.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164. Non-Bank Financial Institutions &amp; Private Credit in Uzbekistan 2026 // Kilde. – https://www.kilde.sg/post/non-bank-financial-institutions-and-private-credit-investment-in-uzbekistan-2026-update.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165. The Central Bank of the Republic of Uzbekistan. Financial Stability Report for H1 2025. – Tashkent, 2025. – https://cbu.uz.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166. The Financial Stability Report for 2024 has been published // The Central Bank of the Republic of Uzbekistan. – https://cbu.uz/en/press_center/releases/2489245/.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167. Countercyclical capital buffer // The Central Bank of the Republic of Uzbekistan. – https://cbu.uz/en/financial-stability/macroprudential-policy-tools/.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168. 2026-yil uchun mahalliy tizimli ahamiyatga molik banklar belgilandi // O‘zbekiston Respublikasi Markaziy banki. – https://cbu.uz.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169. https://www.bis.org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170. https://www.imf.org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171. https://www.worldbank.org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172. https://www.ifrs.org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173. https://cbu.uz</w:t>
      </w:r>
    </w:p>
    <w:p>
      <w:pPr>
        <w:pStyle w:val="BodyText"/>
        <w:spacing w:line="360" w:lineRule="auto" w:before="0" w:after="0"/>
        <w:ind w:firstLine="709"/>
        <w:jc w:val="both"/>
      </w:pPr>
      <w:r>
        <w:rPr>
          <w:rFonts w:ascii="Times New Roman" w:hAnsi="Times New Roman" w:cs="Times New Roman" w:eastAsia="Times New Roman"/>
          <w:sz w:val="28"/>
        </w:rPr>
        <w:t xml:space="preserve">174. https://lex.uz</w:t>
      </w:r>
    </w:p>
    <w:bookmarkEnd w:id="20"/>
    <w:sectPr>
      <w:pgMar w:left="1701" w:right="850" w:top="1134" w:bottom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Times New Roman" w:hAnsi="Times New Roman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 w:ascii="Times New Roman" w:hAnsi="Times New Roman"/>
      <w:b/>
      <w:bCs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Times New Roman" w:hAnsi="Times New Roman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Times New Roman" w:hAnsi="Times New Roman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rFonts w:ascii="Times New Roman" w:hAnsi="Times New Roman"/>
      <w:b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imes New Roman" w:hAnsi="Times New Roman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 w:ascii="Times New Roman" w:hAnsi="Times New Roman"/>
      <w:b/>
      <w:bCs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 w:ascii="Times New Roman" w:hAnsi="Times New Roman"/>
      <w:b/>
      <w:bCs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 w:ascii="Times New Roman" w:hAnsi="Times New Roman"/>
      <w:b/>
      <w:bCs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 w:ascii="Times New Roman" w:hAnsi="Times New Roman"/>
      <w:i/>
      <w:bCs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 w:ascii="Times New Roman" w:hAnsi="Times New Roman"/>
      <w:iCs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 w:ascii="Times New Roman" w:hAnsi="Times New Roman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imes New Roman" w:hAnsi="Times New Roman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line="240" w:lineRule="auto" w:after="0"/>
      <w:ind w:firstLine="0"/>
      <w:jc w:val="both"/>
    </w:pPr>
    <w:rPr>
      <w:rFonts w:ascii="Times New Roman" w:hAnsi="Times New Roman"/>
      <w:sz w:val="20"/>
    </w:rPr>
  </w:style>
  <w:style w:default="1" w:styleId="DefaultParagraphFont" w:type="character">
    <w:name w:val="Default Paragraph Font"/>
    <w:semiHidden/>
    <w:unhideWhenUsed/>
    <w:rPr>
      <w:rFonts w:ascii="Times New Roman" w:hAnsi="Times New Roman"/>
    </w:rPr>
  </w:style>
  <w:style w:default="1" w:styleId="Table" w:type="table">
    <w:name w:val="Table"/>
    <w:basedOn w:val="TableNormal"/>
    <w:semiHidden/>
    <w:unhideWhenUsed/>
    <w:qFormat/>
    <w:rPr>
      <w:rFonts w:ascii="Times New Roman" w:hAnsi="Times New Roman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imes New Roman" w:hAnsi="Times New Roman"/>
      <w:b/>
    </w:rPr>
  </w:style>
  <w:style w:customStyle="1" w:styleId="Definition" w:type="paragraph">
    <w:name w:val="Definition"/>
    <w:basedOn w:val="Normal"/>
    <w:rPr>
      <w:rFonts w:ascii="Times New Roman" w:hAnsi="Times New Roman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imes New Roman" w:hAnsi="Times New Roman"/>
      <w:i/>
    </w:rPr>
  </w:style>
  <w:style w:customStyle="1" w:styleId="TableCaption" w:type="paragraph">
    <w:name w:val="Table Caption"/>
    <w:basedOn w:val="Caption"/>
    <w:pPr>
      <w:keepNext/>
    </w:pPr>
    <w:rPr>
      <w:rFonts w:ascii="Times New Roman" w:hAnsi="Times New Roman"/>
    </w:rPr>
  </w:style>
  <w:style w:customStyle="1" w:styleId="ImageCaption" w:type="paragraph">
    <w:name w:val="Image Caption"/>
    <w:basedOn w:val="Caption"/>
    <w:rPr>
      <w:rFonts w:ascii="Times New Roman" w:hAnsi="Times New Roman"/>
    </w:rPr>
  </w:style>
  <w:style w:customStyle="1" w:styleId="Figure" w:type="paragraph">
    <w:name w:val="Figure"/>
    <w:basedOn w:val="Normal"/>
    <w:rPr>
      <w:rFonts w:ascii="Times New Roman" w:hAnsi="Times New Roman"/>
    </w:rPr>
  </w:style>
  <w:style w:customStyle="1" w:styleId="CaptionedFigure" w:type="paragraph">
    <w:name w:val="Captioned Figure"/>
    <w:basedOn w:val="Figure"/>
    <w:pPr>
      <w:keepNext/>
    </w:pPr>
    <w:rPr>
      <w:rFonts w:ascii="Times New Roman" w:hAnsi="Times New Roman"/>
    </w:rPr>
  </w:style>
  <w:style w:customStyle="1" w:styleId="BodyTextChar" w:type="character">
    <w:name w:val="Body Text Char"/>
    <w:basedOn w:val="DefaultParagraphFont"/>
    <w:link w:val="BodyText"/>
    <w:rPr>
      <w:rFonts w:ascii="Times New Roman" w:hAnsi="Times New Roman"/>
    </w:rPr>
  </w:style>
  <w:style w:customStyle="1" w:styleId="VerbatimChar" w:type="character">
    <w:name w:val="Verbatim Char"/>
    <w:basedOn w:val="BodyTextChar"/>
    <w:rPr>
      <w:rFonts w:ascii="Times New Roman" w:hAnsi="Times New Roman"/>
      <w:sz w:val="22"/>
    </w:rPr>
  </w:style>
  <w:style w:customStyle="1" w:styleId="SectionNumber" w:type="character">
    <w:name w:val="Section Number"/>
    <w:basedOn w:val="BodyTextChar"/>
    <w:rPr>
      <w:rFonts w:ascii="Times New Roman" w:hAnsi="Times New Roman"/>
    </w:rPr>
  </w:style>
  <w:style w:styleId="FootnoteReference" w:type="character">
    <w:name w:val="Footnote Reference"/>
    <w:basedOn w:val="BodyTextChar"/>
    <w:rPr>
      <w:rFonts w:ascii="Times New Roman" w:hAnsi="Times New Roman"/>
      <w:vertAlign w:val="superscript"/>
    </w:rPr>
  </w:style>
  <w:style w:styleId="Hyperlink" w:type="character">
    <w:name w:val="Hyperlink"/>
    <w:basedOn w:val="BodyTextChar"/>
    <w:rPr>
      <w:rFonts w:ascii="Times New Roman" w:hAnsi="Times New Roma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 w:ascii="Times New Roman" w:hAnsi="Times New Roma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Times New Roman" w:hAnsi="Times New Roman"/>
    </w:rPr>
  </w:style>
  <w:style w:type="character" w:customStyle="1" w:styleId="KeywordTok">
    <w:name w:val="KeywordTok"/>
    <w:basedOn w:val="VerbatimChar"/>
    <w:rPr>
      <w:rFonts w:ascii="Times New Roman" w:hAnsi="Times New Roman"/>
      <w:b/>
    </w:rPr>
  </w:style>
  <w:style w:type="character" w:customStyle="1" w:styleId="DataTypeTok">
    <w:name w:val="DataTypeTok"/>
    <w:basedOn w:val="VerbatimChar"/>
    <w:rPr>
      <w:rFonts w:ascii="Times New Roman" w:hAnsi="Times New Roman"/>
    </w:rPr>
  </w:style>
  <w:style w:type="character" w:customStyle="1" w:styleId="DecValTok">
    <w:name w:val="DecValTok"/>
    <w:basedOn w:val="VerbatimChar"/>
    <w:rPr>
      <w:rFonts w:ascii="Times New Roman" w:hAnsi="Times New Roman"/>
    </w:rPr>
  </w:style>
  <w:style w:type="character" w:customStyle="1" w:styleId="BaseNTok">
    <w:name w:val="BaseNTok"/>
    <w:basedOn w:val="VerbatimChar"/>
    <w:rPr>
      <w:rFonts w:ascii="Times New Roman" w:hAnsi="Times New Roman"/>
    </w:rPr>
  </w:style>
  <w:style w:type="character" w:customStyle="1" w:styleId="FloatTok">
    <w:name w:val="FloatTok"/>
    <w:basedOn w:val="VerbatimChar"/>
    <w:rPr>
      <w:rFonts w:ascii="Times New Roman" w:hAnsi="Times New Roman"/>
    </w:rPr>
  </w:style>
  <w:style w:type="character" w:customStyle="1" w:styleId="ConstantTok">
    <w:name w:val="ConstantTok"/>
    <w:basedOn w:val="VerbatimChar"/>
    <w:rPr>
      <w:rFonts w:ascii="Times New Roman" w:hAnsi="Times New Roman"/>
    </w:rPr>
  </w:style>
  <w:style w:type="character" w:customStyle="1" w:styleId="CharTok">
    <w:name w:val="CharTok"/>
    <w:basedOn w:val="VerbatimChar"/>
    <w:rPr>
      <w:rFonts w:ascii="Times New Roman" w:hAnsi="Times New Roman"/>
    </w:rPr>
  </w:style>
  <w:style w:type="character" w:customStyle="1" w:styleId="SpecialCharTok">
    <w:name w:val="SpecialCharTok"/>
    <w:basedOn w:val="VerbatimChar"/>
    <w:rPr>
      <w:rFonts w:ascii="Times New Roman" w:hAnsi="Times New Roman"/>
    </w:rPr>
  </w:style>
  <w:style w:type="character" w:customStyle="1" w:styleId="StringTok">
    <w:name w:val="StringTok"/>
    <w:basedOn w:val="VerbatimChar"/>
    <w:rPr>
      <w:rFonts w:ascii="Times New Roman" w:hAnsi="Times New Roman"/>
    </w:rPr>
  </w:style>
  <w:style w:type="character" w:customStyle="1" w:styleId="VerbatimStringTok">
    <w:name w:val="VerbatimStringTok"/>
    <w:basedOn w:val="VerbatimChar"/>
    <w:rPr>
      <w:rFonts w:ascii="Times New Roman" w:hAnsi="Times New Roman"/>
    </w:rPr>
  </w:style>
  <w:style w:type="character" w:customStyle="1" w:styleId="SpecialStringTok">
    <w:name w:val="SpecialStringTok"/>
    <w:basedOn w:val="VerbatimChar"/>
    <w:rPr>
      <w:rFonts w:ascii="Times New Roman" w:hAnsi="Times New Roman"/>
    </w:rPr>
  </w:style>
  <w:style w:type="character" w:customStyle="1" w:styleId="ImportTok">
    <w:name w:val="ImportTok"/>
    <w:basedOn w:val="VerbatimChar"/>
    <w:rPr>
      <w:rFonts w:ascii="Times New Roman" w:hAnsi="Times New Roman"/>
      <w:b/>
    </w:rPr>
  </w:style>
  <w:style w:type="character" w:customStyle="1" w:styleId="CommentTok">
    <w:name w:val="CommentTok"/>
    <w:basedOn w:val="VerbatimChar"/>
    <w:rPr>
      <w:rFonts w:ascii="Times New Roman" w:hAnsi="Times New Roman"/>
      <w:i/>
    </w:rPr>
  </w:style>
  <w:style w:type="character" w:customStyle="1" w:styleId="DocumentationTok">
    <w:name w:val="DocumentationTok"/>
    <w:basedOn w:val="VerbatimChar"/>
    <w:rPr>
      <w:rFonts w:ascii="Times New Roman" w:hAnsi="Times New Roman"/>
      <w:i/>
    </w:rPr>
  </w:style>
  <w:style w:type="character" w:customStyle="1" w:styleId="AnnotationTok">
    <w:name w:val="AnnotationTok"/>
    <w:basedOn w:val="VerbatimChar"/>
    <w:rPr>
      <w:rFonts w:ascii="Times New Roman" w:hAnsi="Times New Roman"/>
      <w:b/>
      <w:i/>
    </w:rPr>
  </w:style>
  <w:style w:type="character" w:customStyle="1" w:styleId="CommentVarTok">
    <w:name w:val="CommentVarTok"/>
    <w:basedOn w:val="VerbatimChar"/>
    <w:rPr>
      <w:rFonts w:ascii="Times New Roman" w:hAnsi="Times New Roman"/>
      <w:b/>
      <w:i/>
    </w:rPr>
  </w:style>
  <w:style w:type="character" w:customStyle="1" w:styleId="OtherTok">
    <w:name w:val="OtherTok"/>
    <w:basedOn w:val="VerbatimChar"/>
    <w:rPr>
      <w:rFonts w:ascii="Times New Roman" w:hAnsi="Times New Roman"/>
    </w:rPr>
  </w:style>
  <w:style w:type="character" w:customStyle="1" w:styleId="FunctionTok">
    <w:name w:val="FunctionTok"/>
    <w:basedOn w:val="VerbatimChar"/>
    <w:rPr>
      <w:rFonts w:ascii="Times New Roman" w:hAnsi="Times New Roman"/>
    </w:rPr>
  </w:style>
  <w:style w:type="character" w:customStyle="1" w:styleId="VariableTok">
    <w:name w:val="VariableTok"/>
    <w:basedOn w:val="VerbatimChar"/>
    <w:rPr>
      <w:rFonts w:ascii="Times New Roman" w:hAnsi="Times New Roman"/>
    </w:rPr>
  </w:style>
  <w:style w:type="character" w:customStyle="1" w:styleId="ControlFlowTok">
    <w:name w:val="ControlFlowTok"/>
    <w:basedOn w:val="VerbatimChar"/>
    <w:rPr>
      <w:rFonts w:ascii="Times New Roman" w:hAnsi="Times New Roman"/>
      <w:b/>
    </w:rPr>
  </w:style>
  <w:style w:type="character" w:customStyle="1" w:styleId="OperatorTok">
    <w:name w:val="OperatorTok"/>
    <w:basedOn w:val="VerbatimChar"/>
    <w:rPr>
      <w:rFonts w:ascii="Times New Roman" w:hAnsi="Times New Roman"/>
    </w:rPr>
  </w:style>
  <w:style w:type="character" w:customStyle="1" w:styleId="BuiltInTok">
    <w:name w:val="BuiltInTok"/>
    <w:basedOn w:val="VerbatimChar"/>
    <w:rPr>
      <w:rFonts w:ascii="Times New Roman" w:hAnsi="Times New Roman"/>
    </w:rPr>
  </w:style>
  <w:style w:type="character" w:customStyle="1" w:styleId="ExtensionTok">
    <w:name w:val="ExtensionTok"/>
    <w:basedOn w:val="VerbatimChar"/>
    <w:rPr>
      <w:rFonts w:ascii="Times New Roman" w:hAnsi="Times New Roman"/>
    </w:rPr>
  </w:style>
  <w:style w:type="character" w:customStyle="1" w:styleId="PreprocessorTok">
    <w:name w:val="PreprocessorTok"/>
    <w:basedOn w:val="VerbatimChar"/>
    <w:rPr>
      <w:rFonts w:ascii="Times New Roman" w:hAnsi="Times New Roman"/>
    </w:rPr>
  </w:style>
  <w:style w:type="character" w:customStyle="1" w:styleId="AttributeTok">
    <w:name w:val="AttributeTok"/>
    <w:basedOn w:val="VerbatimChar"/>
    <w:rPr>
      <w:rFonts w:ascii="Times New Roman" w:hAnsi="Times New Roman"/>
    </w:rPr>
  </w:style>
  <w:style w:type="character" w:customStyle="1" w:styleId="RegionMarkerTok">
    <w:name w:val="RegionMarkerTok"/>
    <w:basedOn w:val="VerbatimChar"/>
    <w:rPr>
      <w:rFonts w:ascii="Times New Roman" w:hAnsi="Times New Roman"/>
    </w:rPr>
  </w:style>
  <w:style w:type="character" w:customStyle="1" w:styleId="InformationTok">
    <w:name w:val="InformationTok"/>
    <w:basedOn w:val="VerbatimChar"/>
    <w:rPr>
      <w:rFonts w:ascii="Times New Roman" w:hAnsi="Times New Roman"/>
      <w:b/>
      <w:i/>
    </w:rPr>
  </w:style>
  <w:style w:type="character" w:customStyle="1" w:styleId="WarningTok">
    <w:name w:val="WarningTok"/>
    <w:basedOn w:val="VerbatimChar"/>
    <w:rPr>
      <w:rFonts w:ascii="Times New Roman" w:hAnsi="Times New Roman"/>
      <w:b/>
      <w:i/>
    </w:rPr>
  </w:style>
  <w:style w:type="character" w:customStyle="1" w:styleId="AlertTok">
    <w:name w:val="AlertTok"/>
    <w:basedOn w:val="VerbatimChar"/>
    <w:rPr>
      <w:rFonts w:ascii="Times New Roman" w:hAnsi="Times New Roman"/>
      <w:b/>
    </w:rPr>
  </w:style>
  <w:style w:type="character" w:customStyle="1" w:styleId="ErrorTok">
    <w:name w:val="ErrorTok"/>
    <w:basedOn w:val="VerbatimChar"/>
    <w:rPr>
      <w:rFonts w:ascii="Times New Roman" w:hAnsi="Times New Roman"/>
      <w:b/>
    </w:rPr>
  </w:style>
  <w:style w:type="character" w:customStyle="1" w:styleId="NormalTok">
    <w:name w:val="NormalTok"/>
    <w:basedOn w:val="VerbatimChar"/>
    <w:rPr>
      <w:rFonts w:ascii="Times New Roman" w:hAnsi="Times New Roman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2026-10-12T02:28:25Z</dcterms:created>
  <dcterms:modified xsi:type="dcterms:W3CDTF">2026-10-12T02:28:25Z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