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Yangi 3.1.3-rasm (namuna)</w:t>
      </w:r>
    </w:p>
    <w:p>
      <w:r>
        <w:rPr>
          <w:sz w:val="22"/>
        </w:rPr>
        <w:t>Joyi: 3.1.6-jadval tahlilidan keyin, vaznlarga sezgirlik tahlilidan oldin. Qizil – yangi matn. Hozirgi 3.1.3-rasm 3.1.4-rasmga aylanadi (nomi va matndagi havolalar).</w:t>
      </w:r>
    </w:p>
    <w:p>
      <w:pPr>
        <w:ind w:firstLine="709"/>
        <w:jc w:val="both"/>
      </w:pPr>
      <w:r>
        <w:rPr>
          <w:b w:val="0"/>
          <w:color w:val="FF0000"/>
          <w:sz w:val="28"/>
        </w:rPr>
        <w:t>2025-yilda aniqlangan tafovut bir yillik holat emasligini tekshirish uchun integral indeks uchala bank bo‘yicha 2021–2025-yillar uchun ham ikki variantda hisoblandi (3.1.3-rasm).</w:t>
      </w:r>
    </w:p>
    <w:p>
      <w:pPr>
        <w:jc w:val="center"/>
      </w:pPr>
      <w:r xmlns:a="http://schemas.openxmlformats.org/drawingml/2006/main" xmlns:c="http://schemas.openxmlformats.org/drawingml/2006/chart">
        <w:rPr>
          <w:noProof/>
        </w:rPr>
        <w:drawing>
          <wp:inline distT="0" distB="0" distL="0" distR="0">
            <wp:extent cx="5760000" cy="2880000"/>
            <wp:effectExtent l="0" t="0" r="0" b="0"/>
            <wp:docPr id="1001" name="3.1.3-rasm"/>
            <wp:cNvGraphicFramePr/>
            <a:graphic>
              <a:graphicData uri="http://schemas.openxmlformats.org/drawingml/2006/chart">
                <c:chart r:id="rId9"/>
              </a:graphicData>
            </a:graphic>
          </wp:inline>
        </w:drawing>
      </w:r>
    </w:p>
    <w:tbl>
      <w:tblPr>
        <w:tblStyle w:val="TableGrid"/>
        <w:tblW w:type="auto" w:w="0"/>
        <w:jc w:val="center"/>
        <w:tblLayout w:type="fixed"/>
        <w:tblLook w:firstColumn="1" w:firstRow="1" w:lastColumn="0" w:lastRow="0" w:noHBand="0" w:noVBand="1" w:val="04A0"/>
        <w:tblLayout w:type="fixed"/>
      </w:tblPr>
      <w:tblGrid>
        <w:gridCol w:w="3685"/>
        <w:gridCol w:w="1020"/>
        <w:gridCol w:w="1020"/>
        <w:gridCol w:w="1020"/>
        <w:gridCol w:w="1020"/>
        <w:gridCol w:w="1020"/>
      </w:tblGrid>
      <w:tr>
        <w:tc>
          <w:tcPr>
            <w:tcW w:type="dxa" w:w="3685"/>
          </w:tcPr>
          <w:p>
            <w:pPr>
              <w:spacing w:line="240" w:lineRule="auto"/>
              <w:jc w:val="left"/>
            </w:pPr>
            <w:r>
              <w:rPr>
                <w:b/>
                <w:sz w:val="22"/>
              </w:rPr>
              <w:t>Bank va hisobot turi</w:t>
            </w:r>
          </w:p>
        </w:tc>
        <w:tc>
          <w:tcPr>
            <w:tcW w:type="dxa" w:w="1020"/>
          </w:tcPr>
          <w:p>
            <w:pPr>
              <w:spacing w:line="240" w:lineRule="auto"/>
              <w:jc w:val="center"/>
            </w:pPr>
            <w:r>
              <w:rPr>
                <w:b/>
                <w:sz w:val="22"/>
              </w:rPr>
              <w:t>2021</w:t>
            </w:r>
          </w:p>
        </w:tc>
        <w:tc>
          <w:tcPr>
            <w:tcW w:type="dxa" w:w="1020"/>
          </w:tcPr>
          <w:p>
            <w:pPr>
              <w:spacing w:line="240" w:lineRule="auto"/>
              <w:jc w:val="center"/>
            </w:pPr>
            <w:r>
              <w:rPr>
                <w:b/>
                <w:sz w:val="22"/>
              </w:rPr>
              <w:t>2022</w:t>
            </w:r>
          </w:p>
        </w:tc>
        <w:tc>
          <w:tcPr>
            <w:tcW w:type="dxa" w:w="1020"/>
          </w:tcPr>
          <w:p>
            <w:pPr>
              <w:spacing w:line="240" w:lineRule="auto"/>
              <w:jc w:val="center"/>
            </w:pPr>
            <w:r>
              <w:rPr>
                <w:b/>
                <w:sz w:val="22"/>
              </w:rPr>
              <w:t>2023</w:t>
            </w:r>
          </w:p>
        </w:tc>
        <w:tc>
          <w:tcPr>
            <w:tcW w:type="dxa" w:w="1020"/>
          </w:tcPr>
          <w:p>
            <w:pPr>
              <w:spacing w:line="240" w:lineRule="auto"/>
              <w:jc w:val="center"/>
            </w:pPr>
            <w:r>
              <w:rPr>
                <w:b/>
                <w:sz w:val="22"/>
              </w:rPr>
              <w:t>2024</w:t>
            </w:r>
          </w:p>
        </w:tc>
        <w:tc>
          <w:tcPr>
            <w:tcW w:type="dxa" w:w="1020"/>
          </w:tcPr>
          <w:p>
            <w:pPr>
              <w:spacing w:line="240" w:lineRule="auto"/>
              <w:jc w:val="center"/>
            </w:pPr>
            <w:r>
              <w:rPr>
                <w:b/>
                <w:sz w:val="22"/>
              </w:rPr>
              <w:t>2025</w:t>
            </w:r>
          </w:p>
        </w:tc>
      </w:tr>
      <w:tr>
        <w:tc>
          <w:tcPr>
            <w:tcW w:type="dxa" w:w="3685"/>
          </w:tcPr>
          <w:p>
            <w:pPr>
              <w:spacing w:line="240" w:lineRule="auto"/>
              <w:jc w:val="left"/>
            </w:pPr>
            <w:r>
              <w:rPr>
                <w:b/>
                <w:color w:val="2A78D6"/>
                <w:sz w:val="20"/>
              </w:rPr>
              <w:t xml:space="preserve">━━ </w:t>
            </w:r>
            <w:r>
              <w:rPr>
                <w:b w:val="0"/>
                <w:sz w:val="22"/>
              </w:rPr>
              <w:t>“O‘zsanoatqurilishbank”: milliy hisobot</w:t>
            </w:r>
          </w:p>
        </w:tc>
        <w:tc>
          <w:tcPr>
            <w:tcW w:type="dxa" w:w="1020"/>
          </w:tcPr>
          <w:p>
            <w:pPr>
              <w:spacing w:line="240" w:lineRule="auto"/>
              <w:jc w:val="center"/>
            </w:pPr>
            <w:r>
              <w:rPr>
                <w:b w:val="0"/>
                <w:sz w:val="22"/>
              </w:rPr>
              <w:t>3,29</w:t>
            </w:r>
          </w:p>
        </w:tc>
        <w:tc>
          <w:tcPr>
            <w:tcW w:type="dxa" w:w="1020"/>
          </w:tcPr>
          <w:p>
            <w:pPr>
              <w:spacing w:line="240" w:lineRule="auto"/>
              <w:jc w:val="center"/>
            </w:pPr>
            <w:r>
              <w:rPr>
                <w:b w:val="0"/>
                <w:sz w:val="22"/>
              </w:rPr>
              <w:t>3,13</w:t>
            </w:r>
          </w:p>
        </w:tc>
        <w:tc>
          <w:tcPr>
            <w:tcW w:type="dxa" w:w="1020"/>
          </w:tcPr>
          <w:p>
            <w:pPr>
              <w:spacing w:line="240" w:lineRule="auto"/>
              <w:jc w:val="center"/>
            </w:pPr>
            <w:r>
              <w:rPr>
                <w:b w:val="0"/>
                <w:sz w:val="22"/>
              </w:rPr>
              <w:t>3,14</w:t>
            </w:r>
          </w:p>
        </w:tc>
        <w:tc>
          <w:tcPr>
            <w:tcW w:type="dxa" w:w="1020"/>
          </w:tcPr>
          <w:p>
            <w:pPr>
              <w:spacing w:line="240" w:lineRule="auto"/>
              <w:jc w:val="center"/>
            </w:pPr>
            <w:r>
              <w:rPr>
                <w:b w:val="0"/>
                <w:sz w:val="22"/>
              </w:rPr>
              <w:t>3,09</w:t>
            </w:r>
          </w:p>
        </w:tc>
        <w:tc>
          <w:tcPr>
            <w:tcW w:type="dxa" w:w="1020"/>
          </w:tcPr>
          <w:p>
            <w:pPr>
              <w:spacing w:line="240" w:lineRule="auto"/>
              <w:jc w:val="center"/>
            </w:pPr>
            <w:r>
              <w:rPr>
                <w:b w:val="0"/>
                <w:sz w:val="22"/>
              </w:rPr>
              <w:t>3,27</w:t>
            </w:r>
          </w:p>
        </w:tc>
      </w:tr>
      <w:tr>
        <w:tc>
          <w:tcPr>
            <w:tcW w:type="dxa" w:w="3685"/>
          </w:tcPr>
          <w:p>
            <w:pPr>
              <w:spacing w:line="240" w:lineRule="auto"/>
              <w:jc w:val="left"/>
            </w:pPr>
            <w:r>
              <w:rPr>
                <w:b/>
                <w:color w:val="2A78D6"/>
                <w:sz w:val="20"/>
              </w:rPr>
              <w:t xml:space="preserve">╍╍ </w:t>
            </w:r>
            <w:r>
              <w:rPr>
                <w:b w:val="0"/>
                <w:sz w:val="22"/>
              </w:rPr>
              <w:t>“O‘zsanoatqurilishbank”: MHXS</w:t>
            </w:r>
          </w:p>
        </w:tc>
        <w:tc>
          <w:tcPr>
            <w:tcW w:type="dxa" w:w="1020"/>
          </w:tcPr>
          <w:p>
            <w:pPr>
              <w:spacing w:line="240" w:lineRule="auto"/>
              <w:jc w:val="center"/>
            </w:pPr>
            <w:r>
              <w:rPr>
                <w:b w:val="0"/>
                <w:sz w:val="22"/>
              </w:rPr>
              <w:t>2,92</w:t>
            </w:r>
          </w:p>
        </w:tc>
        <w:tc>
          <w:tcPr>
            <w:tcW w:type="dxa" w:w="1020"/>
          </w:tcPr>
          <w:p>
            <w:pPr>
              <w:spacing w:line="240" w:lineRule="auto"/>
              <w:jc w:val="center"/>
            </w:pPr>
            <w:r>
              <w:rPr>
                <w:b w:val="0"/>
                <w:sz w:val="22"/>
              </w:rPr>
              <w:t>2,81</w:t>
            </w:r>
          </w:p>
        </w:tc>
        <w:tc>
          <w:tcPr>
            <w:tcW w:type="dxa" w:w="1020"/>
          </w:tcPr>
          <w:p>
            <w:pPr>
              <w:spacing w:line="240" w:lineRule="auto"/>
              <w:jc w:val="center"/>
            </w:pPr>
            <w:r>
              <w:rPr>
                <w:b w:val="0"/>
                <w:sz w:val="22"/>
              </w:rPr>
              <w:t>2,91</w:t>
            </w:r>
          </w:p>
        </w:tc>
        <w:tc>
          <w:tcPr>
            <w:tcW w:type="dxa" w:w="1020"/>
          </w:tcPr>
          <w:p>
            <w:pPr>
              <w:spacing w:line="240" w:lineRule="auto"/>
              <w:jc w:val="center"/>
            </w:pPr>
            <w:r>
              <w:rPr>
                <w:b w:val="0"/>
                <w:sz w:val="22"/>
              </w:rPr>
              <w:t>2,72</w:t>
            </w:r>
          </w:p>
        </w:tc>
        <w:tc>
          <w:tcPr>
            <w:tcW w:type="dxa" w:w="1020"/>
          </w:tcPr>
          <w:p>
            <w:pPr>
              <w:spacing w:line="240" w:lineRule="auto"/>
              <w:jc w:val="center"/>
            </w:pPr>
            <w:r>
              <w:rPr>
                <w:b w:val="0"/>
                <w:sz w:val="22"/>
              </w:rPr>
              <w:t>2,81</w:t>
            </w:r>
          </w:p>
        </w:tc>
      </w:tr>
      <w:tr>
        <w:tc>
          <w:tcPr>
            <w:tcW w:type="dxa" w:w="3685"/>
          </w:tcPr>
          <w:p>
            <w:pPr>
              <w:spacing w:line="240" w:lineRule="auto"/>
              <w:jc w:val="left"/>
            </w:pPr>
            <w:r>
              <w:rPr>
                <w:b/>
                <w:color w:val="EB6834"/>
                <w:sz w:val="20"/>
              </w:rPr>
              <w:t xml:space="preserve">━━ </w:t>
            </w:r>
            <w:r>
              <w:rPr>
                <w:b w:val="0"/>
                <w:sz w:val="22"/>
              </w:rPr>
              <w:t>“Mikrokreditbank”: milliy hisobot</w:t>
            </w:r>
          </w:p>
        </w:tc>
        <w:tc>
          <w:tcPr>
            <w:tcW w:type="dxa" w:w="1020"/>
          </w:tcPr>
          <w:p>
            <w:pPr>
              <w:spacing w:line="240" w:lineRule="auto"/>
              <w:jc w:val="center"/>
            </w:pPr>
            <w:r>
              <w:rPr>
                <w:b w:val="0"/>
                <w:sz w:val="22"/>
              </w:rPr>
              <w:t>2,81</w:t>
            </w:r>
          </w:p>
        </w:tc>
        <w:tc>
          <w:tcPr>
            <w:tcW w:type="dxa" w:w="1020"/>
          </w:tcPr>
          <w:p>
            <w:pPr>
              <w:spacing w:line="240" w:lineRule="auto"/>
              <w:jc w:val="center"/>
            </w:pPr>
            <w:r>
              <w:rPr>
                <w:b w:val="0"/>
                <w:sz w:val="22"/>
              </w:rPr>
              <w:t>2,79</w:t>
            </w:r>
          </w:p>
        </w:tc>
        <w:tc>
          <w:tcPr>
            <w:tcW w:type="dxa" w:w="1020"/>
          </w:tcPr>
          <w:p>
            <w:pPr>
              <w:spacing w:line="240" w:lineRule="auto"/>
              <w:jc w:val="center"/>
            </w:pPr>
            <w:r>
              <w:rPr>
                <w:b w:val="0"/>
                <w:sz w:val="22"/>
              </w:rPr>
              <w:t>2,65</w:t>
            </w:r>
          </w:p>
        </w:tc>
        <w:tc>
          <w:tcPr>
            <w:tcW w:type="dxa" w:w="1020"/>
          </w:tcPr>
          <w:p>
            <w:pPr>
              <w:spacing w:line="240" w:lineRule="auto"/>
              <w:jc w:val="center"/>
            </w:pPr>
            <w:r>
              <w:rPr>
                <w:b w:val="0"/>
                <w:sz w:val="22"/>
              </w:rPr>
              <w:t>2,78</w:t>
            </w:r>
          </w:p>
        </w:tc>
        <w:tc>
          <w:tcPr>
            <w:tcW w:type="dxa" w:w="1020"/>
          </w:tcPr>
          <w:p>
            <w:pPr>
              <w:spacing w:line="240" w:lineRule="auto"/>
              <w:jc w:val="center"/>
            </w:pPr>
            <w:r>
              <w:rPr>
                <w:b w:val="0"/>
                <w:sz w:val="22"/>
              </w:rPr>
              <w:t>3,13</w:t>
            </w:r>
          </w:p>
        </w:tc>
      </w:tr>
      <w:tr>
        <w:tc>
          <w:tcPr>
            <w:tcW w:type="dxa" w:w="3685"/>
          </w:tcPr>
          <w:p>
            <w:pPr>
              <w:spacing w:line="240" w:lineRule="auto"/>
              <w:jc w:val="left"/>
            </w:pPr>
            <w:r>
              <w:rPr>
                <w:b/>
                <w:color w:val="EB6834"/>
                <w:sz w:val="20"/>
              </w:rPr>
              <w:t xml:space="preserve">╍╍ </w:t>
            </w:r>
            <w:r>
              <w:rPr>
                <w:b w:val="0"/>
                <w:sz w:val="22"/>
              </w:rPr>
              <w:t>“Mikrokreditbank”: MHXS</w:t>
            </w:r>
          </w:p>
        </w:tc>
        <w:tc>
          <w:tcPr>
            <w:tcW w:type="dxa" w:w="1020"/>
          </w:tcPr>
          <w:p>
            <w:pPr>
              <w:spacing w:line="240" w:lineRule="auto"/>
              <w:jc w:val="center"/>
            </w:pPr>
            <w:r>
              <w:rPr>
                <w:b w:val="0"/>
                <w:sz w:val="22"/>
              </w:rPr>
              <w:t>2,18</w:t>
            </w:r>
          </w:p>
        </w:tc>
        <w:tc>
          <w:tcPr>
            <w:tcW w:type="dxa" w:w="1020"/>
          </w:tcPr>
          <w:p>
            <w:pPr>
              <w:spacing w:line="240" w:lineRule="auto"/>
              <w:jc w:val="center"/>
            </w:pPr>
            <w:r>
              <w:rPr>
                <w:b w:val="0"/>
                <w:sz w:val="22"/>
              </w:rPr>
              <w:t>2,31</w:t>
            </w:r>
          </w:p>
        </w:tc>
        <w:tc>
          <w:tcPr>
            <w:tcW w:type="dxa" w:w="1020"/>
          </w:tcPr>
          <w:p>
            <w:pPr>
              <w:spacing w:line="240" w:lineRule="auto"/>
              <w:jc w:val="center"/>
            </w:pPr>
            <w:r>
              <w:rPr>
                <w:b w:val="0"/>
                <w:sz w:val="22"/>
              </w:rPr>
              <w:t>2,22</w:t>
            </w:r>
          </w:p>
        </w:tc>
        <w:tc>
          <w:tcPr>
            <w:tcW w:type="dxa" w:w="1020"/>
          </w:tcPr>
          <w:p>
            <w:pPr>
              <w:spacing w:line="240" w:lineRule="auto"/>
              <w:jc w:val="center"/>
            </w:pPr>
            <w:r>
              <w:rPr>
                <w:b w:val="0"/>
                <w:sz w:val="22"/>
              </w:rPr>
              <w:t>2,25</w:t>
            </w:r>
          </w:p>
        </w:tc>
        <w:tc>
          <w:tcPr>
            <w:tcW w:type="dxa" w:w="1020"/>
          </w:tcPr>
          <w:p>
            <w:pPr>
              <w:spacing w:line="240" w:lineRule="auto"/>
              <w:jc w:val="center"/>
            </w:pPr>
            <w:r>
              <w:rPr>
                <w:b w:val="0"/>
                <w:sz w:val="22"/>
              </w:rPr>
              <w:t>2,47</w:t>
            </w:r>
          </w:p>
        </w:tc>
      </w:tr>
      <w:tr>
        <w:tc>
          <w:tcPr>
            <w:tcW w:type="dxa" w:w="3685"/>
          </w:tcPr>
          <w:p>
            <w:pPr>
              <w:spacing w:line="240" w:lineRule="auto"/>
              <w:jc w:val="left"/>
            </w:pPr>
            <w:r>
              <w:rPr>
                <w:b/>
                <w:color w:val="548235"/>
                <w:sz w:val="20"/>
              </w:rPr>
              <w:t xml:space="preserve">━━ </w:t>
            </w:r>
            <w:r>
              <w:rPr>
                <w:b w:val="0"/>
                <w:sz w:val="22"/>
              </w:rPr>
              <w:t>“Aloqabank”: milliy hisobot</w:t>
            </w:r>
          </w:p>
        </w:tc>
        <w:tc>
          <w:tcPr>
            <w:tcW w:type="dxa" w:w="1020"/>
          </w:tcPr>
          <w:p>
            <w:pPr>
              <w:spacing w:line="240" w:lineRule="auto"/>
              <w:jc w:val="center"/>
            </w:pPr>
            <w:r>
              <w:rPr>
                <w:b w:val="0"/>
                <w:sz w:val="22"/>
              </w:rPr>
              <w:t>3,32</w:t>
            </w:r>
          </w:p>
        </w:tc>
        <w:tc>
          <w:tcPr>
            <w:tcW w:type="dxa" w:w="1020"/>
          </w:tcPr>
          <w:p>
            <w:pPr>
              <w:spacing w:line="240" w:lineRule="auto"/>
              <w:jc w:val="center"/>
            </w:pPr>
            <w:r>
              <w:rPr>
                <w:b w:val="0"/>
                <w:sz w:val="22"/>
              </w:rPr>
              <w:t>3,52</w:t>
            </w:r>
          </w:p>
        </w:tc>
        <w:tc>
          <w:tcPr>
            <w:tcW w:type="dxa" w:w="1020"/>
          </w:tcPr>
          <w:p>
            <w:pPr>
              <w:spacing w:line="240" w:lineRule="auto"/>
              <w:jc w:val="center"/>
            </w:pPr>
            <w:r>
              <w:rPr>
                <w:b w:val="0"/>
                <w:sz w:val="22"/>
              </w:rPr>
              <w:t>3,58</w:t>
            </w:r>
          </w:p>
        </w:tc>
        <w:tc>
          <w:tcPr>
            <w:tcW w:type="dxa" w:w="1020"/>
          </w:tcPr>
          <w:p>
            <w:pPr>
              <w:spacing w:line="240" w:lineRule="auto"/>
              <w:jc w:val="center"/>
            </w:pPr>
            <w:r>
              <w:rPr>
                <w:b w:val="0"/>
                <w:sz w:val="22"/>
              </w:rPr>
              <w:t>3,53</w:t>
            </w:r>
          </w:p>
        </w:tc>
        <w:tc>
          <w:tcPr>
            <w:tcW w:type="dxa" w:w="1020"/>
          </w:tcPr>
          <w:p>
            <w:pPr>
              <w:spacing w:line="240" w:lineRule="auto"/>
              <w:jc w:val="center"/>
            </w:pPr>
            <w:r>
              <w:rPr>
                <w:b w:val="0"/>
                <w:sz w:val="22"/>
              </w:rPr>
              <w:t>3,25</w:t>
            </w:r>
          </w:p>
        </w:tc>
      </w:tr>
      <w:tr>
        <w:tc>
          <w:tcPr>
            <w:tcW w:type="dxa" w:w="3685"/>
          </w:tcPr>
          <w:p>
            <w:pPr>
              <w:spacing w:line="240" w:lineRule="auto"/>
              <w:jc w:val="left"/>
            </w:pPr>
            <w:r>
              <w:rPr>
                <w:b/>
                <w:color w:val="548235"/>
                <w:sz w:val="20"/>
              </w:rPr>
              <w:t xml:space="preserve">╍╍ </w:t>
            </w:r>
            <w:r>
              <w:rPr>
                <w:b w:val="0"/>
                <w:sz w:val="22"/>
              </w:rPr>
              <w:t>“Aloqabank”: MHXS</w:t>
            </w:r>
          </w:p>
        </w:tc>
        <w:tc>
          <w:tcPr>
            <w:tcW w:type="dxa" w:w="1020"/>
          </w:tcPr>
          <w:p>
            <w:pPr>
              <w:spacing w:line="240" w:lineRule="auto"/>
              <w:jc w:val="center"/>
            </w:pPr>
            <w:r>
              <w:rPr>
                <w:b w:val="0"/>
                <w:sz w:val="22"/>
              </w:rPr>
              <w:t>3,01</w:t>
            </w:r>
          </w:p>
        </w:tc>
        <w:tc>
          <w:tcPr>
            <w:tcW w:type="dxa" w:w="1020"/>
          </w:tcPr>
          <w:p>
            <w:pPr>
              <w:spacing w:line="240" w:lineRule="auto"/>
              <w:jc w:val="center"/>
            </w:pPr>
            <w:r>
              <w:rPr>
                <w:b w:val="0"/>
                <w:sz w:val="22"/>
              </w:rPr>
              <w:t>2,97</w:t>
            </w:r>
          </w:p>
        </w:tc>
        <w:tc>
          <w:tcPr>
            <w:tcW w:type="dxa" w:w="1020"/>
          </w:tcPr>
          <w:p>
            <w:pPr>
              <w:spacing w:line="240" w:lineRule="auto"/>
              <w:jc w:val="center"/>
            </w:pPr>
            <w:r>
              <w:rPr>
                <w:b w:val="0"/>
                <w:sz w:val="22"/>
              </w:rPr>
              <w:t>3,17</w:t>
            </w:r>
          </w:p>
        </w:tc>
        <w:tc>
          <w:tcPr>
            <w:tcW w:type="dxa" w:w="1020"/>
          </w:tcPr>
          <w:p>
            <w:pPr>
              <w:spacing w:line="240" w:lineRule="auto"/>
              <w:jc w:val="center"/>
            </w:pPr>
            <w:r>
              <w:rPr>
                <w:b w:val="0"/>
                <w:sz w:val="22"/>
              </w:rPr>
              <w:t>3,10</w:t>
            </w:r>
          </w:p>
        </w:tc>
        <w:tc>
          <w:tcPr>
            <w:tcW w:type="dxa" w:w="1020"/>
          </w:tcPr>
          <w:p>
            <w:pPr>
              <w:spacing w:line="240" w:lineRule="auto"/>
              <w:jc w:val="center"/>
            </w:pPr>
            <w:r>
              <w:rPr>
                <w:b w:val="0"/>
                <w:sz w:val="22"/>
              </w:rPr>
              <w:t>2,78</w:t>
            </w:r>
          </w:p>
        </w:tc>
      </w:tr>
    </w:tbl>
    <w:p>
      <w:pPr>
        <w:jc w:val="left"/>
      </w:pPr>
      <w:r>
        <w:rPr>
          <w:b w:val="0"/>
          <w:sz w:val="22"/>
        </w:rPr>
        <w:t>Izoh: uzluksiz chiziq – milliy hisobot, uzuq chiziq – MHXS; kulrang chiziqlar – I va II sinflar (3,25 ball) hamda II va III sinflar (2,50 ball) chegaralari.</w:t>
      </w:r>
    </w:p>
    <w:p>
      <w:pPr>
        <w:jc w:val="center"/>
      </w:pPr>
      <w:r>
        <w:rPr>
          <w:b/>
          <w:sz w:val="28"/>
        </w:rPr>
        <w:t>3.1.3-rasm. Uch bankda moliyaviy barqarorlikning integral indeksi: milliy hisobot va MHXS asosida, 2021–2025-yillar, ball</w:t>
      </w:r>
    </w:p>
    <w:p>
      <w:pPr>
        <w:ind w:firstLine="709"/>
        <w:jc w:val="both"/>
      </w:pPr>
      <w:r>
        <w:rPr>
          <w:b w:val="0"/>
          <w:color w:val="FF0000"/>
          <w:sz w:val="28"/>
        </w:rPr>
        <w:t>Rasmdan ko‘rinib turibdiki, MHXS ma’lumotlari asosidagi indeks uchala bankda ham tahlil davrining barcha yillarida milliy hisobot asosidagi indeksdan past bo‘lgan, farq 0,23–0,66 ballni tashkil etgan. “Mikrokreditbank” ATB milliy hisobot bo‘yicha butun davr mobaynida II sinfda, MHXS bo‘yicha esa III sinfda joylashgan. “Aloqabank” ATB milliy hisobot bo‘yicha 2021–2024-yillarda I sinfda bo‘lsa, MHXS bo‘yicha barcha yillarda II sinfda qolgan. “O‘zsanoatqurilishbank” ATB ham MHXS bo‘yicha butun davr mobaynida II sinfda bo‘lgan, milliy hisobot bo‘yicha esa 2021 va 2025-yillarda I sinfga ko‘tarilgan. Demak, ikki variant o‘rtasidagi tafovut tasodifiy emas, balki muntazam xususiyatga ega bo‘lib, u 2.3-paragrafda aniqlangan yashirin kredit riskining integral indeksdagi aksidir.</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manualLayout>
          <c:layoutTarget val="inner"/>
          <c:xMode val="edge"/>
          <c:yMode val="edge"/>
          <c:x val="0.11"/>
          <c:y val="0.04"/>
          <c:w val="0.78"/>
          <c:h val="0.84"/>
        </c:manualLayout>
      </c:layout>
      <c:lineChart>
        <c:grouping val="standard"/>
        <c:varyColors val="0"/>
        <c:ser>
          <c:idx val="0"/>
          <c:order val="0"/>
          <c:tx>
            <c:strRef>
              <c:f>Sheet1!$B$1</c:f>
              <c:strCache>
                <c:ptCount val="1"/>
                <c:pt idx="0">
                  <c:v>“O‘zsanoatqurilishbank”: milliy hisobot</c:v>
                </c:pt>
              </c:strCache>
            </c:strRef>
          </c:tx>
          <c:spPr>
            <a:ln w="28575">
              <a:solidFill>
                <a:srgbClr val="2A78D6"/>
              </a:solidFill>
            </a:ln>
          </c:spPr>
          <c:marker>
            <c:symbol val="circle"/>
            <c:size val="5"/>
            <c:spPr>
              <a:solidFill>
                <a:srgbClr val="2A78D6"/>
              </a:solidFill>
              <a:ln>
                <a:noFill/>
              </a:ln>
            </c:spPr>
          </c:marker>
          <c:cat>
            <c:strRef>
              <c:f>Sheet1!$A$2:$A$6</c:f>
              <c:strCache>
                <c:ptCount val="5"/>
                <c:pt idx="0">
                  <c:v>2021</c:v>
                </c:pt>
                <c:pt idx="1">
                  <c:v>2022</c:v>
                </c:pt>
                <c:pt idx="2">
                  <c:v>2023</c:v>
                </c:pt>
                <c:pt idx="3">
                  <c:v>2024</c:v>
                </c:pt>
                <c:pt idx="4">
                  <c:v>2025</c:v>
                </c:pt>
              </c:strCache>
            </c:strRef>
          </c:cat>
          <c:val>
            <c:numRef>
              <c:f>Sheet1!$B$2:$B$6</c:f>
              <c:numCache>
                <c:formatCode>0.00</c:formatCode>
                <c:ptCount val="5"/>
                <c:pt idx="0">
                  <c:v>3.29</c:v>
                </c:pt>
                <c:pt idx="1">
                  <c:v>3.13</c:v>
                </c:pt>
                <c:pt idx="2">
                  <c:v>3.14</c:v>
                </c:pt>
                <c:pt idx="3">
                  <c:v>3.09</c:v>
                </c:pt>
                <c:pt idx="4">
                  <c:v>3.27</c:v>
                </c:pt>
              </c:numCache>
            </c:numRef>
          </c:val>
          <c:smooth val="0"/>
        </c:ser>
        <c:ser>
          <c:idx val="1"/>
          <c:order val="1"/>
          <c:tx>
            <c:strRef>
              <c:f>Sheet1!$C$1</c:f>
              <c:strCache>
                <c:ptCount val="1"/>
                <c:pt idx="0">
                  <c:v>“O‘zsanoatqurilishbank”: MHXS</c:v>
                </c:pt>
              </c:strCache>
            </c:strRef>
          </c:tx>
          <c:spPr>
            <a:ln w="28575">
              <a:solidFill>
                <a:srgbClr val="2A78D6"/>
              </a:solidFill>
              <a:prstDash val="dash"/>
            </a:ln>
          </c:spPr>
          <c:marker>
            <c:symbol val="circle"/>
            <c:size val="5"/>
            <c:spPr>
              <a:solidFill>
                <a:srgbClr val="2A78D6"/>
              </a:solidFill>
              <a:ln>
                <a:noFill/>
              </a:ln>
            </c:spPr>
          </c:marker>
          <c:cat>
            <c:strRef>
              <c:f>Sheet1!$A$2:$A$6</c:f>
              <c:strCache>
                <c:ptCount val="5"/>
                <c:pt idx="0">
                  <c:v>2021</c:v>
                </c:pt>
                <c:pt idx="1">
                  <c:v>2022</c:v>
                </c:pt>
                <c:pt idx="2">
                  <c:v>2023</c:v>
                </c:pt>
                <c:pt idx="3">
                  <c:v>2024</c:v>
                </c:pt>
                <c:pt idx="4">
                  <c:v>2025</c:v>
                </c:pt>
              </c:strCache>
            </c:strRef>
          </c:cat>
          <c:val>
            <c:numRef>
              <c:f>Sheet1!$C$2:$C$6</c:f>
              <c:numCache>
                <c:formatCode>0.00</c:formatCode>
                <c:ptCount val="5"/>
                <c:pt idx="0">
                  <c:v>2.92</c:v>
                </c:pt>
                <c:pt idx="1">
                  <c:v>2.81</c:v>
                </c:pt>
                <c:pt idx="2">
                  <c:v>2.91</c:v>
                </c:pt>
                <c:pt idx="3">
                  <c:v>2.72</c:v>
                </c:pt>
                <c:pt idx="4">
                  <c:v>2.81</c:v>
                </c:pt>
              </c:numCache>
            </c:numRef>
          </c:val>
          <c:smooth val="0"/>
        </c:ser>
        <c:ser>
          <c:idx val="2"/>
          <c:order val="2"/>
          <c:tx>
            <c:strRef>
              <c:f>Sheet1!$D$1</c:f>
              <c:strCache>
                <c:ptCount val="1"/>
                <c:pt idx="0">
                  <c:v>“Mikrokreditbank”: milliy hisobot</c:v>
                </c:pt>
              </c:strCache>
            </c:strRef>
          </c:tx>
          <c:spPr>
            <a:ln w="28575">
              <a:solidFill>
                <a:srgbClr val="EB6834"/>
              </a:solidFill>
            </a:ln>
          </c:spPr>
          <c:marker>
            <c:symbol val="circle"/>
            <c:size val="5"/>
            <c:spPr>
              <a:solidFill>
                <a:srgbClr val="EB6834"/>
              </a:solidFill>
              <a:ln>
                <a:noFill/>
              </a:ln>
            </c:spPr>
          </c:marker>
          <c:cat>
            <c:strRef>
              <c:f>Sheet1!$A$2:$A$6</c:f>
              <c:strCache>
                <c:ptCount val="5"/>
                <c:pt idx="0">
                  <c:v>2021</c:v>
                </c:pt>
                <c:pt idx="1">
                  <c:v>2022</c:v>
                </c:pt>
                <c:pt idx="2">
                  <c:v>2023</c:v>
                </c:pt>
                <c:pt idx="3">
                  <c:v>2024</c:v>
                </c:pt>
                <c:pt idx="4">
                  <c:v>2025</c:v>
                </c:pt>
              </c:strCache>
            </c:strRef>
          </c:cat>
          <c:val>
            <c:numRef>
              <c:f>Sheet1!$D$2:$D$6</c:f>
              <c:numCache>
                <c:formatCode>0.00</c:formatCode>
                <c:ptCount val="5"/>
                <c:pt idx="0">
                  <c:v>2.81</c:v>
                </c:pt>
                <c:pt idx="1">
                  <c:v>2.79</c:v>
                </c:pt>
                <c:pt idx="2">
                  <c:v>2.65</c:v>
                </c:pt>
                <c:pt idx="3">
                  <c:v>2.78</c:v>
                </c:pt>
                <c:pt idx="4">
                  <c:v>3.13</c:v>
                </c:pt>
              </c:numCache>
            </c:numRef>
          </c:val>
          <c:smooth val="0"/>
        </c:ser>
        <c:ser>
          <c:idx val="3"/>
          <c:order val="3"/>
          <c:tx>
            <c:strRef>
              <c:f>Sheet1!$E$1</c:f>
              <c:strCache>
                <c:ptCount val="1"/>
                <c:pt idx="0">
                  <c:v>“Mikrokreditbank”: MHXS</c:v>
                </c:pt>
              </c:strCache>
            </c:strRef>
          </c:tx>
          <c:spPr>
            <a:ln w="28575">
              <a:solidFill>
                <a:srgbClr val="EB6834"/>
              </a:solidFill>
              <a:prstDash val="dash"/>
            </a:ln>
          </c:spPr>
          <c:marker>
            <c:symbol val="circle"/>
            <c:size val="5"/>
            <c:spPr>
              <a:solidFill>
                <a:srgbClr val="EB6834"/>
              </a:solidFill>
              <a:ln>
                <a:noFill/>
              </a:ln>
            </c:spPr>
          </c:marker>
          <c:cat>
            <c:strRef>
              <c:f>Sheet1!$A$2:$A$6</c:f>
              <c:strCache>
                <c:ptCount val="5"/>
                <c:pt idx="0">
                  <c:v>2021</c:v>
                </c:pt>
                <c:pt idx="1">
                  <c:v>2022</c:v>
                </c:pt>
                <c:pt idx="2">
                  <c:v>2023</c:v>
                </c:pt>
                <c:pt idx="3">
                  <c:v>2024</c:v>
                </c:pt>
                <c:pt idx="4">
                  <c:v>2025</c:v>
                </c:pt>
              </c:strCache>
            </c:strRef>
          </c:cat>
          <c:val>
            <c:numRef>
              <c:f>Sheet1!$E$2:$E$6</c:f>
              <c:numCache>
                <c:formatCode>0.00</c:formatCode>
                <c:ptCount val="5"/>
                <c:pt idx="0">
                  <c:v>2.18</c:v>
                </c:pt>
                <c:pt idx="1">
                  <c:v>2.31</c:v>
                </c:pt>
                <c:pt idx="2">
                  <c:v>2.22</c:v>
                </c:pt>
                <c:pt idx="3">
                  <c:v>2.25</c:v>
                </c:pt>
                <c:pt idx="4">
                  <c:v>2.47</c:v>
                </c:pt>
              </c:numCache>
            </c:numRef>
          </c:val>
          <c:smooth val="0"/>
        </c:ser>
        <c:ser>
          <c:idx val="4"/>
          <c:order val="4"/>
          <c:tx>
            <c:strRef>
              <c:f>Sheet1!$F$1</c:f>
              <c:strCache>
                <c:ptCount val="1"/>
                <c:pt idx="0">
                  <c:v>“Aloqabank”: milliy hisobot</c:v>
                </c:pt>
              </c:strCache>
            </c:strRef>
          </c:tx>
          <c:spPr>
            <a:ln w="28575">
              <a:solidFill>
                <a:srgbClr val="548235"/>
              </a:solidFill>
            </a:ln>
          </c:spPr>
          <c:marker>
            <c:symbol val="circle"/>
            <c:size val="5"/>
            <c:spPr>
              <a:solidFill>
                <a:srgbClr val="548235"/>
              </a:solidFill>
              <a:ln>
                <a:noFill/>
              </a:ln>
            </c:spPr>
          </c:marker>
          <c:cat>
            <c:strRef>
              <c:f>Sheet1!$A$2:$A$6</c:f>
              <c:strCache>
                <c:ptCount val="5"/>
                <c:pt idx="0">
                  <c:v>2021</c:v>
                </c:pt>
                <c:pt idx="1">
                  <c:v>2022</c:v>
                </c:pt>
                <c:pt idx="2">
                  <c:v>2023</c:v>
                </c:pt>
                <c:pt idx="3">
                  <c:v>2024</c:v>
                </c:pt>
                <c:pt idx="4">
                  <c:v>2025</c:v>
                </c:pt>
              </c:strCache>
            </c:strRef>
          </c:cat>
          <c:val>
            <c:numRef>
              <c:f>Sheet1!$F$2:$F$6</c:f>
              <c:numCache>
                <c:formatCode>0.00</c:formatCode>
                <c:ptCount val="5"/>
                <c:pt idx="0">
                  <c:v>3.32</c:v>
                </c:pt>
                <c:pt idx="1">
                  <c:v>3.52</c:v>
                </c:pt>
                <c:pt idx="2">
                  <c:v>3.58</c:v>
                </c:pt>
                <c:pt idx="3">
                  <c:v>3.53</c:v>
                </c:pt>
                <c:pt idx="4">
                  <c:v>3.25</c:v>
                </c:pt>
              </c:numCache>
            </c:numRef>
          </c:val>
          <c:smooth val="0"/>
        </c:ser>
        <c:ser>
          <c:idx val="5"/>
          <c:order val="5"/>
          <c:tx>
            <c:strRef>
              <c:f>Sheet1!$G$1</c:f>
              <c:strCache>
                <c:ptCount val="1"/>
                <c:pt idx="0">
                  <c:v>“Aloqabank”: MHXS</c:v>
                </c:pt>
              </c:strCache>
            </c:strRef>
          </c:tx>
          <c:spPr>
            <a:ln w="28575">
              <a:solidFill>
                <a:srgbClr val="548235"/>
              </a:solidFill>
              <a:prstDash val="dash"/>
            </a:ln>
          </c:spPr>
          <c:marker>
            <c:symbol val="circle"/>
            <c:size val="5"/>
            <c:spPr>
              <a:solidFill>
                <a:srgbClr val="548235"/>
              </a:solidFill>
              <a:ln>
                <a:noFill/>
              </a:ln>
            </c:spPr>
          </c:marker>
          <c:cat>
            <c:strRef>
              <c:f>Sheet1!$A$2:$A$6</c:f>
              <c:strCache>
                <c:ptCount val="5"/>
                <c:pt idx="0">
                  <c:v>2021</c:v>
                </c:pt>
                <c:pt idx="1">
                  <c:v>2022</c:v>
                </c:pt>
                <c:pt idx="2">
                  <c:v>2023</c:v>
                </c:pt>
                <c:pt idx="3">
                  <c:v>2024</c:v>
                </c:pt>
                <c:pt idx="4">
                  <c:v>2025</c:v>
                </c:pt>
              </c:strCache>
            </c:strRef>
          </c:cat>
          <c:val>
            <c:numRef>
              <c:f>Sheet1!$G$2:$G$6</c:f>
              <c:numCache>
                <c:formatCode>0.00</c:formatCode>
                <c:ptCount val="5"/>
                <c:pt idx="0">
                  <c:v>3.01</c:v>
                </c:pt>
                <c:pt idx="1">
                  <c:v>2.97</c:v>
                </c:pt>
                <c:pt idx="2">
                  <c:v>3.17</c:v>
                </c:pt>
                <c:pt idx="3">
                  <c:v>3.1</c:v>
                </c:pt>
                <c:pt idx="4">
                  <c:v>2.78</c:v>
                </c:pt>
              </c:numCache>
            </c:numRef>
          </c:val>
          <c:smooth val="0"/>
        </c:ser>
        <c:ser>
          <c:idx val="6"/>
          <c:order val="6"/>
          <c:tx>
            <c:strRef>
              <c:f>Sheet1!$H$1</c:f>
              <c:strCache>
                <c:ptCount val="1"/>
                <c:pt idx="0">
                  <c:v>I sinf chegarasi</c:v>
                </c:pt>
              </c:strCache>
            </c:strRef>
          </c:tx>
          <c:spPr>
            <a:ln w="12700">
              <a:solidFill>
                <a:srgbClr val="A6A6A6"/>
              </a:solidFill>
              <a:prstDash val="sysDash"/>
            </a:ln>
          </c:spPr>
          <c:marker>
            <c:symbol val="none"/>
          </c:marker>
          <c:dLbls>
            <c:dLbl>
              <c:idx val="4"/>
              <c:tx>
                <c:rich>
                  <a:bodyPr/>
                  <a:lstStyle/>
                  <a:p>
                    <a:pPr>
                      <a:defRPr sz="900" b="0">
                        <a:solidFill>
                          <a:srgbClr val="7F7F7F"/>
                        </a:solidFill>
                        <a:latin typeface="Times New Roman"/>
                        <a:cs typeface="Times New Roman"/>
                      </a:defRPr>
                    </a:pPr>
                    <a:r>
                      <a:rPr lang="uz-Latn-UZ" sz="900" b="0">
                        <a:solidFill>
                          <a:srgbClr val="7F7F7F"/>
                        </a:solidFill>
                        <a:latin typeface="Times New Roman"/>
                        <a:cs typeface="Times New Roman"/>
                      </a:rPr>
                      <a:t>3,25</a:t>
                    </a:r>
                  </a:p>
                </c:rich>
              </c:tx>
              <c:spPr>
                <a:noFill/>
                <a:ln>
                  <a:noFill/>
                </a:ln>
              </c:spPr>
              <c:dLblPos val="r"/>
              <c:showLegendKey val="0"/>
              <c:showVal val="1"/>
              <c:showCatName val="0"/>
              <c:showSerName val="0"/>
              <c:showPercent val="0"/>
              <c:showBubbleSize val="0"/>
            </c:dLbl>
            <c:showLegendKey val="0"/>
            <c:showVal val="0"/>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Sheet1!$H$2:$H$6</c:f>
              <c:numCache>
                <c:formatCode>0.00</c:formatCode>
                <c:ptCount val="5"/>
                <c:pt idx="0">
                  <c:v>3.25</c:v>
                </c:pt>
                <c:pt idx="1">
                  <c:v>3.25</c:v>
                </c:pt>
                <c:pt idx="2">
                  <c:v>3.25</c:v>
                </c:pt>
                <c:pt idx="3">
                  <c:v>3.25</c:v>
                </c:pt>
                <c:pt idx="4">
                  <c:v>3.25</c:v>
                </c:pt>
              </c:numCache>
            </c:numRef>
          </c:val>
          <c:smooth val="0"/>
        </c:ser>
        <c:ser>
          <c:idx val="7"/>
          <c:order val="7"/>
          <c:tx>
            <c:strRef>
              <c:f>Sheet1!$I$1</c:f>
              <c:strCache>
                <c:ptCount val="1"/>
                <c:pt idx="0">
                  <c:v>III sinf chegarasi</c:v>
                </c:pt>
              </c:strCache>
            </c:strRef>
          </c:tx>
          <c:spPr>
            <a:ln w="12700">
              <a:solidFill>
                <a:srgbClr val="A6A6A6"/>
              </a:solidFill>
              <a:prstDash val="sysDash"/>
            </a:ln>
          </c:spPr>
          <c:marker>
            <c:symbol val="none"/>
          </c:marker>
          <c:dLbls>
            <c:dLbl>
              <c:idx val="4"/>
              <c:tx>
                <c:rich>
                  <a:bodyPr/>
                  <a:lstStyle/>
                  <a:p>
                    <a:pPr>
                      <a:defRPr sz="900" b="0">
                        <a:solidFill>
                          <a:srgbClr val="7F7F7F"/>
                        </a:solidFill>
                        <a:latin typeface="Times New Roman"/>
                        <a:cs typeface="Times New Roman"/>
                      </a:defRPr>
                    </a:pPr>
                    <a:r>
                      <a:rPr lang="uz-Latn-UZ" sz="900" b="0">
                        <a:solidFill>
                          <a:srgbClr val="7F7F7F"/>
                        </a:solidFill>
                        <a:latin typeface="Times New Roman"/>
                        <a:cs typeface="Times New Roman"/>
                      </a:rPr>
                      <a:t>2,50</a:t>
                    </a:r>
                  </a:p>
                </c:rich>
              </c:tx>
              <c:spPr>
                <a:noFill/>
                <a:ln>
                  <a:noFill/>
                </a:ln>
              </c:spPr>
              <c:dLblPos val="r"/>
              <c:showLegendKey val="0"/>
              <c:showVal val="1"/>
              <c:showCatName val="0"/>
              <c:showSerName val="0"/>
              <c:showPercent val="0"/>
              <c:showBubbleSize val="0"/>
            </c:dLbl>
            <c:showLegendKey val="0"/>
            <c:showVal val="0"/>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Sheet1!$I$2:$I$6</c:f>
              <c:numCache>
                <c:formatCode>0.00</c:formatCode>
                <c:ptCount val="5"/>
                <c:pt idx="0">
                  <c:v>2.5</c:v>
                </c:pt>
                <c:pt idx="1">
                  <c:v>2.5</c:v>
                </c:pt>
                <c:pt idx="2">
                  <c:v>2.5</c:v>
                </c:pt>
                <c:pt idx="3">
                  <c:v>2.5</c:v>
                </c:pt>
                <c:pt idx="4">
                  <c:v>2.5</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75"/>
          <c:min val="2.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25"/>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