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b179458ed68ae1a5aafa6c45ee334a659f906c"/>
    <w:p>
      <w:pPr>
        <w:pStyle w:val="Heading2"/>
        <w:spacing w:line="360" w:lineRule="auto" w:before="240" w:after="120"/>
        <w:ind w:firstLine="0"/>
        <w:jc w:val="center"/>
      </w:pPr>
      <w:r>
        <w:rPr>
          <w:rFonts w:ascii="Times New Roman" w:hAnsi="Times New Roman" w:cs="Times New Roman" w:eastAsia="Times New Roman"/>
          <w:b/>
          <w:i w:val="0"/>
          <w:sz w:val="28"/>
        </w:rPr>
        <w:t xml:space="preserve">O‘zbekistonda Bazel talablarini joriy etish evolyutsiyasi va uning mazmuniy tahlili</w:t>
      </w:r>
    </w:p>
    <w:p>
      <w:pPr>
        <w:pStyle w:val="FirstParagraph"/>
        <w:spacing w:line="360" w:lineRule="auto" w:before="0" w:after="0"/>
        <w:ind w:firstLine="709"/>
        <w:jc w:val="both"/>
      </w:pPr>
      <w:r>
        <w:rPr>
          <w:rFonts w:ascii="Times New Roman" w:hAnsi="Times New Roman" w:cs="Times New Roman" w:eastAsia="Times New Roman"/>
          <w:sz w:val="28"/>
        </w:rPr>
        <w:t xml:space="preserve">O‘zbekiston bank tizimida xalqaro prudensial standartlarni joriy etish bir martalik islohot emas, balki chorak asrdan ortiq davom etayotgan bosqichma-bosqich jarayondir. Me’yoriy hujjatlar, ularda belgilangan talablar va xalqaro tashkilotlar baholarini tahlil qilish bu jarayonni besh bosqichga ajratish imkonini beradi (1-jadval).</w:t>
      </w:r>
    </w:p>
    <w:p>
      <w:pPr>
        <w:pStyle w:val="BodyText"/>
        <w:keepNext/>
        <w:spacing w:line="360" w:lineRule="auto" w:before="120" w:after="0"/>
        <w:ind w:firstLine="0"/>
        <w:jc w:val="center"/>
      </w:pPr>
      <w:r>
        <w:rPr>
          <w:bCs/>
          <w:rFonts w:ascii="Times New Roman" w:hAnsi="Times New Roman" w:cs="Times New Roman" w:eastAsia="Times New Roman"/>
          <w:b/>
          <w:sz w:val="28"/>
        </w:rPr>
        <w:t xml:space="preserve">1-jadval. O‘zbekistonda Bazel talablarini joriy etish bosqichlari</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true"/>
        </w:trPr>
        <w:tc>
          <w:tcPr/>
          <w:p>
            <w:pPr>
              <w:pStyle w:val="Compact"/>
              <w:spacing w:line="240" w:lineRule="auto"/>
              <w:ind w:firstLine="0"/>
              <w:jc w:val="center"/>
            </w:pPr>
            <w:r>
              <w:rPr>
                <w:rFonts w:ascii="Times New Roman" w:hAnsi="Times New Roman" w:cs="Times New Roman" w:eastAsia="Times New Roman"/>
                <w:b/>
                <w:sz w:val="24"/>
              </w:rPr>
              <w:t xml:space="preserve">Bosqich</w:t>
            </w:r>
          </w:p>
        </w:tc>
        <w:tc>
          <w:tcPr/>
          <w:p>
            <w:pPr>
              <w:pStyle w:val="Compact"/>
              <w:spacing w:line="240" w:lineRule="auto"/>
              <w:ind w:firstLine="0"/>
              <w:jc w:val="center"/>
            </w:pPr>
            <w:r>
              <w:rPr>
                <w:rFonts w:ascii="Times New Roman" w:hAnsi="Times New Roman" w:cs="Times New Roman" w:eastAsia="Times New Roman"/>
                <w:b/>
                <w:sz w:val="24"/>
              </w:rPr>
              <w:t xml:space="preserve">Davr</w:t>
            </w:r>
          </w:p>
        </w:tc>
        <w:tc>
          <w:tcPr/>
          <w:p>
            <w:pPr>
              <w:pStyle w:val="Compact"/>
              <w:spacing w:line="240" w:lineRule="auto"/>
              <w:ind w:firstLine="0"/>
              <w:jc w:val="center"/>
            </w:pPr>
            <w:r>
              <w:rPr>
                <w:rFonts w:ascii="Times New Roman" w:hAnsi="Times New Roman" w:cs="Times New Roman" w:eastAsia="Times New Roman"/>
                <w:b/>
                <w:sz w:val="24"/>
              </w:rPr>
              <w:t xml:space="preserve">Asosiy hujjatlar</w:t>
            </w:r>
          </w:p>
        </w:tc>
        <w:tc>
          <w:tcPr/>
          <w:p>
            <w:pPr>
              <w:pStyle w:val="Compact"/>
              <w:spacing w:line="240" w:lineRule="auto"/>
              <w:ind w:firstLine="0"/>
              <w:jc w:val="center"/>
            </w:pPr>
            <w:r>
              <w:rPr>
                <w:rFonts w:ascii="Times New Roman" w:hAnsi="Times New Roman" w:cs="Times New Roman" w:eastAsia="Times New Roman"/>
                <w:b/>
                <w:sz w:val="24"/>
              </w:rPr>
              <w:t xml:space="preserve">Mazmuni</w:t>
            </w:r>
          </w:p>
        </w:tc>
        <w:tc>
          <w:tcPr/>
          <w:p>
            <w:pPr>
              <w:pStyle w:val="Compact"/>
              <w:spacing w:line="240" w:lineRule="auto"/>
              <w:ind w:firstLine="0"/>
              <w:jc w:val="center"/>
            </w:pPr>
            <w:r>
              <w:rPr>
                <w:rFonts w:ascii="Times New Roman" w:hAnsi="Times New Roman" w:cs="Times New Roman" w:eastAsia="Times New Roman"/>
                <w:b/>
                <w:sz w:val="24"/>
              </w:rPr>
              <w:t xml:space="preserve">Asosiy xususiyati</w:t>
            </w:r>
          </w:p>
        </w:tc>
      </w:tr>
      <w:tr>
        <w:tc>
          <w:tcPr/>
          <w:p>
            <w:pPr>
              <w:pStyle w:val="Compact"/>
              <w:spacing w:line="240" w:lineRule="auto"/>
              <w:ind w:firstLine="0"/>
              <w:jc w:val="left"/>
            </w:pPr>
            <w:r>
              <w:rPr>
                <w:rFonts w:ascii="Times New Roman" w:hAnsi="Times New Roman" w:cs="Times New Roman" w:eastAsia="Times New Roman"/>
                <w:sz w:val="24"/>
              </w:rPr>
              <w:t xml:space="preserve">I. Shakllanish</w:t>
            </w:r>
          </w:p>
        </w:tc>
        <w:tc>
          <w:tcPr/>
          <w:p>
            <w:pPr>
              <w:pStyle w:val="Compact"/>
              <w:spacing w:line="240" w:lineRule="auto"/>
              <w:ind w:firstLine="0"/>
              <w:jc w:val="left"/>
            </w:pPr>
            <w:r>
              <w:rPr>
                <w:rFonts w:ascii="Times New Roman" w:hAnsi="Times New Roman" w:cs="Times New Roman" w:eastAsia="Times New Roman"/>
                <w:sz w:val="24"/>
              </w:rPr>
              <w:t xml:space="preserve">1997–2009</w:t>
            </w:r>
          </w:p>
        </w:tc>
        <w:tc>
          <w:tcPr/>
          <w:p>
            <w:pPr>
              <w:pStyle w:val="Compact"/>
              <w:spacing w:line="240" w:lineRule="auto"/>
              <w:ind w:firstLine="0"/>
              <w:jc w:val="left"/>
            </w:pPr>
            <w:r>
              <w:rPr>
                <w:rFonts w:ascii="Times New Roman" w:hAnsi="Times New Roman" w:cs="Times New Roman" w:eastAsia="Times New Roman"/>
                <w:sz w:val="24"/>
              </w:rPr>
              <w:t xml:space="preserve">CAMEL tizimi (1997–1998)</w:t>
            </w:r>
          </w:p>
        </w:tc>
        <w:tc>
          <w:tcPr/>
          <w:p>
            <w:pPr>
              <w:pStyle w:val="Compact"/>
              <w:spacing w:line="240" w:lineRule="auto"/>
              <w:ind w:firstLine="0"/>
              <w:jc w:val="left"/>
            </w:pPr>
            <w:r>
              <w:rPr>
                <w:rFonts w:ascii="Times New Roman" w:hAnsi="Times New Roman" w:cs="Times New Roman" w:eastAsia="Times New Roman"/>
                <w:sz w:val="24"/>
              </w:rPr>
              <w:t xml:space="preserve">Joyida tekshiruv va reyting baholash; kapital yetarliligiga Bazel I mantig‘idagi talablar</w:t>
            </w:r>
          </w:p>
        </w:tc>
        <w:tc>
          <w:tcPr/>
          <w:p>
            <w:pPr>
              <w:pStyle w:val="Compact"/>
              <w:spacing w:line="240" w:lineRule="auto"/>
              <w:ind w:firstLine="0"/>
              <w:jc w:val="left"/>
            </w:pPr>
            <w:r>
              <w:rPr>
                <w:rFonts w:ascii="Times New Roman" w:hAnsi="Times New Roman" w:cs="Times New Roman" w:eastAsia="Times New Roman"/>
                <w:sz w:val="24"/>
              </w:rPr>
              <w:t xml:space="preserve">Nazorat amaliyotiga xalqaro tajriba kirib keldi</w:t>
            </w:r>
          </w:p>
        </w:tc>
      </w:tr>
      <w:tr>
        <w:tc>
          <w:tcPr/>
          <w:p>
            <w:pPr>
              <w:pStyle w:val="Compact"/>
              <w:spacing w:line="240" w:lineRule="auto"/>
              <w:ind w:firstLine="0"/>
              <w:jc w:val="left"/>
            </w:pPr>
            <w:r>
              <w:rPr>
                <w:rFonts w:ascii="Times New Roman" w:hAnsi="Times New Roman" w:cs="Times New Roman" w:eastAsia="Times New Roman"/>
                <w:sz w:val="24"/>
              </w:rPr>
              <w:t xml:space="preserve">II. Tayyorgarlik</w:t>
            </w:r>
          </w:p>
        </w:tc>
        <w:tc>
          <w:tcPr/>
          <w:p>
            <w:pPr>
              <w:pStyle w:val="Compact"/>
              <w:spacing w:line="240" w:lineRule="auto"/>
              <w:ind w:firstLine="0"/>
              <w:jc w:val="left"/>
            </w:pPr>
            <w:r>
              <w:rPr>
                <w:rFonts w:ascii="Times New Roman" w:hAnsi="Times New Roman" w:cs="Times New Roman" w:eastAsia="Times New Roman"/>
                <w:sz w:val="24"/>
              </w:rPr>
              <w:t xml:space="preserve">2010–2014</w:t>
            </w:r>
          </w:p>
        </w:tc>
        <w:tc>
          <w:tcPr/>
          <w:p>
            <w:pPr>
              <w:pStyle w:val="Compact"/>
              <w:spacing w:line="240" w:lineRule="auto"/>
              <w:ind w:firstLine="0"/>
              <w:jc w:val="left"/>
            </w:pPr>
            <w:r>
              <w:rPr>
                <w:rFonts w:ascii="Times New Roman" w:hAnsi="Times New Roman" w:cs="Times New Roman" w:eastAsia="Times New Roman"/>
                <w:sz w:val="24"/>
              </w:rPr>
              <w:t xml:space="preserve">PQ-1438 (26.11.2010)</w:t>
            </w:r>
          </w:p>
        </w:tc>
        <w:tc>
          <w:tcPr/>
          <w:p>
            <w:pPr>
              <w:pStyle w:val="Compact"/>
              <w:spacing w:line="240" w:lineRule="auto"/>
              <w:ind w:firstLine="0"/>
              <w:jc w:val="left"/>
            </w:pPr>
            <w:r>
              <w:rPr>
                <w:rFonts w:ascii="Times New Roman" w:hAnsi="Times New Roman" w:cs="Times New Roman" w:eastAsia="Times New Roman"/>
                <w:sz w:val="24"/>
              </w:rPr>
              <w:t xml:space="preserve">Jahon banki ko‘magida ~30 ta normativ hujjat; bank tizimini isloh qilish dasturi</w:t>
            </w:r>
          </w:p>
        </w:tc>
        <w:tc>
          <w:tcPr/>
          <w:p>
            <w:pPr>
              <w:pStyle w:val="Compact"/>
              <w:spacing w:line="240" w:lineRule="auto"/>
              <w:ind w:firstLine="0"/>
              <w:jc w:val="left"/>
            </w:pPr>
            <w:r>
              <w:rPr>
                <w:rFonts w:ascii="Times New Roman" w:hAnsi="Times New Roman" w:cs="Times New Roman" w:eastAsia="Times New Roman"/>
                <w:sz w:val="24"/>
              </w:rPr>
              <w:t xml:space="preserve">Me’yoriy baza yangilandi</w:t>
            </w:r>
          </w:p>
        </w:tc>
      </w:tr>
      <w:tr>
        <w:tc>
          <w:tcPr/>
          <w:p>
            <w:pPr>
              <w:pStyle w:val="Compact"/>
              <w:spacing w:line="240" w:lineRule="auto"/>
              <w:ind w:firstLine="0"/>
              <w:jc w:val="left"/>
            </w:pPr>
            <w:r>
              <w:rPr>
                <w:rFonts w:ascii="Times New Roman" w:hAnsi="Times New Roman" w:cs="Times New Roman" w:eastAsia="Times New Roman"/>
                <w:sz w:val="24"/>
              </w:rPr>
              <w:t xml:space="preserve">III. Rasmiy joriy etish</w:t>
            </w:r>
          </w:p>
        </w:tc>
        <w:tc>
          <w:tcPr/>
          <w:p>
            <w:pPr>
              <w:pStyle w:val="Compact"/>
              <w:spacing w:line="240" w:lineRule="auto"/>
              <w:ind w:firstLine="0"/>
              <w:jc w:val="left"/>
            </w:pPr>
            <w:r>
              <w:rPr>
                <w:rFonts w:ascii="Times New Roman" w:hAnsi="Times New Roman" w:cs="Times New Roman" w:eastAsia="Times New Roman"/>
                <w:sz w:val="24"/>
              </w:rPr>
              <w:t xml:space="preserve">2015–2019</w:t>
            </w:r>
          </w:p>
        </w:tc>
        <w:tc>
          <w:tcPr/>
          <w:p>
            <w:pPr>
              <w:pStyle w:val="Compact"/>
              <w:spacing w:line="240" w:lineRule="auto"/>
              <w:ind w:firstLine="0"/>
              <w:jc w:val="left"/>
            </w:pPr>
            <w:r>
              <w:rPr>
                <w:rFonts w:ascii="Times New Roman" w:hAnsi="Times New Roman" w:cs="Times New Roman" w:eastAsia="Times New Roman"/>
                <w:sz w:val="24"/>
              </w:rPr>
              <w:t xml:space="preserve">PQ-2344 (06.05.2015); 2693-son kapital nizomi; 2709-son likvidlik nizomi</w:t>
            </w:r>
          </w:p>
        </w:tc>
        <w:tc>
          <w:tcPr/>
          <w:p>
            <w:pPr>
              <w:pStyle w:val="Compact"/>
              <w:spacing w:line="240" w:lineRule="auto"/>
              <w:ind w:firstLine="0"/>
              <w:jc w:val="left"/>
            </w:pPr>
            <w:r>
              <w:rPr>
                <w:rFonts w:ascii="Times New Roman" w:hAnsi="Times New Roman" w:cs="Times New Roman" w:eastAsia="Times New Roman"/>
                <w:sz w:val="24"/>
              </w:rPr>
              <w:t xml:space="preserve">Jami kapital ≥13%, I darajali kapital ≥10%, leverej ≥6%; LCR va NSFR ≥100% (2016–2018-yillarda bosqichma-bosqich)</w:t>
            </w:r>
          </w:p>
        </w:tc>
        <w:tc>
          <w:tcPr/>
          <w:p>
            <w:pPr>
              <w:pStyle w:val="Compact"/>
              <w:spacing w:line="240" w:lineRule="auto"/>
              <w:ind w:firstLine="0"/>
              <w:jc w:val="left"/>
            </w:pPr>
            <w:r>
              <w:rPr>
                <w:rFonts w:ascii="Times New Roman" w:hAnsi="Times New Roman" w:cs="Times New Roman" w:eastAsia="Times New Roman"/>
                <w:sz w:val="24"/>
              </w:rPr>
              <w:t xml:space="preserve">Miqdoriy talablar Bazel minimumlaridan yuqori belgilandi</w:t>
            </w:r>
          </w:p>
        </w:tc>
      </w:tr>
      <w:tr>
        <w:tc>
          <w:tcPr/>
          <w:p>
            <w:pPr>
              <w:pStyle w:val="Compact"/>
              <w:spacing w:line="240" w:lineRule="auto"/>
              <w:ind w:firstLine="0"/>
              <w:jc w:val="left"/>
            </w:pPr>
            <w:r>
              <w:rPr>
                <w:rFonts w:ascii="Times New Roman" w:hAnsi="Times New Roman" w:cs="Times New Roman" w:eastAsia="Times New Roman"/>
                <w:sz w:val="24"/>
              </w:rPr>
              <w:t xml:space="preserve">IV. Moslashtirish va tashqi baholash</w:t>
            </w:r>
          </w:p>
        </w:tc>
        <w:tc>
          <w:tcPr/>
          <w:p>
            <w:pPr>
              <w:pStyle w:val="Compact"/>
              <w:spacing w:line="240" w:lineRule="auto"/>
              <w:ind w:firstLine="0"/>
              <w:jc w:val="left"/>
            </w:pPr>
            <w:r>
              <w:rPr>
                <w:rFonts w:ascii="Times New Roman" w:hAnsi="Times New Roman" w:cs="Times New Roman" w:eastAsia="Times New Roman"/>
                <w:sz w:val="24"/>
              </w:rPr>
              <w:t xml:space="preserve">2019–2024</w:t>
            </w:r>
          </w:p>
        </w:tc>
        <w:tc>
          <w:tcPr/>
          <w:p>
            <w:pPr>
              <w:pStyle w:val="Compact"/>
              <w:spacing w:line="240" w:lineRule="auto"/>
              <w:ind w:firstLine="0"/>
              <w:jc w:val="left"/>
            </w:pPr>
            <w:r>
              <w:rPr>
                <w:rFonts w:ascii="Times New Roman" w:hAnsi="Times New Roman" w:cs="Times New Roman" w:eastAsia="Times New Roman"/>
                <w:sz w:val="24"/>
              </w:rPr>
              <w:t xml:space="preserve">Nizomga o‘zgartirishlar (2018, 2019, 2024); tizimli banklar nizomi (18.02.2023); XVJ va Jahon banki FSAP baholashi (2024–2025)</w:t>
            </w:r>
          </w:p>
        </w:tc>
        <w:tc>
          <w:tcPr/>
          <w:p>
            <w:pPr>
              <w:pStyle w:val="Compact"/>
              <w:spacing w:line="240" w:lineRule="auto"/>
              <w:ind w:firstLine="0"/>
              <w:jc w:val="left"/>
            </w:pPr>
            <w:r>
              <w:rPr>
                <w:rFonts w:ascii="Times New Roman" w:hAnsi="Times New Roman" w:cs="Times New Roman" w:eastAsia="Times New Roman"/>
                <w:sz w:val="24"/>
              </w:rPr>
              <w:t xml:space="preserve">Tizimli ahamiyatli banklar aniqlandi; FSAP rasmiy va mazmuniy muvofiqlik o‘rtasidagi tafovutni aniqladi</w:t>
            </w:r>
          </w:p>
        </w:tc>
        <w:tc>
          <w:tcPr/>
          <w:p>
            <w:pPr>
              <w:pStyle w:val="Compact"/>
              <w:spacing w:line="240" w:lineRule="auto"/>
              <w:ind w:firstLine="0"/>
              <w:jc w:val="left"/>
            </w:pPr>
            <w:r>
              <w:rPr>
                <w:rFonts w:ascii="Times New Roman" w:hAnsi="Times New Roman" w:cs="Times New Roman" w:eastAsia="Times New Roman"/>
                <w:sz w:val="24"/>
              </w:rPr>
              <w:t xml:space="preserve">Talablar yuqori, ammo kapital sifati va risk baholash orqada</w:t>
            </w:r>
          </w:p>
        </w:tc>
      </w:tr>
      <w:tr>
        <w:tc>
          <w:tcPr/>
          <w:p>
            <w:pPr>
              <w:pStyle w:val="Compact"/>
              <w:spacing w:line="240" w:lineRule="auto"/>
              <w:ind w:firstLine="0"/>
              <w:jc w:val="left"/>
            </w:pPr>
            <w:r>
              <w:rPr>
                <w:rFonts w:ascii="Times New Roman" w:hAnsi="Times New Roman" w:cs="Times New Roman" w:eastAsia="Times New Roman"/>
                <w:sz w:val="24"/>
              </w:rPr>
              <w:t xml:space="preserve">V. To‘liq muvofiqlashtirish</w:t>
            </w:r>
          </w:p>
        </w:tc>
        <w:tc>
          <w:tcPr/>
          <w:p>
            <w:pPr>
              <w:pStyle w:val="Compact"/>
              <w:spacing w:line="240" w:lineRule="auto"/>
              <w:ind w:firstLine="0"/>
              <w:jc w:val="left"/>
            </w:pPr>
            <w:r>
              <w:rPr>
                <w:rFonts w:ascii="Times New Roman" w:hAnsi="Times New Roman" w:cs="Times New Roman" w:eastAsia="Times New Roman"/>
                <w:sz w:val="24"/>
              </w:rPr>
              <w:t xml:space="preserve">2025–2028</w:t>
            </w:r>
          </w:p>
        </w:tc>
        <w:tc>
          <w:tcPr/>
          <w:p>
            <w:pPr>
              <w:pStyle w:val="Compact"/>
              <w:spacing w:line="240" w:lineRule="auto"/>
              <w:ind w:firstLine="0"/>
              <w:jc w:val="left"/>
            </w:pPr>
            <w:r>
              <w:rPr>
                <w:rFonts w:ascii="Times New Roman" w:hAnsi="Times New Roman" w:cs="Times New Roman" w:eastAsia="Times New Roman"/>
                <w:sz w:val="24"/>
              </w:rPr>
              <w:t xml:space="preserve">2693-13-son o‘zgartirish (21.04.2025); yangi kapital nizomi (21/6, 02.10.2025); kapital buferlari; FSAP yo‘l xaritasi (17.11.2025)</w:t>
            </w:r>
          </w:p>
        </w:tc>
        <w:tc>
          <w:tcPr/>
          <w:p>
            <w:pPr>
              <w:pStyle w:val="Compact"/>
              <w:spacing w:line="240" w:lineRule="auto"/>
              <w:ind w:firstLine="0"/>
              <w:jc w:val="left"/>
            </w:pPr>
            <w:r>
              <w:rPr>
                <w:rFonts w:ascii="Times New Roman" w:hAnsi="Times New Roman" w:cs="Times New Roman" w:eastAsia="Times New Roman"/>
                <w:sz w:val="24"/>
              </w:rPr>
              <w:t xml:space="preserve">CET1 ≥8%, leverej ≥6%; saqlash buferi 2,5%, kontrsiklik bufer 1,5% (01.01.2026 dan), tizimli banklar buferi 1%; 2- va 3-ustunlar, MHXS 9</w:t>
            </w:r>
          </w:p>
        </w:tc>
        <w:tc>
          <w:tcPr/>
          <w:p>
            <w:pPr>
              <w:pStyle w:val="Compact"/>
              <w:spacing w:line="240" w:lineRule="auto"/>
              <w:ind w:firstLine="0"/>
              <w:jc w:val="left"/>
            </w:pPr>
            <w:r>
              <w:rPr>
                <w:rFonts w:ascii="Times New Roman" w:hAnsi="Times New Roman" w:cs="Times New Roman" w:eastAsia="Times New Roman"/>
                <w:sz w:val="24"/>
              </w:rPr>
              <w:t xml:space="preserve">Kapital sifati va makroprudensial siyosatga o‘tish</w:t>
            </w:r>
          </w:p>
        </w:tc>
      </w:tr>
    </w:tbl>
    <w:p>
      <w:pPr>
        <w:pStyle w:val="BodyText"/>
        <w:spacing w:line="360" w:lineRule="auto" w:before="0" w:after="120"/>
        <w:ind w:firstLine="0"/>
        <w:jc w:val="both"/>
      </w:pPr>
      <w:r>
        <w:rPr>
          <w:iCs/>
          <w:rFonts w:ascii="Times New Roman" w:hAnsi="Times New Roman" w:cs="Times New Roman" w:eastAsia="Times New Roman"/>
          <w:i/>
          <w:sz w:val="24"/>
        </w:rPr>
        <w:t xml:space="preserve">Manba: muallif tomonidan me’yoriy hujjatlar, Markaziy bank sharhlari va FSAP materiallari asosida tuzilgan.</w:t>
      </w:r>
    </w:p>
    <w:p>
      <w:pPr>
        <w:pStyle w:val="BodyText"/>
        <w:spacing w:line="360" w:lineRule="auto" w:before="0" w:after="0"/>
        <w:ind w:firstLine="709"/>
        <w:jc w:val="both"/>
      </w:pPr>
      <w:r>
        <w:rPr>
          <w:bCs/>
          <w:rFonts w:ascii="Times New Roman" w:hAnsi="Times New Roman" w:cs="Times New Roman" w:eastAsia="Times New Roman"/>
          <w:b/>
          <w:sz w:val="28"/>
        </w:rPr>
        <w:t xml:space="preserve">Birinchi bosqich (1997–2009) – shakllanish.</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Bu bosqichda O‘zbekiston bank nazoratiga xalqaro tajriba birinchi marta tizimli ravishda kirib keldi. CAMEL reyting tizimi 1997-yil noyabrdan qisman, 1998-yil 1-yanvardan to‘liq joriy etildi</w:t>
      </w:r>
      <w:r>
        <w:rPr>
          <w:rStyle w:val="FootnoteReference"/>
          <w:rFonts w:ascii="Times New Roman" w:hAnsi="Times New Roman" w:cs="Times New Roman" w:eastAsia="Times New Roman"/>
          <w:sz w:val="28"/>
        </w:rPr>
        <w:footnoteReference w:id="20"/>
      </w:r>
      <w:r>
        <w:rPr>
          <w:rFonts w:ascii="Times New Roman" w:hAnsi="Times New Roman" w:cs="Times New Roman" w:eastAsia="Times New Roman"/>
          <w:sz w:val="28"/>
        </w:rPr>
        <w:t xml:space="preserve">. Tizim AQSh Xalqaro taraqqiyot agentligi (USAID) ko‘magida joyida tekshirish vositasi sifatida qo‘llana boshladi</w:t>
      </w:r>
      <w:r>
        <w:rPr>
          <w:rStyle w:val="FootnoteReference"/>
          <w:rFonts w:ascii="Times New Roman" w:hAnsi="Times New Roman" w:cs="Times New Roman" w:eastAsia="Times New Roman"/>
          <w:sz w:val="28"/>
        </w:rPr>
        <w:footnoteReference w:id="21"/>
      </w:r>
      <w:r>
        <w:rPr>
          <w:rFonts w:ascii="Times New Roman" w:hAnsi="Times New Roman" w:cs="Times New Roman" w:eastAsia="Times New Roman"/>
          <w:sz w:val="28"/>
        </w:rPr>
        <w:t xml:space="preserve">. Bu bosqichning mazmuniy xususiyati shundaki, xalqaro standartlar asosan nazorat</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usuli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sifatida o‘zlashtirildi, kapital talablarining o‘zi esa Bazel I ning soddalashtirilgan mantig‘iga tayandi. Karaliyev va Sayfiddinov milliy CAMEL tizimida omillar uchun solishtirma vazn va qiyosiy baholash yo‘qligini qayd etadi</w:t>
      </w:r>
      <w:r>
        <w:rPr>
          <w:rStyle w:val="FootnoteReference"/>
          <w:rFonts w:ascii="Times New Roman" w:hAnsi="Times New Roman" w:cs="Times New Roman" w:eastAsia="Times New Roman"/>
          <w:sz w:val="28"/>
        </w:rPr>
        <w:footnoteReference w:id="22"/>
      </w:r>
      <w:r>
        <w:rPr>
          <w:rFonts w:ascii="Times New Roman" w:hAnsi="Times New Roman" w:cs="Times New Roman" w:eastAsia="Times New Roman"/>
          <w:sz w:val="28"/>
        </w:rPr>
        <w:t xml:space="preserve">. Bu kamchiliklar keyingi bosqichlarda ham to‘liq bartaraf etilmadi.</w:t>
      </w:r>
    </w:p>
    <w:p>
      <w:pPr>
        <w:pStyle w:val="BodyText"/>
        <w:spacing w:line="360" w:lineRule="auto" w:before="0" w:after="0"/>
        <w:ind w:firstLine="709"/>
        <w:jc w:val="both"/>
      </w:pPr>
      <w:r>
        <w:rPr>
          <w:bCs/>
          <w:rFonts w:ascii="Times New Roman" w:hAnsi="Times New Roman" w:cs="Times New Roman" w:eastAsia="Times New Roman"/>
          <w:b/>
          <w:sz w:val="28"/>
        </w:rPr>
        <w:t xml:space="preserve">Ikkinchi bosqich (2010–2014) – tayyorgarlik.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 Respublikasi Prezidentining 2010-yil 26-noyabrdagi PQ-1438-son qarori bilan 2011–2015-yillarda moliya-bank tizimini isloh qilish dasturi qabul qilindi. Jahon banki loyihasi doirasida 30 ga yaqin normativ hujjat ishlab chiqildi</w:t>
      </w:r>
      <w:r>
        <w:rPr>
          <w:rStyle w:val="FootnoteReference"/>
          <w:rFonts w:ascii="Times New Roman" w:hAnsi="Times New Roman" w:cs="Times New Roman" w:eastAsia="Times New Roman"/>
          <w:sz w:val="28"/>
        </w:rPr>
        <w:footnoteReference w:id="23"/>
      </w:r>
      <w:r>
        <w:rPr>
          <w:rFonts w:ascii="Times New Roman" w:hAnsi="Times New Roman" w:cs="Times New Roman" w:eastAsia="Times New Roman"/>
          <w:sz w:val="28"/>
        </w:rPr>
        <w:t xml:space="preserve">. Bu bosqich Bazel III ni joriy etish uchun huquqiy va institutsional zamin yaratdi. Shu bilan birga, davlat bank kapitaliga 600 mlrd so‘mdan ortiq mablag‘ kiritdi va bank tizimi kapital yetarliligi 24 foizdan oshdi</w:t>
      </w:r>
      <w:r>
        <w:rPr>
          <w:rStyle w:val="FootnoteReference"/>
          <w:rFonts w:ascii="Times New Roman" w:hAnsi="Times New Roman" w:cs="Times New Roman" w:eastAsia="Times New Roman"/>
          <w:sz w:val="28"/>
        </w:rPr>
        <w:footnoteReference w:id="24"/>
      </w:r>
      <w:r>
        <w:rPr>
          <w:rFonts w:ascii="Times New Roman" w:hAnsi="Times New Roman" w:cs="Times New Roman" w:eastAsia="Times New Roman"/>
          <w:sz w:val="28"/>
        </w:rPr>
        <w:t xml:space="preserve">. Demak, yuqori kapitallashuv bu davrda asosan davlat in’ektsiyalari hisobiga ta’minlangan.</w:t>
      </w:r>
    </w:p>
    <w:p>
      <w:pPr>
        <w:pStyle w:val="BodyText"/>
        <w:spacing w:line="360" w:lineRule="auto" w:before="0" w:after="0"/>
        <w:ind w:firstLine="709"/>
        <w:jc w:val="both"/>
      </w:pPr>
      <w:r>
        <w:rPr>
          <w:bCs/>
          <w:rFonts w:ascii="Times New Roman" w:hAnsi="Times New Roman" w:cs="Times New Roman" w:eastAsia="Times New Roman"/>
          <w:b/>
          <w:sz w:val="28"/>
        </w:rPr>
        <w:t xml:space="preserve">Uchinchi bosqich (2015–2019) – Bazel III ning rasmiy joriy etilishi.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Prezidentning 2015-yil 6-maydagi PQ-2344-son qarori bilan Markaziy bankka 2015–2019-yillarda Bazel III talablarini bosqichma-bosqich joriy etish topshirildi</w:t>
      </w:r>
      <w:r>
        <w:rPr>
          <w:rStyle w:val="FootnoteReference"/>
          <w:rFonts w:ascii="Times New Roman" w:hAnsi="Times New Roman" w:cs="Times New Roman" w:eastAsia="Times New Roman"/>
          <w:sz w:val="28"/>
        </w:rPr>
        <w:footnoteReference w:id="25"/>
      </w:r>
      <w:r>
        <w:rPr>
          <w:rFonts w:ascii="Times New Roman" w:hAnsi="Times New Roman" w:cs="Times New Roman" w:eastAsia="Times New Roman"/>
          <w:sz w:val="28"/>
        </w:rPr>
        <w:t xml:space="preserve">. Shu asosda Markaziy bank Boshqaruvining 2015-yil 13-iyundagi 14/3-son qarori bilan «Tijorat banklari kapitalining monandligiga qo‘yiladigan talablar to‘g‘risida»gi nizom (ro‘yxat raqami 2693) tasdiqlandi. Rejaga ko‘ra, I darajali kapital talabi 5 foizdan 3 foizlik kapitalni saqlash buferi bilan birga 11 foizgacha oshirilishi kerak edi</w:t>
      </w:r>
      <w:r>
        <w:rPr>
          <w:rStyle w:val="FootnoteReference"/>
          <w:rFonts w:ascii="Times New Roman" w:hAnsi="Times New Roman" w:cs="Times New Roman" w:eastAsia="Times New Roman"/>
          <w:sz w:val="28"/>
        </w:rPr>
        <w:footnoteReference w:id="26"/>
      </w:r>
      <w:r>
        <w:rPr>
          <w:rFonts w:ascii="Times New Roman" w:hAnsi="Times New Roman" w:cs="Times New Roman" w:eastAsia="Times New Roman"/>
          <w:sz w:val="28"/>
        </w:rPr>
        <w:t xml:space="preserve">. Amaldagi nizomda regulyativ kapital monandligi kamida 13 foiz (3 foizlik bufer bilan), I darajali kapital kamida 10 foiz, leverej kamida 6 foiz etib belgilandi</w:t>
      </w:r>
      <w:r>
        <w:rPr>
          <w:rStyle w:val="FootnoteReference"/>
          <w:rFonts w:ascii="Times New Roman" w:hAnsi="Times New Roman" w:cs="Times New Roman" w:eastAsia="Times New Roman"/>
          <w:sz w:val="28"/>
        </w:rPr>
        <w:footnoteReference w:id="27"/>
      </w:r>
      <w:r>
        <w:rPr>
          <w:rFonts w:ascii="Times New Roman" w:hAnsi="Times New Roman" w:cs="Times New Roman" w:eastAsia="Times New Roman"/>
          <w:sz w:val="28"/>
        </w:rPr>
        <w:t xml:space="preserve">. Likvidlik bo‘yicha LCR ning minimal darajasi 2016-yildan 80, 2017-yildan 90, 2018-yildan 100 foiz qilib belgilandi, NSFR esa 2018-yildan kamida 100 foiz darajasida joriy etildi</w:t>
      </w:r>
      <w:r>
        <w:rPr>
          <w:rStyle w:val="FootnoteReference"/>
          <w:rFonts w:ascii="Times New Roman" w:hAnsi="Times New Roman" w:cs="Times New Roman" w:eastAsia="Times New Roman"/>
          <w:sz w:val="28"/>
        </w:rPr>
        <w:footnoteReference w:id="28"/>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Bu bosqichning asosiy mazmuniy xususiyati – milliy talablarning Bazel III minimumlaridan sezilarli darajada yuqori belgilanishi (2-jadval). Jami kapital talabi (13 foiz) Bazel III dagi 8 foizlik minimumdan 5 foiz punkt, konservatsiya buferi bilan birgalikdagi 10,5 foizlik talabdan esa 2,5 foiz punkt yuqori. Leverej talabi (6 foiz) Bazel III dagi 3 foizdan ikki baravar yuqori. Bunday «qat’iylashtirilgan» yondashuvni rivojlanayotgan bozor sharoitidagi yuqori risklar, kredit portfelida davlat dasturlari ulushining kattaligi va risk baholash amaliyotining hali yetarlicha rivojlanmaganligi bilan izohlash mumkin. Boshqacha aytganda, risk o‘lchovining aniqligi past bo‘lgan sharoitda regulyator yuqori miqdoriy chegaralar orqali ehtiyotkorlik zaxirasini yaratgan.</w:t>
      </w:r>
    </w:p>
    <w:p>
      <w:pPr>
        <w:pStyle w:val="BodyText"/>
        <w:keepNext/>
        <w:spacing w:line="360" w:lineRule="auto" w:before="120" w:after="0"/>
        <w:ind w:firstLine="0"/>
        <w:jc w:val="center"/>
      </w:pPr>
      <w:r>
        <w:rPr>
          <w:bCs/>
          <w:rFonts w:ascii="Times New Roman" w:hAnsi="Times New Roman" w:cs="Times New Roman" w:eastAsia="Times New Roman"/>
          <w:b/>
          <w:sz w:val="28"/>
        </w:rPr>
        <w:t xml:space="preserve">2-jadval. O‘zbekiston kapital talablarining Bazel III minimumlari bilan taqqoslanishi, %</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spacing w:line="240" w:lineRule="auto"/>
              <w:ind w:firstLine="0"/>
              <w:jc w:val="center"/>
            </w:pPr>
            <w:r>
              <w:rPr>
                <w:rFonts w:ascii="Times New Roman" w:hAnsi="Times New Roman" w:cs="Times New Roman" w:eastAsia="Times New Roman"/>
                <w:b/>
                <w:sz w:val="24"/>
              </w:rPr>
              <w:t xml:space="preserve">Ko‘rsatkich</w:t>
            </w:r>
          </w:p>
        </w:tc>
        <w:tc>
          <w:tcPr/>
          <w:p>
            <w:pPr>
              <w:pStyle w:val="Compact"/>
              <w:spacing w:line="240" w:lineRule="auto"/>
              <w:ind w:firstLine="0"/>
              <w:jc w:val="center"/>
            </w:pPr>
            <w:r>
              <w:rPr>
                <w:rFonts w:ascii="Times New Roman" w:hAnsi="Times New Roman" w:cs="Times New Roman" w:eastAsia="Times New Roman"/>
                <w:b/>
                <w:sz w:val="24"/>
              </w:rPr>
              <w:t xml:space="preserve">Bazel III minimumi</w:t>
            </w:r>
          </w:p>
        </w:tc>
        <w:tc>
          <w:tcPr/>
          <w:p>
            <w:pPr>
              <w:pStyle w:val="Compact"/>
              <w:spacing w:line="240" w:lineRule="auto"/>
              <w:ind w:firstLine="0"/>
              <w:jc w:val="center"/>
            </w:pPr>
            <w:r>
              <w:rPr>
                <w:rFonts w:ascii="Times New Roman" w:hAnsi="Times New Roman" w:cs="Times New Roman" w:eastAsia="Times New Roman"/>
                <w:b/>
                <w:sz w:val="24"/>
              </w:rPr>
              <w:t xml:space="preserve">2015-yilgi nizom (№ 2693)</w:t>
            </w:r>
          </w:p>
        </w:tc>
        <w:tc>
          <w:tcPr/>
          <w:p>
            <w:pPr>
              <w:pStyle w:val="Compact"/>
              <w:spacing w:line="240" w:lineRule="auto"/>
              <w:ind w:firstLine="0"/>
              <w:jc w:val="center"/>
            </w:pPr>
            <w:r>
              <w:rPr>
                <w:rFonts w:ascii="Times New Roman" w:hAnsi="Times New Roman" w:cs="Times New Roman" w:eastAsia="Times New Roman"/>
                <w:b/>
                <w:sz w:val="24"/>
              </w:rPr>
              <w:t xml:space="preserve">2025-yilgi yangi nizom va buferlar</w:t>
            </w:r>
          </w:p>
        </w:tc>
      </w:tr>
      <w:tr>
        <w:tc>
          <w:tcPr/>
          <w:p>
            <w:pPr>
              <w:pStyle w:val="Compact"/>
              <w:spacing w:line="240" w:lineRule="auto"/>
              <w:ind w:firstLine="0"/>
              <w:jc w:val="left"/>
            </w:pPr>
            <w:r>
              <w:rPr>
                <w:rFonts w:ascii="Times New Roman" w:hAnsi="Times New Roman" w:cs="Times New Roman" w:eastAsia="Times New Roman"/>
                <w:sz w:val="24"/>
              </w:rPr>
              <w:t xml:space="preserve">Asosiy kapital (CET1)</w:t>
            </w:r>
          </w:p>
        </w:tc>
        <w:tc>
          <w:tcPr/>
          <w:p>
            <w:pPr>
              <w:pStyle w:val="Compact"/>
              <w:spacing w:line="240" w:lineRule="auto"/>
              <w:ind w:firstLine="0"/>
              <w:jc w:val="left"/>
            </w:pPr>
            <w:r>
              <w:rPr>
                <w:rFonts w:ascii="Times New Roman" w:hAnsi="Times New Roman" w:cs="Times New Roman" w:eastAsia="Times New Roman"/>
                <w:sz w:val="24"/>
              </w:rPr>
              <w:t xml:space="preserve">4,5</w:t>
            </w:r>
          </w:p>
        </w:tc>
        <w:tc>
          <w:tcPr/>
          <w:p>
            <w:pPr>
              <w:pStyle w:val="Compact"/>
              <w:spacing w:line="240" w:lineRule="auto"/>
              <w:ind w:firstLine="0"/>
              <w:jc w:val="left"/>
            </w:pPr>
            <w:r>
              <w:rPr>
                <w:rFonts w:ascii="Times New Roman" w:hAnsi="Times New Roman" w:cs="Times New Roman" w:eastAsia="Times New Roman"/>
                <w:sz w:val="24"/>
              </w:rPr>
              <w:t xml:space="preserve">belgilanmagan</w:t>
            </w:r>
          </w:p>
        </w:tc>
        <w:tc>
          <w:tcPr/>
          <w:p>
            <w:pPr>
              <w:pStyle w:val="Compact"/>
              <w:spacing w:line="240" w:lineRule="auto"/>
              <w:ind w:firstLine="0"/>
              <w:jc w:val="left"/>
            </w:pPr>
            <w:r>
              <w:rPr>
                <w:rFonts w:ascii="Times New Roman" w:hAnsi="Times New Roman" w:cs="Times New Roman" w:eastAsia="Times New Roman"/>
                <w:sz w:val="24"/>
              </w:rPr>
              <w:t xml:space="preserve">8,0</w:t>
            </w:r>
          </w:p>
        </w:tc>
      </w:tr>
      <w:tr>
        <w:tc>
          <w:tcPr/>
          <w:p>
            <w:pPr>
              <w:pStyle w:val="Compact"/>
              <w:spacing w:line="240" w:lineRule="auto"/>
              <w:ind w:firstLine="0"/>
              <w:jc w:val="left"/>
            </w:pPr>
            <w:r>
              <w:rPr>
                <w:rFonts w:ascii="Times New Roman" w:hAnsi="Times New Roman" w:cs="Times New Roman" w:eastAsia="Times New Roman"/>
                <w:sz w:val="24"/>
              </w:rPr>
              <w:t xml:space="preserve">I darajali kapital</w:t>
            </w:r>
          </w:p>
        </w:tc>
        <w:tc>
          <w:tcPr/>
          <w:p>
            <w:pPr>
              <w:pStyle w:val="Compact"/>
              <w:spacing w:line="240" w:lineRule="auto"/>
              <w:ind w:firstLine="0"/>
              <w:jc w:val="left"/>
            </w:pPr>
            <w:r>
              <w:rPr>
                <w:rFonts w:ascii="Times New Roman" w:hAnsi="Times New Roman" w:cs="Times New Roman" w:eastAsia="Times New Roman"/>
                <w:sz w:val="24"/>
              </w:rPr>
              <w:t xml:space="preserve">6,0</w:t>
            </w:r>
          </w:p>
        </w:tc>
        <w:tc>
          <w:tcPr/>
          <w:p>
            <w:pPr>
              <w:pStyle w:val="Compact"/>
              <w:spacing w:line="240" w:lineRule="auto"/>
              <w:ind w:firstLine="0"/>
              <w:jc w:val="left"/>
            </w:pPr>
            <w:r>
              <w:rPr>
                <w:rFonts w:ascii="Times New Roman" w:hAnsi="Times New Roman" w:cs="Times New Roman" w:eastAsia="Times New Roman"/>
                <w:sz w:val="24"/>
              </w:rPr>
              <w:t xml:space="preserve">10,0</w:t>
            </w:r>
          </w:p>
        </w:tc>
        <w:tc>
          <w:tcPr/>
          <w:p>
            <w:pPr>
              <w:pStyle w:val="Compact"/>
              <w:spacing w:line="240" w:lineRule="auto"/>
              <w:ind w:firstLine="0"/>
              <w:jc w:val="left"/>
            </w:pPr>
            <w:r>
              <w:rPr>
                <w:rFonts w:ascii="Times New Roman" w:hAnsi="Times New Roman" w:cs="Times New Roman" w:eastAsia="Times New Roman"/>
                <w:sz w:val="24"/>
              </w:rPr>
              <w:t xml:space="preserve">aniqlanmoqda*</w:t>
            </w:r>
          </w:p>
        </w:tc>
      </w:tr>
      <w:tr>
        <w:tc>
          <w:tcPr/>
          <w:p>
            <w:pPr>
              <w:pStyle w:val="Compact"/>
              <w:spacing w:line="240" w:lineRule="auto"/>
              <w:ind w:firstLine="0"/>
              <w:jc w:val="left"/>
            </w:pPr>
            <w:r>
              <w:rPr>
                <w:rFonts w:ascii="Times New Roman" w:hAnsi="Times New Roman" w:cs="Times New Roman" w:eastAsia="Times New Roman"/>
                <w:sz w:val="24"/>
              </w:rPr>
              <w:t xml:space="preserve">Jami kapital</w:t>
            </w:r>
          </w:p>
        </w:tc>
        <w:tc>
          <w:tcPr/>
          <w:p>
            <w:pPr>
              <w:pStyle w:val="Compact"/>
              <w:spacing w:line="240" w:lineRule="auto"/>
              <w:ind w:firstLine="0"/>
              <w:jc w:val="left"/>
            </w:pPr>
            <w:r>
              <w:rPr>
                <w:rFonts w:ascii="Times New Roman" w:hAnsi="Times New Roman" w:cs="Times New Roman" w:eastAsia="Times New Roman"/>
                <w:sz w:val="24"/>
              </w:rPr>
              <w:t xml:space="preserve">8,0</w:t>
            </w:r>
          </w:p>
        </w:tc>
        <w:tc>
          <w:tcPr/>
          <w:p>
            <w:pPr>
              <w:pStyle w:val="Compact"/>
              <w:spacing w:line="240" w:lineRule="auto"/>
              <w:ind w:firstLine="0"/>
              <w:jc w:val="left"/>
            </w:pPr>
            <w:r>
              <w:rPr>
                <w:rFonts w:ascii="Times New Roman" w:hAnsi="Times New Roman" w:cs="Times New Roman" w:eastAsia="Times New Roman"/>
                <w:sz w:val="24"/>
              </w:rPr>
              <w:t xml:space="preserve">13,0</w:t>
            </w:r>
          </w:p>
        </w:tc>
        <w:tc>
          <w:tcPr/>
          <w:p>
            <w:pPr>
              <w:pStyle w:val="Compact"/>
              <w:spacing w:line="240" w:lineRule="auto"/>
              <w:ind w:firstLine="0"/>
              <w:jc w:val="left"/>
            </w:pPr>
            <w:r>
              <w:rPr>
                <w:rFonts w:ascii="Times New Roman" w:hAnsi="Times New Roman" w:cs="Times New Roman" w:eastAsia="Times New Roman"/>
                <w:sz w:val="24"/>
              </w:rPr>
              <w:t xml:space="preserve">aniqlanmoqda*</w:t>
            </w:r>
          </w:p>
        </w:tc>
      </w:tr>
      <w:tr>
        <w:tc>
          <w:tcPr/>
          <w:p>
            <w:pPr>
              <w:pStyle w:val="Compact"/>
              <w:spacing w:line="240" w:lineRule="auto"/>
              <w:ind w:firstLine="0"/>
              <w:jc w:val="left"/>
            </w:pPr>
            <w:r>
              <w:rPr>
                <w:rFonts w:ascii="Times New Roman" w:hAnsi="Times New Roman" w:cs="Times New Roman" w:eastAsia="Times New Roman"/>
                <w:sz w:val="24"/>
              </w:rPr>
              <w:t xml:space="preserve">Kapitalni saqlash buferi</w:t>
            </w:r>
          </w:p>
        </w:tc>
        <w:tc>
          <w:tcPr/>
          <w:p>
            <w:pPr>
              <w:pStyle w:val="Compact"/>
              <w:spacing w:line="240" w:lineRule="auto"/>
              <w:ind w:firstLine="0"/>
              <w:jc w:val="left"/>
            </w:pPr>
            <w:r>
              <w:rPr>
                <w:rFonts w:ascii="Times New Roman" w:hAnsi="Times New Roman" w:cs="Times New Roman" w:eastAsia="Times New Roman"/>
                <w:sz w:val="24"/>
              </w:rPr>
              <w:t xml:space="preserve">2,5</w:t>
            </w:r>
          </w:p>
        </w:tc>
        <w:tc>
          <w:tcPr/>
          <w:p>
            <w:pPr>
              <w:pStyle w:val="Compact"/>
              <w:spacing w:line="240" w:lineRule="auto"/>
              <w:ind w:firstLine="0"/>
              <w:jc w:val="left"/>
            </w:pPr>
            <w:r>
              <w:rPr>
                <w:rFonts w:ascii="Times New Roman" w:hAnsi="Times New Roman" w:cs="Times New Roman" w:eastAsia="Times New Roman"/>
                <w:sz w:val="24"/>
              </w:rPr>
              <w:t xml:space="preserve">3,0 (13% ichida)</w:t>
            </w:r>
          </w:p>
        </w:tc>
        <w:tc>
          <w:tcPr/>
          <w:p>
            <w:pPr>
              <w:pStyle w:val="Compact"/>
              <w:spacing w:line="240" w:lineRule="auto"/>
              <w:ind w:firstLine="0"/>
              <w:jc w:val="left"/>
            </w:pPr>
            <w:r>
              <w:rPr>
                <w:rFonts w:ascii="Times New Roman" w:hAnsi="Times New Roman" w:cs="Times New Roman" w:eastAsia="Times New Roman"/>
                <w:sz w:val="24"/>
              </w:rPr>
              <w:t xml:space="preserve">2,5</w:t>
            </w:r>
          </w:p>
        </w:tc>
      </w:tr>
      <w:tr>
        <w:tc>
          <w:tcPr/>
          <w:p>
            <w:pPr>
              <w:pStyle w:val="Compact"/>
              <w:spacing w:line="240" w:lineRule="auto"/>
              <w:ind w:firstLine="0"/>
              <w:jc w:val="left"/>
            </w:pPr>
            <w:r>
              <w:rPr>
                <w:rFonts w:ascii="Times New Roman" w:hAnsi="Times New Roman" w:cs="Times New Roman" w:eastAsia="Times New Roman"/>
                <w:sz w:val="24"/>
              </w:rPr>
              <w:t xml:space="preserve">Kontrsiklik bufer</w:t>
            </w:r>
          </w:p>
        </w:tc>
        <w:tc>
          <w:tcPr/>
          <w:p>
            <w:pPr>
              <w:pStyle w:val="Compact"/>
              <w:spacing w:line="240" w:lineRule="auto"/>
              <w:ind w:firstLine="0"/>
              <w:jc w:val="left"/>
            </w:pPr>
            <w:r>
              <w:rPr>
                <w:rFonts w:ascii="Times New Roman" w:hAnsi="Times New Roman" w:cs="Times New Roman" w:eastAsia="Times New Roman"/>
                <w:sz w:val="24"/>
              </w:rPr>
              <w:t xml:space="preserve">0–2,5</w:t>
            </w:r>
          </w:p>
        </w:tc>
        <w:tc>
          <w:tcPr/>
          <w:p>
            <w:pPr>
              <w:pStyle w:val="Compact"/>
              <w:spacing w:line="240" w:lineRule="auto"/>
              <w:ind w:firstLine="0"/>
              <w:jc w:val="left"/>
            </w:pPr>
            <w:r>
              <w:rPr>
                <w:rFonts w:ascii="Times New Roman" w:hAnsi="Times New Roman" w:cs="Times New Roman" w:eastAsia="Times New Roman"/>
                <w:sz w:val="24"/>
              </w:rPr>
              <w:t xml:space="preserve">yo‘q</w:t>
            </w:r>
          </w:p>
        </w:tc>
        <w:tc>
          <w:tcPr/>
          <w:p>
            <w:pPr>
              <w:pStyle w:val="Compact"/>
              <w:spacing w:line="240" w:lineRule="auto"/>
              <w:ind w:firstLine="0"/>
              <w:jc w:val="left"/>
            </w:pPr>
            <w:r>
              <w:rPr>
                <w:rFonts w:ascii="Times New Roman" w:hAnsi="Times New Roman" w:cs="Times New Roman" w:eastAsia="Times New Roman"/>
                <w:sz w:val="24"/>
              </w:rPr>
              <w:t xml:space="preserve">1,5</w:t>
            </w:r>
          </w:p>
        </w:tc>
      </w:tr>
      <w:tr>
        <w:tc>
          <w:tcPr/>
          <w:p>
            <w:pPr>
              <w:pStyle w:val="Compact"/>
              <w:spacing w:line="240" w:lineRule="auto"/>
              <w:ind w:firstLine="0"/>
              <w:jc w:val="left"/>
            </w:pPr>
            <w:r>
              <w:rPr>
                <w:rFonts w:ascii="Times New Roman" w:hAnsi="Times New Roman" w:cs="Times New Roman" w:eastAsia="Times New Roman"/>
                <w:sz w:val="24"/>
              </w:rPr>
              <w:t xml:space="preserve">Tizimli ahamiyatli banklar buferi</w:t>
            </w:r>
          </w:p>
        </w:tc>
        <w:tc>
          <w:tcPr/>
          <w:p>
            <w:pPr>
              <w:pStyle w:val="Compact"/>
              <w:spacing w:line="240" w:lineRule="auto"/>
              <w:ind w:firstLine="0"/>
              <w:jc w:val="left"/>
            </w:pPr>
            <w:r>
              <w:rPr>
                <w:rFonts w:ascii="Times New Roman" w:hAnsi="Times New Roman" w:cs="Times New Roman" w:eastAsia="Times New Roman"/>
                <w:sz w:val="24"/>
              </w:rPr>
              <w:t xml:space="preserve">1,0–3,5 (G-SIB)</w:t>
            </w:r>
          </w:p>
        </w:tc>
        <w:tc>
          <w:tcPr/>
          <w:p>
            <w:pPr>
              <w:pStyle w:val="Compact"/>
              <w:spacing w:line="240" w:lineRule="auto"/>
              <w:ind w:firstLine="0"/>
              <w:jc w:val="left"/>
            </w:pPr>
            <w:r>
              <w:rPr>
                <w:rFonts w:ascii="Times New Roman" w:hAnsi="Times New Roman" w:cs="Times New Roman" w:eastAsia="Times New Roman"/>
                <w:sz w:val="24"/>
              </w:rPr>
              <w:t xml:space="preserve">yo‘q</w:t>
            </w:r>
          </w:p>
        </w:tc>
        <w:tc>
          <w:tcPr/>
          <w:p>
            <w:pPr>
              <w:pStyle w:val="Compact"/>
              <w:spacing w:line="240" w:lineRule="auto"/>
              <w:ind w:firstLine="0"/>
              <w:jc w:val="left"/>
            </w:pPr>
            <w:r>
              <w:rPr>
                <w:rFonts w:ascii="Times New Roman" w:hAnsi="Times New Roman" w:cs="Times New Roman" w:eastAsia="Times New Roman"/>
                <w:sz w:val="24"/>
              </w:rPr>
              <w:t xml:space="preserve">1,0</w:t>
            </w:r>
          </w:p>
        </w:tc>
      </w:tr>
      <w:tr>
        <w:tc>
          <w:tcPr/>
          <w:p>
            <w:pPr>
              <w:pStyle w:val="Compact"/>
              <w:spacing w:line="240" w:lineRule="auto"/>
              <w:ind w:firstLine="0"/>
              <w:jc w:val="left"/>
            </w:pPr>
            <w:r>
              <w:rPr>
                <w:rFonts w:ascii="Times New Roman" w:hAnsi="Times New Roman" w:cs="Times New Roman" w:eastAsia="Times New Roman"/>
                <w:sz w:val="24"/>
              </w:rPr>
              <w:t xml:space="preserve">Leverej</w:t>
            </w:r>
          </w:p>
        </w:tc>
        <w:tc>
          <w:tcPr/>
          <w:p>
            <w:pPr>
              <w:pStyle w:val="Compact"/>
              <w:spacing w:line="240" w:lineRule="auto"/>
              <w:ind w:firstLine="0"/>
              <w:jc w:val="left"/>
            </w:pPr>
            <w:r>
              <w:rPr>
                <w:rFonts w:ascii="Times New Roman" w:hAnsi="Times New Roman" w:cs="Times New Roman" w:eastAsia="Times New Roman"/>
                <w:sz w:val="24"/>
              </w:rPr>
              <w:t xml:space="preserve">3,0</w:t>
            </w:r>
          </w:p>
        </w:tc>
        <w:tc>
          <w:tcPr/>
          <w:p>
            <w:pPr>
              <w:pStyle w:val="Compact"/>
              <w:spacing w:line="240" w:lineRule="auto"/>
              <w:ind w:firstLine="0"/>
              <w:jc w:val="left"/>
            </w:pPr>
            <w:r>
              <w:rPr>
                <w:rFonts w:ascii="Times New Roman" w:hAnsi="Times New Roman" w:cs="Times New Roman" w:eastAsia="Times New Roman"/>
                <w:sz w:val="24"/>
              </w:rPr>
              <w:t xml:space="preserve">6,0</w:t>
            </w:r>
          </w:p>
        </w:tc>
        <w:tc>
          <w:tcPr/>
          <w:p>
            <w:pPr>
              <w:pStyle w:val="Compact"/>
              <w:spacing w:line="240" w:lineRule="auto"/>
              <w:ind w:firstLine="0"/>
              <w:jc w:val="left"/>
            </w:pPr>
            <w:r>
              <w:rPr>
                <w:rFonts w:ascii="Times New Roman" w:hAnsi="Times New Roman" w:cs="Times New Roman" w:eastAsia="Times New Roman"/>
                <w:sz w:val="24"/>
              </w:rPr>
              <w:t xml:space="preserve">6,0</w:t>
            </w:r>
          </w:p>
        </w:tc>
      </w:tr>
      <w:tr>
        <w:tc>
          <w:tcPr/>
          <w:p>
            <w:pPr>
              <w:pStyle w:val="Compact"/>
              <w:spacing w:line="240" w:lineRule="auto"/>
              <w:ind w:firstLine="0"/>
              <w:jc w:val="left"/>
            </w:pPr>
            <w:r>
              <w:rPr>
                <w:rFonts w:ascii="Times New Roman" w:hAnsi="Times New Roman" w:cs="Times New Roman" w:eastAsia="Times New Roman"/>
                <w:sz w:val="24"/>
              </w:rPr>
              <w:t xml:space="preserve">LCR / NSFR</w:t>
            </w:r>
          </w:p>
        </w:tc>
        <w:tc>
          <w:tcPr/>
          <w:p>
            <w:pPr>
              <w:pStyle w:val="Compact"/>
              <w:spacing w:line="240" w:lineRule="auto"/>
              <w:ind w:firstLine="0"/>
              <w:jc w:val="left"/>
            </w:pPr>
            <w:r>
              <w:rPr>
                <w:rFonts w:ascii="Times New Roman" w:hAnsi="Times New Roman" w:cs="Times New Roman" w:eastAsia="Times New Roman"/>
                <w:sz w:val="24"/>
              </w:rPr>
              <w:t xml:space="preserve">100</w:t>
            </w:r>
          </w:p>
        </w:tc>
        <w:tc>
          <w:tcPr/>
          <w:p>
            <w:pPr>
              <w:pStyle w:val="Compact"/>
              <w:spacing w:line="240" w:lineRule="auto"/>
              <w:ind w:firstLine="0"/>
              <w:jc w:val="left"/>
            </w:pPr>
            <w:r>
              <w:rPr>
                <w:rFonts w:ascii="Times New Roman" w:hAnsi="Times New Roman" w:cs="Times New Roman" w:eastAsia="Times New Roman"/>
                <w:sz w:val="24"/>
              </w:rPr>
              <w:t xml:space="preserve">100</w:t>
            </w:r>
          </w:p>
        </w:tc>
        <w:tc>
          <w:tcPr/>
          <w:p>
            <w:pPr>
              <w:pStyle w:val="Compact"/>
              <w:spacing w:line="240" w:lineRule="auto"/>
              <w:ind w:firstLine="0"/>
              <w:jc w:val="left"/>
            </w:pPr>
            <w:r>
              <w:rPr>
                <w:rFonts w:ascii="Times New Roman" w:hAnsi="Times New Roman" w:cs="Times New Roman" w:eastAsia="Times New Roman"/>
                <w:sz w:val="24"/>
              </w:rPr>
              <w:t xml:space="preserve">100</w:t>
            </w:r>
          </w:p>
        </w:tc>
      </w:tr>
    </w:tbl>
    <w:p>
      <w:pPr>
        <w:pStyle w:val="BodyText"/>
        <w:spacing w:line="360" w:lineRule="auto" w:before="0" w:after="0"/>
        <w:ind w:firstLine="0"/>
        <w:jc w:val="both"/>
      </w:pPr>
      <w:r>
        <w:rPr>
          <w:iCs/>
          <w:rFonts w:ascii="Times New Roman" w:hAnsi="Times New Roman" w:cs="Times New Roman" w:eastAsia="Times New Roman"/>
          <w:i/>
          <w:sz w:val="24"/>
        </w:rPr>
        <w:t xml:space="preserve">* Yangi nizom bo‘yicha I darajali va jami kapitalning minimal darajasi nizomning rasmiy matnidan aniqlanishi kerak.</w:t>
      </w:r>
    </w:p>
    <w:p>
      <w:pPr>
        <w:pStyle w:val="BodyText"/>
        <w:spacing w:line="360" w:lineRule="auto" w:before="0" w:after="120"/>
        <w:ind w:firstLine="0"/>
        <w:jc w:val="both"/>
      </w:pPr>
      <w:r>
        <w:rPr>
          <w:iCs/>
          <w:rFonts w:ascii="Times New Roman" w:hAnsi="Times New Roman" w:cs="Times New Roman" w:eastAsia="Times New Roman"/>
          <w:i/>
          <w:sz w:val="24"/>
        </w:rPr>
        <w:t xml:space="preserve">Manba: muallif tomonidan Bazel III standartlari, 2693- va 3697-son nizomlar hamda Markaziy bankning 2025-yil uchun moliyaviy barqarorlik sharhi asosida tuzilgan.</w:t>
      </w:r>
    </w:p>
    <w:p>
      <w:pPr>
        <w:pStyle w:val="BodyText"/>
        <w:spacing w:line="360" w:lineRule="auto" w:before="0" w:after="0"/>
        <w:ind w:firstLine="709"/>
        <w:jc w:val="both"/>
      </w:pPr>
      <w:r>
        <w:rPr>
          <w:bCs/>
          <w:rFonts w:ascii="Times New Roman" w:hAnsi="Times New Roman" w:cs="Times New Roman" w:eastAsia="Times New Roman"/>
          <w:b/>
          <w:sz w:val="28"/>
        </w:rPr>
        <w:t xml:space="preserve">To‘rtinchi bosqich (2019–2024) – moslashtirish va tashqi baholash.</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Bu bosqichda kapital nizomiga bir necha marta o‘zgartirish kiritildi (2018, 2019 va 2024-yillarda), Markaziy bank Boshqaruvining 2023-yil 18-fevraldagi 4/13-son qarori bilan tizimli ahamiyatga molik banklarni aniqlash tartibi tasdiqlandi</w:t>
      </w:r>
      <w:r>
        <w:rPr>
          <w:rStyle w:val="FootnoteReference"/>
          <w:rFonts w:ascii="Times New Roman" w:hAnsi="Times New Roman" w:cs="Times New Roman" w:eastAsia="Times New Roman"/>
          <w:sz w:val="28"/>
        </w:rPr>
        <w:footnoteReference w:id="29"/>
      </w:r>
      <w:r>
        <w:rPr>
          <w:rFonts w:ascii="Times New Roman" w:hAnsi="Times New Roman" w:cs="Times New Roman" w:eastAsia="Times New Roman"/>
          <w:sz w:val="28"/>
        </w:rPr>
        <w:t xml:space="preserve">. Bosqichning eng muhim voqeasi – 2024–2025-yillarda XVJ va Jahon banki tomonidan o‘tkazilgan moliya sektorini baholash dasturi (FSAP) bo‘ldi.</w:t>
      </w:r>
    </w:p>
    <w:p>
      <w:pPr>
        <w:pStyle w:val="BodyText"/>
        <w:spacing w:line="360" w:lineRule="auto" w:before="0" w:after="0"/>
        <w:ind w:firstLine="709"/>
        <w:jc w:val="both"/>
      </w:pPr>
      <w:r>
        <w:rPr>
          <w:rFonts w:ascii="Times New Roman" w:hAnsi="Times New Roman" w:cs="Times New Roman" w:eastAsia="Times New Roman"/>
          <w:sz w:val="28"/>
        </w:rPr>
        <w:t xml:space="preserve">FSAP natijalari rasmiy va mazmuniy muvofiqlik o‘rtasida sezilarli tafovut borligini ko‘rsatdi. Bir tomondan, bank tizimining kapital monandligi 2023-yil oxirida 17,5 foizni tashkil etib, minimal talabdan ancha yuqori bo‘lgan. Boshqa tomondan, XVJ Markaziy bank Bazel III ga o‘tganini e’lon qilgan bo‘lsa-da, kapital ta’rifi va kredit riski bo‘yicha tortilgan aktivlarni hisoblash metodikasini kuchaytirish zarurligini qayd etgan. Xususan, II darajali kapitalning taxminan uchdan bir qismini tashkil etuvchi subordinar qarzlar Bazel talab qiladigan hisobdan chiqarish yoki konvertatsiya xususiyatiga ega emas; 7 ta tizimli ahamiyatli bank aniqlangan bo‘lsa-da, ularga qo‘shimcha kapital buferi qo‘llanmagan; 2-ustun metodikasi yo‘qligi sababli kapital talablari banklarning risk profiliga moslashtirilmagan</w:t>
      </w:r>
      <w:r>
        <w:rPr>
          <w:rStyle w:val="FootnoteReference"/>
          <w:rFonts w:ascii="Times New Roman" w:hAnsi="Times New Roman" w:cs="Times New Roman" w:eastAsia="Times New Roman"/>
          <w:sz w:val="28"/>
        </w:rPr>
        <w:footnoteReference w:id="30"/>
      </w:r>
      <w:r>
        <w:rPr>
          <w:rFonts w:ascii="Times New Roman" w:hAnsi="Times New Roman" w:cs="Times New Roman" w:eastAsia="Times New Roman"/>
          <w:sz w:val="28"/>
        </w:rPr>
        <w:t xml:space="preserve">. FSAP, shuningdek, aktivlar sifati to‘g‘risidagi hisobotlarning aniqligini oshirish, ayniqsa imtiyozli va yo‘naltirilgan kreditlash segmentlarida, zarurligini ta’kidlagan</w:t>
      </w:r>
      <w:r>
        <w:rPr>
          <w:rStyle w:val="FootnoteReference"/>
          <w:rFonts w:ascii="Times New Roman" w:hAnsi="Times New Roman" w:cs="Times New Roman" w:eastAsia="Times New Roman"/>
          <w:sz w:val="28"/>
        </w:rPr>
        <w:footnoteReference w:id="31"/>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Bu baho muhim xulosaga olib keladi: uchinchi bosqichda belgilangan yuqori miqdoriy talablar kapital</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sifati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 risk</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o‘lchovi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bo‘yicha kamchiliklarni to‘liq qoplay olmagan. Yuqori kapital monandligi ko‘rsatkichining bir qismi Bazel mezonlariga to‘liq javob bermaydigan instrumentlar va aktivlar sifatining past baholanishi hisobiga shakllangan bo‘lishi mumkin.</w:t>
      </w:r>
    </w:p>
    <w:p>
      <w:pPr>
        <w:pStyle w:val="BodyText"/>
        <w:spacing w:line="360" w:lineRule="auto" w:before="0" w:after="0"/>
        <w:ind w:firstLine="709"/>
        <w:jc w:val="both"/>
      </w:pPr>
      <w:r>
        <w:rPr>
          <w:bCs/>
          <w:rFonts w:ascii="Times New Roman" w:hAnsi="Times New Roman" w:cs="Times New Roman" w:eastAsia="Times New Roman"/>
          <w:b/>
          <w:sz w:val="28"/>
        </w:rPr>
        <w:t xml:space="preserve">Beshinchi bosqich (2025–2028) – to‘liq muvofiqlashtirish.</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FSAP tavsiyalari asosida 2025-yilda islohotlar yangi sifat bosqichiga o‘tdi. 2025-yil 21-apreldagi o‘zgartirish bilan muddatsiz nokumulyativ instrumentlarni qo‘shimcha I darajali kapitalga kiritish tartibi belgilandi va 2025-yil 1-iyundan talabga javob beradigan kichik biznes kreditlariga 75 foizlik risk vazni joriy etildi</w:t>
      </w:r>
      <w:r>
        <w:rPr>
          <w:rStyle w:val="FootnoteReference"/>
          <w:rFonts w:ascii="Times New Roman" w:hAnsi="Times New Roman" w:cs="Times New Roman" w:eastAsia="Times New Roman"/>
          <w:sz w:val="28"/>
        </w:rPr>
        <w:footnoteReference w:id="32"/>
      </w:r>
      <w:r>
        <w:rPr>
          <w:rFonts w:ascii="Times New Roman" w:hAnsi="Times New Roman" w:cs="Times New Roman" w:eastAsia="Times New Roman"/>
          <w:sz w:val="28"/>
        </w:rPr>
        <w:t xml:space="preserve">. Markaziy bank Boshqaruvining 2025-yil 2-oktabrdagi 21/6-son qarori bilan «Banklar kapitalining monandligiga qo‘yiladigan talablar to‘g‘risida»gi yangi nizom tasdiqlandi. Unda I darajali asosiy kapitalning monandlik koeffitsiyenti kamida 8 foiz, leverej koeffitsiyenti kamida 6 foiz etib belgilandi</w:t>
      </w:r>
      <w:r>
        <w:rPr>
          <w:rStyle w:val="FootnoteReference"/>
          <w:rFonts w:ascii="Times New Roman" w:hAnsi="Times New Roman" w:cs="Times New Roman" w:eastAsia="Times New Roman"/>
          <w:sz w:val="28"/>
        </w:rPr>
        <w:footnoteReference w:id="33"/>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Shu davrda Bazel III ning makroprudensial elementlari ham joriy etildi: kapitalni saqlash buferi 2,5 foiz, kontrsiklik bufer 1,5 foiz, tizimli ahamiyatli banklar uchun bufer 1 foiz qilib belgilandi</w:t>
      </w:r>
      <w:r>
        <w:rPr>
          <w:rStyle w:val="FootnoteReference"/>
          <w:rFonts w:ascii="Times New Roman" w:hAnsi="Times New Roman" w:cs="Times New Roman" w:eastAsia="Times New Roman"/>
          <w:sz w:val="28"/>
        </w:rPr>
        <w:footnoteReference w:id="34"/>
      </w:r>
      <w:r>
        <w:rPr>
          <w:rFonts w:ascii="Times New Roman" w:hAnsi="Times New Roman" w:cs="Times New Roman" w:eastAsia="Times New Roman"/>
          <w:sz w:val="28"/>
        </w:rPr>
        <w:t xml:space="preserve">. Kontrsiklik bufer 2026-yil 1-yanvardan kuchga kirdi; Markaziy bank uni 0–2,5 foiz oralig‘ida yiliga ikki marta qayta ko‘rib chiqadi</w:t>
      </w:r>
      <w:r>
        <w:rPr>
          <w:rStyle w:val="FootnoteReference"/>
          <w:rFonts w:ascii="Times New Roman" w:hAnsi="Times New Roman" w:cs="Times New Roman" w:eastAsia="Times New Roman"/>
          <w:sz w:val="28"/>
        </w:rPr>
        <w:footnoteReference w:id="35"/>
      </w:r>
      <w:r>
        <w:rPr>
          <w:rFonts w:ascii="Times New Roman" w:hAnsi="Times New Roman" w:cs="Times New Roman" w:eastAsia="Times New Roman"/>
          <w:sz w:val="28"/>
        </w:rPr>
        <w:t xml:space="preserve">. 2026-yil avgustida bufer 1,5 foiz darajasida saqlab qolindi, bunda mikromoliya banklari istisno qilindi</w:t>
      </w:r>
      <w:r>
        <w:rPr>
          <w:rStyle w:val="FootnoteReference"/>
          <w:rFonts w:ascii="Times New Roman" w:hAnsi="Times New Roman" w:cs="Times New Roman" w:eastAsia="Times New Roman"/>
          <w:sz w:val="28"/>
        </w:rPr>
        <w:footnoteReference w:id="36"/>
      </w:r>
      <w:r>
        <w:rPr>
          <w:rFonts w:ascii="Times New Roman" w:hAnsi="Times New Roman" w:cs="Times New Roman" w:eastAsia="Times New Roman"/>
          <w:sz w:val="28"/>
        </w:rPr>
        <w:t xml:space="preserve">. 2026-yil uchun tizimli ahamiyatga molik banklar ro‘yxatiga yetti bank – O‘zmilliybank, Agrobank, O‘zsanoatqurilishbank, Xalq banki, Ipoteka-bank, Kapitalbank va Asakabank kiritildi</w:t>
      </w:r>
      <w:r>
        <w:rPr>
          <w:rStyle w:val="FootnoteReference"/>
          <w:rFonts w:ascii="Times New Roman" w:hAnsi="Times New Roman" w:cs="Times New Roman" w:eastAsia="Times New Roman"/>
          <w:sz w:val="28"/>
        </w:rPr>
        <w:footnoteReference w:id="37"/>
      </w:r>
      <w:r>
        <w:rPr>
          <w:rFonts w:ascii="Times New Roman" w:hAnsi="Times New Roman" w:cs="Times New Roman" w:eastAsia="Times New Roman"/>
          <w:sz w:val="28"/>
        </w:rPr>
        <w:t xml:space="preserve">. Markaziy bankning 2025–2028-yillarga mo‘ljallangan «yo‘l xaritasi» Bazel III ni 2- va 3-ustunlar bilan birga to‘liq joriy etishni, aktivlarni tasniflash va zaxiralar qoidalarini Bazel standartlari va MHXS 9 ga moslashtirishni nazarda tutadi</w:t>
      </w:r>
      <w:r>
        <w:rPr>
          <w:rStyle w:val="FootnoteReference"/>
          <w:rFonts w:ascii="Times New Roman" w:hAnsi="Times New Roman" w:cs="Times New Roman" w:eastAsia="Times New Roman"/>
          <w:sz w:val="28"/>
        </w:rPr>
        <w:footnoteReference w:id="38"/>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Bank tizimining haqiqiy ko‘rsatkichlari yangi talablarga muvofiq: 2025-yil oxirida jami kapital monandligi 18,3 foiz, asosiy kapital monandligi 14,7 foiz</w:t>
      </w:r>
      <w:r>
        <w:rPr>
          <w:rStyle w:val="FootnoteReference"/>
          <w:rFonts w:ascii="Times New Roman" w:hAnsi="Times New Roman" w:cs="Times New Roman" w:eastAsia="Times New Roman"/>
          <w:sz w:val="28"/>
        </w:rPr>
        <w:footnoteReference w:id="39"/>
      </w:r>
      <w:r>
        <w:rPr>
          <w:rFonts w:ascii="Times New Roman" w:hAnsi="Times New Roman" w:cs="Times New Roman" w:eastAsia="Times New Roman"/>
          <w:sz w:val="28"/>
        </w:rPr>
        <w:t xml:space="preserve">, 2026-yil 1-iyulda esa mos ravishda 18,5 va 15 foizni, muammoli kreditlar ulushi 3,6 foizni tashkil etgan</w:t>
      </w:r>
      <w:r>
        <w:rPr>
          <w:rStyle w:val="FootnoteReference"/>
          <w:rFonts w:ascii="Times New Roman" w:hAnsi="Times New Roman" w:cs="Times New Roman" w:eastAsia="Times New Roman"/>
          <w:sz w:val="28"/>
        </w:rPr>
        <w:footnoteReference w:id="40"/>
      </w:r>
      <w:r>
        <w:rPr>
          <w:rFonts w:ascii="Times New Roman" w:hAnsi="Times New Roman" w:cs="Times New Roman" w:eastAsia="Times New Roman"/>
          <w:sz w:val="28"/>
        </w:rPr>
        <w:t xml:space="preserve">.</w:t>
      </w:r>
    </w:p>
    <w:p>
      <w:pPr>
        <w:pStyle w:val="BodyText"/>
        <w:spacing w:line="360" w:lineRule="auto" w:before="0" w:after="0"/>
        <w:ind w:firstLine="709"/>
        <w:jc w:val="both"/>
      </w:pPr>
      <w:r>
        <w:rPr>
          <w:bCs/>
          <w:rFonts w:ascii="Times New Roman" w:hAnsi="Times New Roman" w:cs="Times New Roman" w:eastAsia="Times New Roman"/>
          <w:b/>
          <w:sz w:val="28"/>
        </w:rPr>
        <w:t xml:space="preserve">Evolyutsiyaning mazmuniy qonuniyatlari.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Besh bosqichni solishtirish O‘zbekistonda Bazel talablarini joriy etishning to‘rtta asosiy yo‘nalishini ajratish imkonini beradi.</w:t>
      </w:r>
    </w:p>
    <w:p>
      <w:pPr>
        <w:pStyle w:val="BodyText"/>
        <w:spacing w:line="360" w:lineRule="auto" w:before="0" w:after="0"/>
        <w:ind w:firstLine="709"/>
        <w:jc w:val="both"/>
      </w:pPr>
      <w:r>
        <w:rPr>
          <w:iCs/>
          <w:rFonts w:ascii="Times New Roman" w:hAnsi="Times New Roman" w:cs="Times New Roman" w:eastAsia="Times New Roman"/>
          <w:i/>
          <w:sz w:val="28"/>
        </w:rPr>
        <w:t xml:space="preserve">Birinchidan, miqdordan sifatga o‘tish.</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Dastlabki bosqichlarda asosiy e’tibor jami kapital monandligi koeffitsiyentining yuqori darajasiga qaratilgan bo‘lsa, beshinchi bosqichda alohida asosiy kapital (CET1) talabi va kapital instrumentlari mezonlari birinchi o‘ringa chiqdi.</w:t>
      </w:r>
    </w:p>
    <w:p>
      <w:pPr>
        <w:pStyle w:val="BodyText"/>
        <w:spacing w:line="360" w:lineRule="auto" w:before="0" w:after="0"/>
        <w:ind w:firstLine="709"/>
        <w:jc w:val="both"/>
      </w:pPr>
      <w:r>
        <w:rPr>
          <w:iCs/>
          <w:rFonts w:ascii="Times New Roman" w:hAnsi="Times New Roman" w:cs="Times New Roman" w:eastAsia="Times New Roman"/>
          <w:i/>
          <w:sz w:val="28"/>
        </w:rPr>
        <w:t xml:space="preserve">Ikkinchidan, mikroprudensialdan makroprudensial tartibga solishga o‘tish.</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2025-yilgacha barcha talablar alohida bank darajasida belgilangan edi. Kontrsiklik bufer va tizimli ahamiyatli banklar buferining joriy etilishi bilan tartibga solish bank tizimi va moliyaviy sikl darajasini ham qamrab oldi.</w:t>
      </w:r>
    </w:p>
    <w:p>
      <w:pPr>
        <w:pStyle w:val="BodyText"/>
        <w:spacing w:line="360" w:lineRule="auto" w:before="0" w:after="0"/>
        <w:ind w:firstLine="709"/>
        <w:jc w:val="both"/>
      </w:pPr>
      <w:r>
        <w:rPr>
          <w:iCs/>
          <w:rFonts w:ascii="Times New Roman" w:hAnsi="Times New Roman" w:cs="Times New Roman" w:eastAsia="Times New Roman"/>
          <w:i/>
          <w:sz w:val="28"/>
        </w:rPr>
        <w:t xml:space="preserve">Uchinchidan, bir xil talablardan tabaqalashtirilgan yondashuvga o‘tish.</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Tizimli ahamiyatli banklarga qo‘shimcha bufer, mikromoliya banklarining kontrsiklik bufer talabidan istisno qilinishi, kichik biznes kreditlariga past risk vazni – bularning barchasi proporsionallik tamoyilining kuchayishidan dalolat beradi.</w:t>
      </w:r>
    </w:p>
    <w:p>
      <w:pPr>
        <w:pStyle w:val="BodyText"/>
        <w:spacing w:line="360" w:lineRule="auto" w:before="0" w:after="0"/>
        <w:ind w:firstLine="709"/>
        <w:jc w:val="both"/>
      </w:pPr>
      <w:r>
        <w:rPr>
          <w:iCs/>
          <w:rFonts w:ascii="Times New Roman" w:hAnsi="Times New Roman" w:cs="Times New Roman" w:eastAsia="Times New Roman"/>
          <w:i/>
          <w:sz w:val="28"/>
        </w:rPr>
        <w:t xml:space="preserve">To‘rtinchidan, rasmiy muvofiqlikdan mazmuniy muvofiqlikka o‘tish.</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FSAP aniqlagan tafovutlar islohotlarning keyingi bosqichi faqat raqamli chegaralarni emas, balki kapital ta’rifi, risk bo‘yicha tortilgan aktivlarni hisoblash, aktivlar sifatini baholash va 2-ustun (ICAAP) kabi sifat elementlarini qamrab olishi zarurligini ko‘rsatdi.</w:t>
      </w:r>
    </w:p>
    <w:p>
      <w:pPr>
        <w:pStyle w:val="BodyText"/>
        <w:spacing w:line="360" w:lineRule="auto" w:before="0" w:after="0"/>
        <w:ind w:firstLine="709"/>
        <w:jc w:val="both"/>
      </w:pPr>
      <w:r>
        <w:rPr>
          <w:rFonts w:ascii="Times New Roman" w:hAnsi="Times New Roman" w:cs="Times New Roman" w:eastAsia="Times New Roman"/>
          <w:sz w:val="28"/>
        </w:rPr>
        <w:t xml:space="preserve">Shu bilan birga, evolyutsiya yakunlanmagan. Hozircha 2-ustun metodikasining joriy etilishi, zaxiralarni MHXS 9 ga to‘liq o‘tkazish va aktivlar sifati to‘g‘risidagi hisobotlarning aniqligini oshirish masalalari ochiq qolmoqda.</w:t>
      </w:r>
    </w:p>
    <w:p>
      <w:pPr>
        <w:pStyle w:val="BodyText"/>
        <w:spacing w:line="360" w:lineRule="auto" w:before="0" w:after="0"/>
        <w:ind w:firstLine="709"/>
        <w:jc w:val="both"/>
      </w:pPr>
      <w:r>
        <w:rPr>
          <w:bCs/>
          <w:rFonts w:ascii="Times New Roman" w:hAnsi="Times New Roman" w:cs="Times New Roman" w:eastAsia="Times New Roman"/>
          <w:b/>
          <w:sz w:val="28"/>
        </w:rPr>
        <w:t xml:space="preserve">Dissertatsiya uchun xulosa.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Bu tahlil tijorat banklari moliyaviy barqarorligini baholash metodikasi uchun uchta muhim xulosa beradi. Birinchidan, integral baholashda kapital bloki ko‘rsatkichlarining mezoniy qiymatlari 2025-yilgi yangi nizom va buferlar asosida belgilanishi kerak: asosiy kapital uchun 8 foizlik minimum va buferlar hisobga olinishi lozim. Ikkinchidan, kapital monandligining yuqori darajasi o‘z-o‘zidan barqarorlik belgisi emas, shuning uchun kapital bloki aktivlar sifati bloki bilan birgalikda baholanishi kerak. Uchinchidan, MHXS ga o‘tish jarayoni davom etayotgani milliy va MHXS hisobotlari bo‘yicha baholar farqini tahlil qilishni ayniqsa dolzarb qiladi.</w:t>
      </w:r>
    </w:p>
    <w:bookmarkEnd w:id="41"/>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Karaliyev T.M., Sayfiddinov I.F. Tijorat banklari faoliyatini tartibga solish va nazorati: darslik. – T.: Iqtisod-Moliya, 2019. – B. 208.</w:t>
      </w:r>
    </w:p>
  </w:footnote>
  <w:footnote w:id="21">
    <w:p>
      <w:pPr>
        <w:pStyle w:val="FootnoteText"/>
      </w:pPr>
      <w:r>
        <w:rPr>
          <w:rStyle w:val="FootnoteReference"/>
        </w:rPr>
        <w:footnoteRef/>
      </w:r>
      <w:r>
        <w:t xml:space="preserve"> </w:t>
      </w:r>
      <w:r>
        <w:t xml:space="preserve">O‘sha joyda. – B. 177–178.</w:t>
      </w:r>
    </w:p>
  </w:footnote>
  <w:footnote w:id="22">
    <w:p>
      <w:pPr>
        <w:pStyle w:val="FootnoteText"/>
      </w:pPr>
      <w:r>
        <w:rPr>
          <w:rStyle w:val="FootnoteReference"/>
        </w:rPr>
        <w:footnoteRef/>
      </w:r>
      <w:r>
        <w:t xml:space="preserve"> </w:t>
      </w:r>
      <w:r>
        <w:t xml:space="preserve">O‘sha joyda. – B. 213.</w:t>
      </w:r>
    </w:p>
  </w:footnote>
  <w:footnote w:id="23">
    <w:p>
      <w:pPr>
        <w:pStyle w:val="FootnoteText"/>
      </w:pPr>
      <w:r>
        <w:rPr>
          <w:rStyle w:val="FootnoteReference"/>
        </w:rPr>
        <w:footnoteRef/>
      </w:r>
      <w:r>
        <w:t xml:space="preserve"> </w:t>
      </w:r>
      <w:r>
        <w:t xml:space="preserve">O‘sha joyda. – B. 177–178.</w:t>
      </w:r>
    </w:p>
  </w:footnote>
  <w:footnote w:id="24">
    <w:p>
      <w:pPr>
        <w:pStyle w:val="FootnoteText"/>
      </w:pPr>
      <w:r>
        <w:rPr>
          <w:rStyle w:val="FootnoteReference"/>
        </w:rPr>
        <w:footnoteRef/>
      </w:r>
      <w:r>
        <w:t xml:space="preserve"> </w:t>
      </w:r>
      <w:r>
        <w:t xml:space="preserve">O‘sha joyda. – B. 178.</w:t>
      </w:r>
    </w:p>
  </w:footnote>
  <w:footnote w:id="25">
    <w:p>
      <w:pPr>
        <w:pStyle w:val="FootnoteText"/>
      </w:pPr>
      <w:r>
        <w:rPr>
          <w:rStyle w:val="FootnoteReference"/>
        </w:rPr>
        <w:footnoteRef/>
      </w:r>
      <w:r>
        <w:t xml:space="preserve"> </w:t>
      </w:r>
      <w:r>
        <w:t xml:space="preserve">O‘sha joyda. – B. 3–4.</w:t>
      </w:r>
    </w:p>
  </w:footnote>
  <w:footnote w:id="26">
    <w:p>
      <w:pPr>
        <w:pStyle w:val="FootnoteText"/>
      </w:pPr>
      <w:r>
        <w:rPr>
          <w:rStyle w:val="FootnoteReference"/>
        </w:rPr>
        <w:footnoteRef/>
      </w:r>
      <w:r>
        <w:t xml:space="preserve"> </w:t>
      </w:r>
      <w:r>
        <w:t xml:space="preserve">Uzbekistan stage-by-stage introduces Basel III // UzDaily.uz. – 2015. – https://www.uzdaily.uz/en/uzbekistan-stage-by-stage-introduces-basel-iii/</w:t>
      </w:r>
    </w:p>
  </w:footnote>
  <w:footnote w:id="27">
    <w:p>
      <w:pPr>
        <w:pStyle w:val="FootnoteText"/>
      </w:pPr>
      <w:r>
        <w:rPr>
          <w:rStyle w:val="FootnoteReference"/>
        </w:rPr>
        <w:footnoteRef/>
      </w:r>
      <w:r>
        <w:t xml:space="preserve"> </w:t>
      </w:r>
      <w:r>
        <w:t xml:space="preserve">Tijorat banklari kapitalining monandligiga qo‘yiladigan talablar to‘g‘risidagi nizom (O‘zbekiston Respublikasi Markaziy banki Boshqaruvining 13.06.2015 dagi 14/3-son qarori, ro‘yxat raqami 2693, 06.07.2015) // https://lex.uz/docs/-2699536; IMF. Republic of Uzbekistan: Financial Sector Assessment Program – Detailed Assessment of Observance – Basel Core Principles for Effective Banking Supervision. – IMF Country Report No. 25/227. – Washington, DC, 2025.</w:t>
      </w:r>
    </w:p>
  </w:footnote>
  <w:footnote w:id="28">
    <w:p>
      <w:pPr>
        <w:pStyle w:val="FootnoteText"/>
      </w:pPr>
      <w:r>
        <w:rPr>
          <w:rStyle w:val="FootnoteReference"/>
        </w:rPr>
        <w:footnoteRef/>
      </w:r>
      <w:r>
        <w:t xml:space="preserve"> </w:t>
      </w:r>
      <w:r>
        <w:t xml:space="preserve">Karaliyev T.M., Sayfiddinov I.F. Ko‘rsatilgan asar. – B. 185–186.</w:t>
      </w:r>
    </w:p>
  </w:footnote>
  <w:footnote w:id="29">
    <w:p>
      <w:pPr>
        <w:pStyle w:val="FootnoteText"/>
      </w:pPr>
      <w:r>
        <w:rPr>
          <w:rStyle w:val="FootnoteReference"/>
        </w:rPr>
        <w:footnoteRef/>
      </w:r>
      <w:r>
        <w:t xml:space="preserve"> </w:t>
      </w:r>
      <w:r>
        <w:t xml:space="preserve">2026-yil uchun mahalliy tizimli ahamiyatga molik banklar belgilandi // O‘zbekiston Respublikasi Markaziy banki. – https://cbu.uz/uz/financial-stability/press-releases/2982189/</w:t>
      </w:r>
    </w:p>
  </w:footnote>
  <w:footnote w:id="30">
    <w:p>
      <w:pPr>
        <w:pStyle w:val="FootnoteText"/>
      </w:pPr>
      <w:r>
        <w:rPr>
          <w:rStyle w:val="FootnoteReference"/>
        </w:rPr>
        <w:footnoteRef/>
      </w:r>
      <w:r>
        <w:t xml:space="preserve"> </w:t>
      </w:r>
      <w:r>
        <w:t xml:space="preserve">IMF. Republic of Uzbekistan: FSAP – Detailed Assessment of Observance – Basel Core Principles… – IMF Country Report No. 25/227, 2025.</w:t>
      </w:r>
    </w:p>
  </w:footnote>
  <w:footnote w:id="31">
    <w:p>
      <w:pPr>
        <w:pStyle w:val="FootnoteText"/>
      </w:pPr>
      <w:r>
        <w:rPr>
          <w:rStyle w:val="FootnoteReference"/>
        </w:rPr>
        <w:footnoteRef/>
      </w:r>
      <w:r>
        <w:t xml:space="preserve"> </w:t>
      </w:r>
      <w:r>
        <w:t xml:space="preserve">IMF. Republic of Uzbekistan: Financial Sector Assessment Program – Financial System Stability Assessment. – IMF Country Report No. 25/145. – Washington, DC, 2025.</w:t>
      </w:r>
    </w:p>
  </w:footnote>
  <w:footnote w:id="32">
    <w:p>
      <w:pPr>
        <w:pStyle w:val="FootnoteText"/>
      </w:pPr>
      <w:r>
        <w:rPr>
          <w:rStyle w:val="FootnoteReference"/>
        </w:rPr>
        <w:footnoteRef/>
      </w:r>
      <w:r>
        <w:t xml:space="preserve"> </w:t>
      </w:r>
      <w:r>
        <w:t xml:space="preserve">Tijorat banklari kapitalining monandligiga qo‘yiladigan talablar to‘g‘risidagi nizomga o‘zgartirish va qo‘shimchalar kiritish haqida (ro‘yxat raqami 2693-13, 21.04.2025) // https://lex.uz/uz/docs/-7486451</w:t>
      </w:r>
    </w:p>
  </w:footnote>
  <w:footnote w:id="33">
    <w:p>
      <w:pPr>
        <w:pStyle w:val="FootnoteText"/>
      </w:pPr>
      <w:r>
        <w:rPr>
          <w:rStyle w:val="FootnoteReference"/>
        </w:rPr>
        <w:footnoteRef/>
      </w:r>
      <w:r>
        <w:t xml:space="preserve"> </w:t>
      </w:r>
      <w:r>
        <w:t xml:space="preserve">Banklar kapitalining monandligiga qo‘yiladigan talablar to‘g‘risidagi nizom (O‘zbekiston Respublikasi Markaziy banki Boshqaruvining 02.10.2025 dagi 21/6-son qarori, ro‘yxat raqami 3697, 28.10.2025) // lex.uz.</w:t>
      </w:r>
    </w:p>
  </w:footnote>
  <w:footnote w:id="34">
    <w:p>
      <w:pPr>
        <w:pStyle w:val="FootnoteText"/>
      </w:pPr>
      <w:r>
        <w:rPr>
          <w:rStyle w:val="FootnoteReference"/>
        </w:rPr>
        <w:footnoteRef/>
      </w:r>
      <w:r>
        <w:t xml:space="preserve"> </w:t>
      </w:r>
      <w:r>
        <w:t xml:space="preserve">The Central Bank of Uzbekistan. Financial Stability Report for 2025. – Tashkent, 2026. – https://cbu.uz/upload/medialibrary/f5f/iqjyfmdh69h9yaojzm1dd16q7dyxeh0q/Financial-Stability-Report-for-2025.pdf</w:t>
      </w:r>
    </w:p>
  </w:footnote>
  <w:footnote w:id="35">
    <w:p>
      <w:pPr>
        <w:pStyle w:val="FootnoteText"/>
      </w:pPr>
      <w:r>
        <w:rPr>
          <w:rStyle w:val="FootnoteReference"/>
        </w:rPr>
        <w:footnoteRef/>
      </w:r>
      <w:r>
        <w:t xml:space="preserve"> </w:t>
      </w:r>
      <w:r>
        <w:t xml:space="preserve">The countercyclical capital buffer (CCyB) rate has been set for banks // The Central Bank of the Republic of Uzbekistan. – https://cbu.uz/en/financial-stability/press-releases/3218786/</w:t>
      </w:r>
    </w:p>
  </w:footnote>
  <w:footnote w:id="36">
    <w:p>
      <w:pPr>
        <w:pStyle w:val="FootnoteText"/>
      </w:pPr>
      <w:r>
        <w:rPr>
          <w:rStyle w:val="FootnoteReference"/>
        </w:rPr>
        <w:footnoteRef/>
      </w:r>
      <w:r>
        <w:t xml:space="preserve"> </w:t>
      </w:r>
      <w:r>
        <w:t xml:space="preserve">Countercyclical capital buffer // The Central Bank of the Republic of Uzbekistan. – https://cbu.uz/en/financial-stability/macroprudential-policy-tools/countercyclical-capital-buffer/</w:t>
      </w:r>
    </w:p>
  </w:footnote>
  <w:footnote w:id="37">
    <w:p>
      <w:pPr>
        <w:pStyle w:val="FootnoteText"/>
      </w:pPr>
      <w:r>
        <w:rPr>
          <w:rStyle w:val="FootnoteReference"/>
        </w:rPr>
        <w:footnoteRef/>
      </w:r>
      <w:r>
        <w:t xml:space="preserve"> </w:t>
      </w:r>
      <w:r>
        <w:t xml:space="preserve">2026-yil uchun mahalliy tizimli ahamiyatga molik banklar belgilandi // O‘zbekiston Respublikasi Markaziy banki.</w:t>
      </w:r>
    </w:p>
  </w:footnote>
  <w:footnote w:id="38">
    <w:p>
      <w:pPr>
        <w:pStyle w:val="FootnoteText"/>
      </w:pPr>
      <w:r>
        <w:rPr>
          <w:rStyle w:val="FootnoteReference"/>
        </w:rPr>
        <w:footnoteRef/>
      </w:r>
      <w:r>
        <w:t xml:space="preserve"> </w:t>
      </w:r>
      <w:r>
        <w:t xml:space="preserve">The Central Bank of Uzbekistan. FSAP Roadmap. – 17.11.2025. – https://cbu.uz/upload/medialibrary/5d0/g24jiu5hub25yew2aiihdzwc964sjz1q/FSAP-Roadmap_Eng-17.11.2025_.pdf</w:t>
      </w:r>
    </w:p>
  </w:footnote>
  <w:footnote w:id="39">
    <w:p>
      <w:pPr>
        <w:pStyle w:val="FootnoteText"/>
      </w:pPr>
      <w:r>
        <w:rPr>
          <w:rStyle w:val="FootnoteReference"/>
        </w:rPr>
        <w:footnoteRef/>
      </w:r>
      <w:r>
        <w:t xml:space="preserve"> </w:t>
      </w:r>
      <w:r>
        <w:t xml:space="preserve">The Central Bank of Uzbekistan. Financial Stability Report for 2025.</w:t>
      </w:r>
    </w:p>
  </w:footnote>
  <w:footnote w:id="40">
    <w:p>
      <w:pPr>
        <w:pStyle w:val="FootnoteText"/>
      </w:pPr>
      <w:r>
        <w:rPr>
          <w:rStyle w:val="FootnoteReference"/>
        </w:rPr>
        <w:footnoteRef/>
      </w:r>
      <w:r>
        <w:t xml:space="preserve"> </w:t>
      </w:r>
      <w:r>
        <w:t xml:space="preserve">Countercyclical capital buffer // The Central Bank of the Republic of Uzbekistan.</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2026-10-09T19:26:08Z</dcterms:created>
  <dcterms:modified xsi:type="dcterms:W3CDTF">2026-10-09T19:26:08Z</dcterms:modified>
</cp:coreProperties>
</file>

<file path=docProps/custom.xml><?xml version="1.0" encoding="utf-8"?>
<Properties xmlns="http://schemas.openxmlformats.org/officeDocument/2006/custom-properties" xmlns:vt="http://schemas.openxmlformats.org/officeDocument/2006/docPropsVTypes"/>
</file>