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116</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159</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172</w:t>
      </w:r>
    </w:p>
    <w:p w:rsidR="005603EC" w:rsidRDefault="00AB61AC">
      <w:pPr>
        <w:tabs>
          <w:tab w:val="right" w:leader="dot" w:pos="9354"/>
        </w:tabs>
        <w:spacing w:after="80" w:line="240" w:lineRule="auto"/>
        <w:ind w:left="454"/>
      </w:pPr>
      <w:r>
        <w:rPr>
          <w:sz w:val="26"/>
        </w:rPr>
        <w:t>III bob bo‘yicha xulosalar</w:t>
      </w:r>
      <w:r>
        <w:rPr>
          <w:sz w:val="26"/>
        </w:rPr>
        <w:tab/>
        <w:t>190</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234</w:t>
      </w:r>
    </w:p>
    <w:p w:rsidR="005603EC" w:rsidRDefault="00AB61AC">
      <w:pPr>
        <w:tabs>
          <w:tab w:val="right" w:leader="dot" w:pos="9354"/>
        </w:tabs>
        <w:spacing w:after="80" w:line="240" w:lineRule="auto"/>
      </w:pPr>
      <w:r>
        <w:rPr>
          <w:b/>
          <w:sz w:val="26"/>
        </w:rPr>
        <w:t>XULOSA</w:t>
      </w:r>
      <w:r>
        <w:rPr>
          <w:b/>
          <w:sz w:val="26"/>
        </w:rPr>
        <w:tab/>
        <w:t>237</w:t>
      </w:r>
    </w:p>
    <w:p w:rsidR="005603EC" w:rsidRDefault="00AB61AC">
      <w:pPr>
        <w:tabs>
          <w:tab w:val="right" w:leader="dot" w:pos="9354"/>
        </w:tabs>
        <w:spacing w:after="80" w:line="240" w:lineRule="auto"/>
      </w:pPr>
      <w:r>
        <w:rPr>
          <w:b/>
          <w:sz w:val="26"/>
        </w:rPr>
        <w:t>FOYDALANILGAN ADABIYOTLAR RO‘YXATI</w:t>
      </w:r>
      <w:r>
        <w:rPr>
          <w:b/>
          <w:sz w:val="26"/>
        </w:rPr>
        <w:tab/>
        <w:t>242</w:t>
      </w:r>
    </w:p>
    <w:p w:rsidR="005603EC" w:rsidRDefault="00AB61AC">
      <w:pPr>
        <w:tabs>
          <w:tab w:val="right" w:leader="dot" w:pos="9354"/>
        </w:tabs>
        <w:spacing w:after="80" w:line="240" w:lineRule="auto"/>
      </w:pPr>
      <w:r>
        <w:rPr>
          <w:b/>
          <w:sz w:val="26"/>
        </w:rPr>
        <w:t>ILOVALAR</w:t>
      </w:r>
      <w:r>
        <w:rPr>
          <w:b/>
          <w:sz w:val="26"/>
        </w:rPr>
        <w:tab/>
        <w:t>262</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0"/>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1"/>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2"/>
      </w:r>
      <w:r>
        <w:t>. Rossiyadagi reyting metodikalarini tahlil qilgan mualliflar ham vaznlar ko‘pincha asoslanmagan ekspert yo‘li bilan belgilanishini qayd etgan</w:t>
      </w:r>
      <w:r>
        <w:rPr>
          <w:rStyle w:val="aff8"/>
        </w:rPr>
        <w:footnoteReference w:id="403"/>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5"/>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6"/>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8"/>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rPr>
        <w:t xml:space="preserve"> Yuqori likvid aktivlar MHXS hisobotlarida alohida oshkor qilinmagani sababli L1 ko‘rsatkichi ikkala variantda milliy balans asosida olindi, shu sababli likvidlik </w:t>
      </w:r>
      <w:r>
        <w:rPr>
          <w:i/>
          <w:iCs/>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t>indeksi 2,81 ni</w:t>
      </w:r>
      <w:r>
        <w:t xml:space="preserve">, ya’ni II sinfni, “Mikrokreditbank” ATB niki esa 2,47 ni, ya’ni III sinfni tashkil etadi. Boshqacha aytganda, ΔMBII “O‘zsanoatqurilishbank” ATB </w:t>
      </w:r>
      <w:r>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0"/>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1"/>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3"/>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4"/>
      </w:r>
      <w:r>
        <w:t>. Moliyaviy stress indekslarini qurishda ham M. Illing va Y. Liu turli vaznlash usullarini solishtirib, eng yaxshi usulni indeksning haqiqiy stress davrlarini aniqlash qobiliyati bo‘yicha tanlagan</w:t>
      </w:r>
      <w:r>
        <w:rPr>
          <w:rStyle w:val="aff8"/>
        </w:rPr>
        <w:footnoteReference w:id="415"/>
      </w:r>
      <w:r>
        <w:t>. A.M. Karminskiy esa reyting modellarida vaznlar ekspert yo‘li bilan belgilansa ham, ular albatta statistik tekshiruvdan o‘tkazilishi lozimligini ta’kidlaydi</w:t>
      </w:r>
      <w:r>
        <w:rPr>
          <w:rStyle w:val="aff8"/>
        </w:rPr>
        <w:footnoteReference w:id="416"/>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8"/>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9"/>
      </w:r>
      <w:r>
        <w:rPr>
          <w:rStyle w:val="aff8"/>
        </w:rPr>
        <w:footnoteReference w:id="420"/>
      </w:r>
      <w:r>
        <w:rPr>
          <w:rStyle w:val="aff8"/>
        </w:rPr>
        <w:footnoteReference w:id="421"/>
      </w:r>
      <w:r>
        <w:rPr>
          <w:rStyle w:val="aff8"/>
        </w:rPr>
        <w:footnoteReference w:id="422"/>
      </w:r>
      <w:r>
        <w:rPr>
          <w:rStyle w:val="aff8"/>
        </w:rPr>
        <w:footnoteReference w:id="423"/>
      </w:r>
      <w:r>
        <w:t>. Yuqori likvid aktivlar ulushi esa “SNS” reyting agentligi bazasidan olindi</w:t>
      </w:r>
      <w:r>
        <w:rPr>
          <w:rStyle w:val="aff8"/>
        </w:rPr>
        <w:footnoteReference w:id="424"/>
      </w:r>
      <w:r>
        <w:t>. Logit usuli uchun 3.3-paragrafda shakllantirilgan 25 ta bank paneli qo‘llandi</w:t>
      </w:r>
      <w:r>
        <w:rPr>
          <w:rStyle w:val="aff8"/>
        </w:rPr>
        <w:footnoteReference w:id="425"/>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7"/>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8"/>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0"/>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1"/>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t>91,7 foizga</w:t>
      </w:r>
      <w:r>
        <w:t xml:space="preserve"> yetadi. Banklar tartibining ekspert vaznlaridagi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3"/>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4"/>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5"/>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ekspert vazni barcha empirik baholar oralig‘ida (0,27–0,57) joylashadi va tarqoqlik usullarining o‘rtachasiga (0,31) deyarli teng, bashorat kuchiga asoslangan logit </w:t>
      </w:r>
      <w:r>
        <w:rPr/>
        <w:lastRenderedPageBreak/>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6"/>
      </w:r>
      <w:r>
        <w:t>, L. Laeven va R. Levine esa bankning to‘lovga qobiliyatsizlik riskini Z-score ko‘rsatkichi orqali o‘lchab, uning mulkchilik tuzilmasi va tartibga solish bilan bog‘liqligini aniqlagan</w:t>
      </w:r>
      <w:r>
        <w:rPr>
          <w:rStyle w:val="aff8"/>
        </w:rPr>
        <w:footnoteReference w:id="437"/>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8"/>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0"/>
      </w:r>
      <w:r>
        <w:rPr>
          <w:rStyle w:val="aff8"/>
        </w:rPr>
        <w:footnoteReference w:id="441"/>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2"/>
      </w:r>
      <w:r>
        <w:t>. Uchinchi gipoteza A. Demirgüç-Kunt va H. Huizinga xulosasiga tayanadi: depozit bo‘lmagan, ya’ni ulgurji moliyalashtirishga ko‘proq tayanadigan banklar riskliroq bo‘ladi</w:t>
      </w:r>
      <w:r>
        <w:rPr>
          <w:rStyle w:val="aff8"/>
        </w:rPr>
        <w:footnoteReference w:id="443"/>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4"/>
      </w:r>
      <w:r>
        <w:rPr>
          <w:rStyle w:val="aff8"/>
        </w:rPr>
        <w:footnoteReference w:id="445"/>
      </w:r>
      <w:r>
        <w:rPr>
          <w:rStyle w:val="aff8"/>
        </w:rPr>
        <w:footnoteReference w:id="446"/>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7"/>
      </w:r>
      <w:r>
        <w:t>, yuqori likvid aktivlar, kredit zaxiralari, foizli daromad va xarajatlar, operatsion xarajatlar va sof foyda “SNS” reyting agentligining banklar ko‘rsatkichlari bazasidan</w:t>
      </w:r>
      <w:r>
        <w:rPr>
          <w:rStyle w:val="aff8"/>
        </w:rPr>
        <w:footnoteReference w:id="448"/>
      </w:r>
      <w:r>
        <w:t>, makroiqtisodiy ko‘rsatkichlar esa Markaziy bankning statistik byulletenidan olindi</w:t>
      </w:r>
      <w:r>
        <w:rPr>
          <w:rStyle w:val="aff8"/>
        </w:rPr>
        <w:footnoteReference w:id="449"/>
      </w:r>
      <w:r>
        <w:t>. Ikki bank manbasi bank nomlari bo‘yicha birlashtirildi, ma’lum xato qiymatlar tahlildan chiqarildi</w:t>
      </w:r>
      <w:r>
        <w:rPr>
          <w:rStyle w:val="aff8"/>
        </w:rPr>
        <w:footnoteReference w:id="450"/>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1"/>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2"/>
      </w:r>
      <w:r>
        <w:rPr>
          <w:rStyle w:val="aff8"/>
        </w:rPr>
        <w:footnoteReference w:id="453"/>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4"/>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6"/>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7"/>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8"/>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9"/>
      </w:r>
      <w:r>
        <w:rPr>
          <w:rStyle w:val="aff8"/>
        </w:rPr>
        <w:footnoteReference w:id="460"/>
      </w:r>
      <w:r>
        <w:t>. Usullar o‘rtasida tanlov Breusch–Pagan va Hausman testlari asosida amalga oshirildi</w:t>
      </w:r>
      <w:r>
        <w:rPr>
          <w:rStyle w:val="aff8"/>
        </w:rPr>
        <w:footnoteReference w:id="461"/>
      </w:r>
      <w:r>
        <w:rPr>
          <w:rStyle w:val="aff8"/>
        </w:rPr>
        <w:footnoteReference w:id="462"/>
      </w:r>
      <w:r>
        <w:t>. Standart xatolar heteroskedastiklik va avtokorrelyatsiyani hisobga olish uchun bank bo‘yicha klasterlangan. Indeksning inersiyasini hisobga oluvchi dinamik model esa qisqa panellardagi siljishni</w:t>
      </w:r>
      <w:r>
        <w:rPr>
          <w:rStyle w:val="aff8"/>
        </w:rPr>
        <w:footnoteReference w:id="463"/>
      </w:r>
      <w:r>
        <w:t xml:space="preserve"> bartaraf etish maqsadida </w:t>
      </w:r>
      <w:r>
        <w:lastRenderedPageBreak/>
        <w:t>T. Anderson va C. Hsiao usuli bo‘yicha birinchi farqlarda, indeksning ikki chorak oldingi qiymatini instrument sifatida qo‘llab baholandi</w:t>
      </w:r>
      <w:r>
        <w:rPr>
          <w:rStyle w:val="aff8"/>
        </w:rPr>
        <w:footnoteReference w:id="464"/>
      </w:r>
      <w:r>
        <w:rPr>
          <w:rStyle w:val="aff8"/>
        </w:rPr>
        <w:footnoteReference w:id="465"/>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7"/>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8"/>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9"/>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2"/>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4"/>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5"/>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6"/>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 tashkil etadi. </w:t>
      </w:r>
      <w:r>
        <w:rPr/>
        <w:t>ΔMBII −0,46 va −0,66</w:t>
      </w:r>
      <w:r>
        <w:t xml:space="preserve"> ballga teng bo‘lib, </w:t>
      </w:r>
      <w:r>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t>korrelyatsiya 0,95–0,98 ni</w:t>
      </w:r>
      <w:r>
        <w:t xml:space="preserve"> tashkil etdi, Monte-Karlo tahlilida esa vaznlar </w:t>
      </w:r>
      <w:r>
        <w:lastRenderedPageBreak/>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8"/>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9"/>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1"/>
      </w:r>
      <w:r>
        <w:rPr>
          <w:rStyle w:val="aff8"/>
        </w:rPr>
        <w:footnoteReference w:id="482"/>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3"/>
      </w:r>
      <w:r>
        <w:t>. E. Davis va D. Karim bu ikki yondashuvni solishtirib, logit modellar ko‘p mamlakatli global tizimlar uchun, signallar usuli esa alohida mamlakat uchun qurilgan tizimlarda maqbulroq ekanini ko‘rsatgan</w:t>
      </w:r>
      <w:r>
        <w:rPr>
          <w:rStyle w:val="aff8"/>
        </w:rPr>
        <w:footnoteReference w:id="484"/>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5"/>
      </w:r>
      <w:r>
        <w:t>. Yevropa banklari misolida F. Betz va hammualliflar bank darajasidagi ko‘rsatkichlarni makroiqtisodiy ko‘rsatkichlar bilan birlashtirish bashorat aniqligini oshirishini aniqlagan</w:t>
      </w:r>
      <w:r>
        <w:rPr>
          <w:rStyle w:val="aff8"/>
        </w:rPr>
        <w:footnoteReference w:id="486"/>
      </w:r>
      <w:r>
        <w:t>, L. Chiaramonte va F. Poli esa Z-score muammoga uchragan banklarning 75 foizini to‘g‘ri aniqlashini ko‘rsatgan</w:t>
      </w:r>
      <w:r>
        <w:rPr>
          <w:rStyle w:val="aff8"/>
        </w:rPr>
        <w:footnoteReference w:id="487"/>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8"/>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9"/>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0"/>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2"/>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3"/>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4"/>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5"/>
      </w:r>
      <w:r>
        <w:rPr>
          <w:rStyle w:val="aff8"/>
        </w:rPr>
        <w:footnoteReference w:id="496"/>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8"/>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9"/>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1"/>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2"/>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3"/>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6"/>
      </w:r>
      <w:r>
        <w:t>. M. Sorge va K. Virolainen esa makro stress-testlarda kredit riskining makroiqtisodiy omillarga sezgirligini baholovchi “satellit” modellardan foydalanishni asosiy yondashuv sifatida ko‘rsatadi</w:t>
      </w:r>
      <w:r>
        <w:rPr>
          <w:rStyle w:val="aff8"/>
        </w:rPr>
        <w:footnoteReference w:id="507"/>
      </w:r>
      <w:r>
        <w:t>. Bazel qo‘mitasining stress-test tamoyillari ham ssenariylar haqiqiy tarixiy shoklarga asoslanishi va model natijalari muntazam tekshirilishi lozimligini talab qiladi</w:t>
      </w:r>
      <w:r>
        <w:rPr>
          <w:rStyle w:val="aff8"/>
        </w:rPr>
        <w:footnoteReference w:id="508"/>
      </w:r>
      <w:r>
        <w:t>. O‘zbekistonda esa bu yo‘nalishdagi ilmiy ishlar alohida ko‘rsatkichlarni prognoz qilish bilan cheklangan: B.T. Berdiyarov likvidlik ko‘rsatkichini ARIMA modeli yordamida prognoz qilgan</w:t>
      </w:r>
      <w:r>
        <w:rPr>
          <w:rStyle w:val="aff8"/>
        </w:rPr>
        <w:footnoteReference w:id="509"/>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1"/>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3"/>
      </w:r>
      <w:r>
        <w:rPr>
          <w:rStyle w:val="aff8"/>
        </w:rPr>
        <w:footnoteReference w:id="514"/>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6"/>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7"/>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9"/>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2"/>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3"/>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4"/>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5"/>
      </w:r>
      <w:r>
        <w:t>. Hatto asosiy ssenariyda ham to‘qqizta davlat bankidan beshtasi, jumladan ikkita tizimli ahamiyatga molik bank minimal talabdan pastga tushadi</w:t>
      </w:r>
      <w:r>
        <w:rPr>
          <w:rStyle w:val="aff8"/>
        </w:rPr>
        <w:footnoteReference w:id="526"/>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7"/>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8"/>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0"/>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1"/>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2"/>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3"/>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4"/>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5"/>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7"/>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8"/>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9"/>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0"/>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1"/>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3"/>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4"/>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“Mikrokreditbank” ATB da −0,66 ballni tashkil etib, </w:t>
      </w:r>
      <w:r>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 Izoh: ustunlar ustida – 3-bosqich kreditlarining jami summasi, mlrd so‘m.</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t xml:space="preserve"> Tadqiqot natijasida muallif tomonidan 3.1.2-jadval asosida ishlab chiqildi.</w:t>
      </w:r>
    </w:p>
  </w:footnote>
  <w:footnote w:id="40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4">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5">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6">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7">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8">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9">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0">
    <w:p w:rsidR="00AB61AC" w:rsidRDefault="00AB61AC">
      <w:pPr>
        <w:pStyle w:val="aff9"/>
      </w:pPr>
      <w:r>
        <w:rPr>
          <w:rStyle w:val="aff8"/>
        </w:rPr>
        <w:footnoteRef/>
      </w:r>
      <w:r>
        <w:t xml:space="preserve"> Tadqiqot natijasida muallif tomonidan 3.1.5-jadval ma’lumotlari asosida ishlab chiqildi.</w:t>
      </w:r>
    </w:p>
  </w:footnote>
  <w:footnote w:id="411">
    <w:p w:rsidR="00AB61AC" w:rsidRDefault="00AB61AC">
      <w:pPr>
        <w:pStyle w:val="aff9"/>
      </w:pPr>
      <w:r>
        <w:rPr>
          <w:rStyle w:val="aff8"/>
        </w:rPr>
        <w:footnoteRef/>
      </w:r>
      <w:r>
        <w:t xml:space="preserve"> Tadqiqot natijasida muallif tomonidan 3.1.3 va 3.1.5-jadvallar ma’lumotlari asosida hisoblandi.</w:t>
      </w:r>
    </w:p>
  </w:footnote>
  <w:footnote w:id="412">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3">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5">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6">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7">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1">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2">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3">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4">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5">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3.2.2-jadval ma’lumotlari asosida ishlab chiqildi.</w:t>
      </w:r>
    </w:p>
  </w:footnote>
  <w:footnote w:id="42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9">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0">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1">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4">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5">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6">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7">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8">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9">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1">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3">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6">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9">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1">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2">
    <w:p w:rsidR="00AB61AC" w:rsidRDefault="00AB61AC">
      <w:pPr>
        <w:pStyle w:val="aff9"/>
      </w:pPr>
      <w:r>
        <w:rPr>
          <w:rStyle w:val="aff8"/>
        </w:rPr>
        <w:footnoteRef/>
      </w:r>
      <w:r>
        <w:t xml:space="preserve"> Roy A.D. Safety First and the Holding of Assets // Econometrica. – 1952. – Vol. 20, No. 3. – P. 431–449.</w:t>
      </w:r>
    </w:p>
  </w:footnote>
  <w:footnote w:id="453">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4">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5">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6">
    <w:p w:rsidR="00AB61AC" w:rsidRDefault="00AB61AC">
      <w:pPr>
        <w:pStyle w:val="aff9"/>
      </w:pPr>
      <w:r>
        <w:rPr>
          <w:rStyle w:val="aff8"/>
        </w:rPr>
        <w:footnoteRef/>
      </w:r>
      <w:r>
        <w:t xml:space="preserve"> Tadqiqot natijasida muallif tomonidan 3.3.2-jadvalda ko‘rsatilgan manbalar ma’lumotlari asosida hisoblandi.</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Baltagi B.H. Econometric Analysis of Panel Data. – 6th ed. – Cham: Springer, 2021.</w:t>
      </w:r>
    </w:p>
  </w:footnote>
  <w:footnote w:id="460">
    <w:p w:rsidR="00AB61AC" w:rsidRDefault="00AB61AC">
      <w:pPr>
        <w:pStyle w:val="aff9"/>
      </w:pPr>
      <w:r>
        <w:rPr>
          <w:rStyle w:val="aff8"/>
        </w:rPr>
        <w:footnoteRef/>
      </w:r>
      <w:r>
        <w:t xml:space="preserve"> Wooldridge J.M. Econometric Analysis of Cross Section and Panel Data. – 2nd ed. – Cambridge, MA: MIT Press, 2010.</w:t>
      </w:r>
    </w:p>
  </w:footnote>
  <w:footnote w:id="461">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2">
    <w:p w:rsidR="00AB61AC" w:rsidRDefault="00AB61AC">
      <w:pPr>
        <w:pStyle w:val="aff9"/>
      </w:pPr>
      <w:r>
        <w:rPr>
          <w:rStyle w:val="aff8"/>
        </w:rPr>
        <w:footnoteRef/>
      </w:r>
      <w:r>
        <w:t xml:space="preserve"> Hausman J.A. Specification Tests in Econometrics // Econometrica. – 1978. – Vol. 46, No. 6. – P. 1251–1271.</w:t>
      </w:r>
    </w:p>
  </w:footnote>
  <w:footnote w:id="463">
    <w:p w:rsidR="00AB61AC" w:rsidRDefault="00AB61AC">
      <w:pPr>
        <w:pStyle w:val="aff9"/>
      </w:pPr>
      <w:r>
        <w:rPr>
          <w:rStyle w:val="aff8"/>
        </w:rPr>
        <w:footnoteRef/>
      </w:r>
      <w:r>
        <w:t xml:space="preserve"> Nickell S. Biases in Dynamic Models with Fixed Effects // Econometrica. – 1981. – Vol. 49, No. 6. – P. 1417–1426.</w:t>
      </w:r>
    </w:p>
  </w:footnote>
  <w:footnote w:id="464">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5">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6">
    <w:p w:rsidR="00AB61AC" w:rsidRDefault="00AB61AC">
      <w:pPr>
        <w:pStyle w:val="aff9"/>
      </w:pPr>
      <w:r>
        <w:rPr>
          <w:rStyle w:val="aff8"/>
        </w:rPr>
        <w:footnoteRef/>
      </w:r>
      <w:r>
        <w:t xml:space="preserve"> Tadqiqot natijasida muallif tomonidan 3.3.2-jadvalda ko‘rsatilgan manbalar ma’lumotlari asosida hisoblandi.</w:t>
      </w:r>
    </w:p>
  </w:footnote>
  <w:footnote w:id="46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8">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9">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0">
    <w:p w:rsidR="00AB61AC" w:rsidRDefault="00AB61AC">
      <w:pPr>
        <w:pStyle w:val="aff9"/>
      </w:pPr>
      <w:r>
        <w:rPr>
          <w:rStyle w:val="aff8"/>
        </w:rPr>
        <w:footnoteRef/>
      </w:r>
      <w:r>
        <w:t xml:space="preserve"> Tadqiqot natijasida muallif tomonidan 3.3.2-jadvalda ko‘rsatilgan manbalar ma’lumotlari asosida hisoblandi.</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3">
    <w:p w:rsidR="00AB61AC" w:rsidRDefault="00AB61AC">
      <w:pPr>
        <w:pStyle w:val="aff9"/>
      </w:pPr>
      <w:r>
        <w:rPr>
          <w:rStyle w:val="aff8"/>
        </w:rPr>
        <w:footnoteRef/>
      </w:r>
      <w:r>
        <w:t xml:space="preserve"> Tadqiqot natijasida muallif tomonidan 3.3.2-jadvalda ko‘rsatilgan manbalar ma’lumotlari asosida hisoblandi.</w:t>
      </w:r>
    </w:p>
  </w:footnote>
  <w:footnote w:id="474">
    <w:p w:rsidR="00AB61AC" w:rsidRDefault="00AB61AC">
      <w:pPr>
        <w:pStyle w:val="aff9"/>
      </w:pPr>
      <w:r>
        <w:rPr>
          <w:rStyle w:val="aff8"/>
        </w:rPr>
        <w:footnoteRef/>
      </w:r>
      <w:r>
        <w:rPr/>
        <w:t xml:space="preserve"> Nickell S. Biases in Dynamic Models with Fixed Effects // Econometrica. – 1981. – Vol. 49, No. 6. – P. 1417–1426.</w:t>
      </w:r>
    </w:p>
  </w:footnote>
  <w:footnote w:id="47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7">
    <w:p w:rsidR="00AB61AC" w:rsidRDefault="00AB61AC">
      <w:pPr>
        <w:pStyle w:val="aff9"/>
      </w:pPr>
      <w:r>
        <w:rPr>
          <w:rStyle w:val="aff8"/>
        </w:rPr>
        <w:footnoteRef/>
      </w:r>
      <w:r>
        <w:t xml:space="preserve"> Tadqiqot natijasida muallif tomonidan 3.3.3–3.3.6-jadvallar ma’lumotlari asosida ishlab chiqildi.</w:t>
      </w:r>
    </w:p>
  </w:footnote>
  <w:footnote w:id="478">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9">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0">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2">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3">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4">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6">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8">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9">
    <w:p w:rsidR="00AB61AC" w:rsidRDefault="00AB61AC">
      <w:pPr>
        <w:pStyle w:val="aff9"/>
      </w:pPr>
      <w:r>
        <w:rPr>
          <w:rStyle w:val="aff8"/>
        </w:rPr>
        <w:footnoteRef/>
      </w:r>
      <w:r>
        <w:t xml:space="preserve"> Fawcett T. An introduction to ROC analysis // Pattern Recognition Letters. – 2006. – Vol. 27, No. 8. – P. 861–874.</w:t>
      </w:r>
    </w:p>
  </w:footnote>
  <w:footnote w:id="490">
    <w:p w:rsidR="00AB61AC" w:rsidRDefault="00AB61AC">
      <w:pPr>
        <w:pStyle w:val="aff9"/>
      </w:pPr>
      <w:r>
        <w:rPr>
          <w:rStyle w:val="aff8"/>
        </w:rPr>
        <w:footnoteRef/>
      </w:r>
      <w:r>
        <w:t xml:space="preserve"> Hosmer D.W., Lemeshow S., Sturdivant R.X. Applied Logistic Regression. – 3rd ed. – Hoboken, NJ: John Wiley &amp; Sons, 2013.</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3">
    <w:p w:rsidR="00AB61AC" w:rsidRDefault="00AB61AC">
      <w:pPr>
        <w:pStyle w:val="aff9"/>
      </w:pPr>
      <w:r>
        <w:rPr>
          <w:rStyle w:val="aff8"/>
        </w:rPr>
        <w:footnoteRef/>
      </w:r>
      <w:r>
        <w:t xml:space="preserve"> Tadqiqot natijasida muallif tomonidan 4.1.2-jadvalda ko‘rsatilgan manbalar ma’lumotlari asosida hisoblandi.</w:t>
      </w:r>
    </w:p>
  </w:footnote>
  <w:footnote w:id="494">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5">
    <w:p w:rsidR="00AB61AC" w:rsidRDefault="00AB61AC">
      <w:pPr>
        <w:pStyle w:val="aff9"/>
      </w:pPr>
      <w:r>
        <w:rPr>
          <w:rStyle w:val="aff8"/>
        </w:rPr>
        <w:footnoteRef/>
      </w:r>
      <w:r>
        <w:t xml:space="preserve"> Hosmer D.W., Lemeshow S., Sturdivant R.X. Applied Logistic Regression. – 3rd ed. – Hoboken, NJ: John Wiley &amp; Sons, 2013.</w:t>
      </w:r>
    </w:p>
  </w:footnote>
  <w:footnote w:id="496">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7">
    <w:p w:rsidR="00AB61AC" w:rsidRDefault="00AB61AC">
      <w:pPr>
        <w:pStyle w:val="aff9"/>
      </w:pPr>
      <w:r>
        <w:rPr>
          <w:rStyle w:val="aff8"/>
        </w:rPr>
        <w:footnoteRef/>
      </w:r>
      <w:r>
        <w:t xml:space="preserve"> Tadqiqot natijasida muallif tomonidan 4.1.2-jadvalda ko‘rsatilgan manbalar ma’lumotlari asosida hisoblandi.</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0">
    <w:p w:rsidR="00AB61AC" w:rsidRDefault="00AB61AC">
      <w:pPr>
        <w:pStyle w:val="aff9"/>
      </w:pPr>
      <w:r>
        <w:rPr>
          <w:rStyle w:val="aff8"/>
        </w:rPr>
        <w:footnoteRef/>
      </w:r>
      <w:r>
        <w:t xml:space="preserve"> Tadqiqot natijasida muallif tomonidan 4.1.2-jadvalda ko‘rsatilgan manbalar ma’lumotlari asosida hisoblandi.</w:t>
      </w:r>
    </w:p>
  </w:footnote>
  <w:footnote w:id="501">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2">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3">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5">
    <w:p w:rsidR="00AB61AC" w:rsidRDefault="00AB61AC">
      <w:pPr>
        <w:pStyle w:val="aff9"/>
      </w:pPr>
      <w:r>
        <w:rPr>
          <w:rStyle w:val="aff8"/>
        </w:rPr>
        <w:footnoteRef/>
      </w:r>
      <w:r>
        <w:t xml:space="preserve"> Tadqiqot natijasida muallif tomonidan 4.1.3–4.1.5-jadvallar ma’lumotlari asosida ishlab chiqildi.</w:t>
      </w:r>
    </w:p>
  </w:footnote>
  <w:footnote w:id="506">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7">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8">
    <w:p w:rsidR="00AB61AC" w:rsidRDefault="00AB61AC">
      <w:pPr>
        <w:pStyle w:val="aff9"/>
      </w:pPr>
      <w:r>
        <w:rPr>
          <w:rStyle w:val="aff8"/>
        </w:rPr>
        <w:footnoteRef/>
      </w:r>
      <w:r>
        <w:t xml:space="preserve"> Basel Committee on Banking Supervision. Stress testing principles. – Basel: BIS, October 2018.</w:t>
      </w:r>
    </w:p>
  </w:footnote>
  <w:footnote w:id="50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0">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1">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3">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4">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5">
    <w:p w:rsidR="00AB61AC" w:rsidRDefault="00AB61AC">
      <w:pPr>
        <w:pStyle w:val="aff9"/>
      </w:pPr>
      <w:r>
        <w:rPr>
          <w:rStyle w:val="aff8"/>
        </w:rPr>
        <w:footnoteRef/>
      </w:r>
      <w:r>
        <w:t xml:space="preserve"> Tadqiqot natijasida muallif tomonidan 4.2.2-jadvalda ko‘rsatilgan manbalar ma’lumotlari asosida hisoblandi.</w:t>
      </w:r>
    </w:p>
  </w:footnote>
  <w:footnote w:id="516">
    <w:p w:rsidR="00AB61AC" w:rsidRDefault="00AB61AC">
      <w:pPr>
        <w:pStyle w:val="aff9"/>
      </w:pPr>
      <w:r>
        <w:rPr>
          <w:rStyle w:val="aff8"/>
        </w:rPr>
        <w:footnoteRef/>
      </w:r>
      <w:r>
        <w:t xml:space="preserve"> Basel Committee on Banking Supervision. Stress testing principles. – Basel: BIS, October 2018.</w:t>
      </w:r>
    </w:p>
  </w:footnote>
  <w:footnote w:id="517">
    <w:p w:rsidR="00AB61AC" w:rsidRDefault="00AB61AC">
      <w:pPr>
        <w:pStyle w:val="aff9"/>
      </w:pPr>
      <w:r>
        <w:rPr>
          <w:rStyle w:val="aff8"/>
        </w:rPr>
        <w:footnoteRef/>
      </w:r>
      <w:r>
        <w:t xml:space="preserve"> Tadqiqot natijasida muallif tomonidan 4.2.2-jadvalda ko‘rsatilgan manbalar ma’lumotlari asosida hisoblandi.</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2">
    <w:p w:rsidR="00AB61AC" w:rsidRDefault="00AB61AC">
      <w:pPr>
        <w:pStyle w:val="aff9"/>
      </w:pPr>
      <w:r>
        <w:rPr>
          <w:rStyle w:val="aff8"/>
        </w:rPr>
        <w:footnoteRef/>
      </w:r>
      <w:r>
        <w:t xml:space="preserve"> Tadqiqot natijasida muallif tomonidan 4.2.6-jadval ma’lumotlari asosida ishlab chiqildi.</w:t>
      </w:r>
    </w:p>
  </w:footnote>
  <w:footnote w:id="52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1">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3">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4">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8">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3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2">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4">
    <w:p w:rsidR="00AB61AC" w:rsidRDefault="00AB61AC">
      <w:pPr>
        <w:pStyle w:val="aff9"/>
      </w:pPr>
      <w:r>
        <w:rPr>
          <w:rStyle w:val="aff8"/>
        </w:rPr>
        <w:footnoteRef/>
      </w:r>
      <w:r>
        <w:t xml:space="preserve"> Tadqiqot natijasida muallif tomonidan ishlab chiqildi.</w:t>
      </w:r>
    </w:p>
  </w:footnote>
  <w:footnote w:id="545">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