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trike w:val="0"/>
          <w:sz w:val="28"/>
        </w:rPr>
        <w:t>2.3.7-rasm (namuna)</w:t>
      </w:r>
    </w:p>
    <w:p>
      <w:pPr>
        <w:jc w:val="center"/>
      </w:pPr>
      <w:r xmlns:a="http://schemas.openxmlformats.org/drawingml/2006/main" xmlns:c="http://schemas.openxmlformats.org/drawingml/2006/chart">
        <w:rPr>
          <w:noProof/>
        </w:rPr>
        <w:drawing>
          <wp:inline distT="0" distB="0" distL="0" distR="0">
            <wp:extent cx="5760000" cy="3420000"/>
            <wp:effectExtent l="0" t="0" r="0" b="0"/>
            <wp:docPr id="1001" name="2.3.7-rasm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pPr>
        <w:jc w:val="center"/>
      </w:pPr>
      <w:r>
        <w:rPr>
          <w:b/>
          <w:strike w:val="0"/>
          <w:sz w:val="28"/>
        </w:rPr>
        <w:t>2.3.7-rasm. “O‘zsanoatqurilishbank” ATB ko‘rsatkichlarining milliy va xalqaro yondashuv bo‘yicha nisbiy tafovuti, 2025-yil, %</w:t>
      </w:r>
    </w:p>
    <w:p/>
    <w:p>
      <w:pPr>
        <w:jc w:val="both"/>
      </w:pPr>
      <w:r>
        <w:rPr>
          <w:b/>
          <w:strike w:val="0"/>
          <w:sz w:val="24"/>
        </w:rPr>
        <w:t>Rasmdagi o‘zgarishlar:</w:t>
      </w:r>
    </w:p>
    <w:p>
      <w:pPr>
        <w:jc w:val="both"/>
      </w:pPr>
      <w:r>
        <w:rPr>
          <w:b w:val="0"/>
          <w:strike w:val="0"/>
          <w:sz w:val="24"/>
        </w:rPr>
        <w:t>1) ustunlar 2.3.1-rasmdagi tafovut zanjiri tartibida joylashtirildi: aktivlar sifati → daromadlilik → kapital → likvidlik; zanjirga kirmaydigan jami aktivlar oxirida;</w:t>
      </w:r>
    </w:p>
    <w:p>
      <w:pPr>
        <w:jc w:val="both"/>
      </w:pPr>
      <w:r>
        <w:rPr>
          <w:b w:val="0"/>
          <w:strike w:val="0"/>
          <w:sz w:val="24"/>
        </w:rPr>
        <w:t>2) har bir blok alohida rangda, legendada blok nomi ko‘rsatildi;</w:t>
      </w:r>
    </w:p>
    <w:p>
      <w:pPr>
        <w:jc w:val="both"/>
      </w:pPr>
      <w:r>
        <w:rPr>
          <w:b w:val="0"/>
          <w:strike w:val="0"/>
          <w:sz w:val="24"/>
        </w:rPr>
        <w:t>3) yorliqlar vergul va ishora bilan: +195,7; −17,9 va h.k.;</w:t>
      </w:r>
    </w:p>
    <w:p>
      <w:pPr>
        <w:jc w:val="both"/>
      </w:pPr>
      <w:r>
        <w:rPr>
          <w:b w:val="0"/>
          <w:strike w:val="0"/>
          <w:sz w:val="24"/>
        </w:rPr>
        <w:t>4) toifa nomlari matndagi atamalar bilan bir xil qoldirildi (CET1, NSFR matnda qo‘llangan).</w:t>
      </w:r>
    </w:p>
    <w:p/>
    <w:p>
      <w:pPr>
        <w:jc w:val="both"/>
      </w:pPr>
      <w:r>
        <w:rPr>
          <w:b/>
          <w:strike w:val="0"/>
          <w:sz w:val="24"/>
        </w:rPr>
        <w:t>Rasm izohida (366-izoh):</w:t>
      </w:r>
    </w:p>
    <w:p>
      <w:pPr>
        <w:jc w:val="both"/>
      </w:pPr>
      <w:r>
        <w:rPr>
          <w:b w:val="0"/>
          <w:strike w:val="0"/>
          <w:sz w:val="24"/>
        </w:rPr>
        <w:t xml:space="preserve">Tadqiqot natijasida muallif tomonidan </w:t>
      </w:r>
      <w:r>
        <w:rPr>
          <w:b w:val="0"/>
          <w:strike/>
          <w:color w:val="7F7F7F"/>
          <w:sz w:val="24"/>
        </w:rPr>
        <w:t>2.3.4-jadval ma’lumotlari</w:t>
      </w:r>
      <w:r>
        <w:rPr>
          <w:b w:val="0"/>
          <w:strike w:val="0"/>
          <w:sz w:val="24"/>
        </w:rPr>
        <w:t xml:space="preserve"> </w:t>
      </w:r>
      <w:r>
        <w:rPr>
          <w:b w:val="0"/>
          <w:strike w:val="0"/>
          <w:color w:val="FF0000"/>
          <w:sz w:val="24"/>
        </w:rPr>
        <w:t>2.3.2- va 2.3.4-jadvallar ma’lumotlari</w:t>
      </w:r>
      <w:r>
        <w:rPr>
          <w:b w:val="0"/>
          <w:strike w:val="0"/>
          <w:sz w:val="24"/>
        </w:rPr>
        <w:t xml:space="preserve"> asosida ishlab chiqildi.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uz-Latn-UZ"/>
  <c:roundedCorners val="0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Aktivlar sifati</c:v>
                </c:pt>
              </c:strCache>
            </c:strRef>
          </c:tx>
          <c:spPr>
            <a:solidFill>
              <a:srgbClr val="1F4E79"/>
            </a:solidFill>
            <a:ln w="6350">
              <a:solidFill>
                <a:srgbClr val="FFFFFF"/>
              </a:solidFill>
            </a:ln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pPr>
                      <a:defRPr sz="1050" b="1">
                        <a:solidFill>
                          <a:srgbClr val="1F4E79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50" b="1">
                        <a:solidFill>
                          <a:srgbClr val="1F4E79"/>
                        </a:solidFill>
                        <a:latin typeface="Times New Roman"/>
                        <a:cs typeface="Times New Roman"/>
                      </a:rPr>
                      <a:t>+195,7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tx>
                <c:rich>
                  <a:bodyPr/>
                  <a:lstStyle/>
                  <a:p>
                    <a:pPr>
                      <a:defRPr sz="1050" b="1">
                        <a:solidFill>
                          <a:srgbClr val="1F4E79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50" b="1">
                        <a:solidFill>
                          <a:srgbClr val="1F4E79"/>
                        </a:solidFill>
                        <a:latin typeface="Times New Roman"/>
                        <a:cs typeface="Times New Roman"/>
                      </a:rPr>
                      <a:t>+44,2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cat>
            <c:strRef>
              <c:f>Sheet1!$A$2:$A$8</c:f>
              <c:strCache>
                <c:ptCount val="7"/>
                <c:pt idx="0">
                  <c:v>Muammoli kreditlar ulushi</c:v>
                </c:pt>
                <c:pt idx="1">
                  <c:v>Kredit zaxiralari</c:v>
                </c:pt>
                <c:pt idx="2">
                  <c:v>Sof foyda</c:v>
                </c:pt>
                <c:pt idx="3">
                  <c:v>Xususiy kapital</c:v>
                </c:pt>
                <c:pt idx="4">
                  <c:v>CET1 monandligi</c:v>
                </c:pt>
                <c:pt idx="5">
                  <c:v>NSFR me’yori</c:v>
                </c:pt>
                <c:pt idx="6">
                  <c:v>Jami aktivlar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195.7</c:v>
                </c:pt>
                <c:pt idx="1">
                  <c:v>44.2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Daromadlilik</c:v>
                </c:pt>
              </c:strCache>
            </c:strRef>
          </c:tx>
          <c:spPr>
            <a:solidFill>
              <a:srgbClr val="C55A11"/>
            </a:solidFill>
            <a:ln w="6350">
              <a:solidFill>
                <a:srgbClr val="FFFFFF"/>
              </a:solidFill>
            </a:ln>
          </c:spPr>
          <c:invertIfNegative val="0"/>
          <c:dLbls>
            <c:dLbl>
              <c:idx val="2"/>
              <c:tx>
                <c:rich>
                  <a:bodyPr/>
                  <a:lstStyle/>
                  <a:p>
                    <a:pPr>
                      <a:defRPr sz="1050" b="1">
                        <a:solidFill>
                          <a:srgbClr val="C55A11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50" b="1">
                        <a:solidFill>
                          <a:srgbClr val="C55A11"/>
                        </a:solidFill>
                        <a:latin typeface="Times New Roman"/>
                        <a:cs typeface="Times New Roman"/>
                      </a:rPr>
                      <a:t>−17,9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cat>
            <c:strRef>
              <c:f>Sheet1!$A$2:$A$8</c:f>
              <c:strCache>
                <c:ptCount val="7"/>
                <c:pt idx="0">
                  <c:v>Muammoli kreditlar ulushi</c:v>
                </c:pt>
                <c:pt idx="1">
                  <c:v>Kredit zaxiralari</c:v>
                </c:pt>
                <c:pt idx="2">
                  <c:v>Sof foyda</c:v>
                </c:pt>
                <c:pt idx="3">
                  <c:v>Xususiy kapital</c:v>
                </c:pt>
                <c:pt idx="4">
                  <c:v>CET1 monandligi</c:v>
                </c:pt>
                <c:pt idx="5">
                  <c:v>NSFR me’yori</c:v>
                </c:pt>
                <c:pt idx="6">
                  <c:v>Jami aktivlar</c:v>
                </c:pt>
              </c:strCache>
            </c:strRef>
          </c:cat>
          <c:val>
            <c:numRef>
              <c:f>Sheet1!$C$2:$C$8</c:f>
              <c:numCache>
                <c:formatCode>General</c:formatCode>
                <c:ptCount val="7"/>
                <c:pt idx="2">
                  <c:v>-17.9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Kapital</c:v>
                </c:pt>
              </c:strCache>
            </c:strRef>
          </c:tx>
          <c:spPr>
            <a:solidFill>
              <a:srgbClr val="548235"/>
            </a:solidFill>
            <a:ln w="6350">
              <a:solidFill>
                <a:srgbClr val="FFFFFF"/>
              </a:solidFill>
            </a:ln>
          </c:spPr>
          <c:invertIfNegative val="0"/>
          <c:dLbls>
            <c:dLbl>
              <c:idx val="3"/>
              <c:tx>
                <c:rich>
                  <a:bodyPr/>
                  <a:lstStyle/>
                  <a:p>
                    <a:pPr>
                      <a:defRPr sz="1050" b="1">
                        <a:solidFill>
                          <a:srgbClr val="548235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50" b="1">
                        <a:solidFill>
                          <a:srgbClr val="548235"/>
                        </a:solidFill>
                        <a:latin typeface="Times New Roman"/>
                        <a:cs typeface="Times New Roman"/>
                      </a:rPr>
                      <a:t>−13,5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tx>
                <c:rich>
                  <a:bodyPr/>
                  <a:lstStyle/>
                  <a:p>
                    <a:pPr>
                      <a:defRPr sz="1050" b="1">
                        <a:solidFill>
                          <a:srgbClr val="548235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50" b="1">
                        <a:solidFill>
                          <a:srgbClr val="548235"/>
                        </a:solidFill>
                        <a:latin typeface="Times New Roman"/>
                        <a:cs typeface="Times New Roman"/>
                      </a:rPr>
                      <a:t>−13,1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cat>
            <c:strRef>
              <c:f>Sheet1!$A$2:$A$8</c:f>
              <c:strCache>
                <c:ptCount val="7"/>
                <c:pt idx="0">
                  <c:v>Muammoli kreditlar ulushi</c:v>
                </c:pt>
                <c:pt idx="1">
                  <c:v>Kredit zaxiralari</c:v>
                </c:pt>
                <c:pt idx="2">
                  <c:v>Sof foyda</c:v>
                </c:pt>
                <c:pt idx="3">
                  <c:v>Xususiy kapital</c:v>
                </c:pt>
                <c:pt idx="4">
                  <c:v>CET1 monandligi</c:v>
                </c:pt>
                <c:pt idx="5">
                  <c:v>NSFR me’yori</c:v>
                </c:pt>
                <c:pt idx="6">
                  <c:v>Jami aktivlar</c:v>
                </c:pt>
              </c:strCache>
            </c:strRef>
          </c:cat>
          <c:val>
            <c:numRef>
              <c:f>Sheet1!$D$2:$D$8</c:f>
              <c:numCache>
                <c:formatCode>General</c:formatCode>
                <c:ptCount val="7"/>
                <c:pt idx="3">
                  <c:v>-13.5</c:v>
                </c:pt>
                <c:pt idx="4">
                  <c:v>-13.1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Likvidlik</c:v>
                </c:pt>
              </c:strCache>
            </c:strRef>
          </c:tx>
          <c:spPr>
            <a:solidFill>
              <a:srgbClr val="7F6000"/>
            </a:solidFill>
            <a:ln w="6350">
              <a:solidFill>
                <a:srgbClr val="FFFFFF"/>
              </a:solidFill>
            </a:ln>
          </c:spPr>
          <c:invertIfNegative val="0"/>
          <c:dLbls>
            <c:dLbl>
              <c:idx val="5"/>
              <c:tx>
                <c:rich>
                  <a:bodyPr/>
                  <a:lstStyle/>
                  <a:p>
                    <a:pPr>
                      <a:defRPr sz="1050" b="1">
                        <a:solidFill>
                          <a:srgbClr val="7F6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50" b="1">
                        <a:solidFill>
                          <a:srgbClr val="7F6000"/>
                        </a:solidFill>
                        <a:latin typeface="Times New Roman"/>
                        <a:cs typeface="Times New Roman"/>
                      </a:rPr>
                      <a:t>+2,1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cat>
            <c:strRef>
              <c:f>Sheet1!$A$2:$A$8</c:f>
              <c:strCache>
                <c:ptCount val="7"/>
                <c:pt idx="0">
                  <c:v>Muammoli kreditlar ulushi</c:v>
                </c:pt>
                <c:pt idx="1">
                  <c:v>Kredit zaxiralari</c:v>
                </c:pt>
                <c:pt idx="2">
                  <c:v>Sof foyda</c:v>
                </c:pt>
                <c:pt idx="3">
                  <c:v>Xususiy kapital</c:v>
                </c:pt>
                <c:pt idx="4">
                  <c:v>CET1 monandligi</c:v>
                </c:pt>
                <c:pt idx="5">
                  <c:v>NSFR me’yori</c:v>
                </c:pt>
                <c:pt idx="6">
                  <c:v>Jami aktivlar</c:v>
                </c:pt>
              </c:strCache>
            </c:strRef>
          </c:cat>
          <c:val>
            <c:numRef>
              <c:f>Sheet1!$E$2:$E$8</c:f>
              <c:numCache>
                <c:formatCode>General</c:formatCode>
                <c:ptCount val="7"/>
                <c:pt idx="5">
                  <c:v>2.1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Balans hajmi</c:v>
                </c:pt>
              </c:strCache>
            </c:strRef>
          </c:tx>
          <c:spPr>
            <a:solidFill>
              <a:srgbClr val="7F7F7F"/>
            </a:solidFill>
            <a:ln w="6350">
              <a:solidFill>
                <a:srgbClr val="FFFFFF"/>
              </a:solidFill>
            </a:ln>
          </c:spPr>
          <c:invertIfNegative val="0"/>
          <c:dLbls>
            <c:dLbl>
              <c:idx val="6"/>
              <c:tx>
                <c:rich>
                  <a:bodyPr/>
                  <a:lstStyle/>
                  <a:p>
                    <a:pPr>
                      <a:defRPr sz="1050" b="1">
                        <a:solidFill>
                          <a:srgbClr val="7F7F7F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50" b="1">
                        <a:solidFill>
                          <a:srgbClr val="7F7F7F"/>
                        </a:solidFill>
                        <a:latin typeface="Times New Roman"/>
                        <a:cs typeface="Times New Roman"/>
                      </a:rPr>
                      <a:t>−5,1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cat>
            <c:strRef>
              <c:f>Sheet1!$A$2:$A$8</c:f>
              <c:strCache>
                <c:ptCount val="7"/>
                <c:pt idx="0">
                  <c:v>Muammoli kreditlar ulushi</c:v>
                </c:pt>
                <c:pt idx="1">
                  <c:v>Kredit zaxiralari</c:v>
                </c:pt>
                <c:pt idx="2">
                  <c:v>Sof foyda</c:v>
                </c:pt>
                <c:pt idx="3">
                  <c:v>Xususiy kapital</c:v>
                </c:pt>
                <c:pt idx="4">
                  <c:v>CET1 monandligi</c:v>
                </c:pt>
                <c:pt idx="5">
                  <c:v>NSFR me’yori</c:v>
                </c:pt>
                <c:pt idx="6">
                  <c:v>Jami aktivlar</c:v>
                </c:pt>
              </c:strCache>
            </c:strRef>
          </c:cat>
          <c:val>
            <c:numRef>
              <c:f>Sheet1!$F$2:$F$8</c:f>
              <c:numCache>
                <c:formatCode>General</c:formatCode>
                <c:ptCount val="7"/>
                <c:pt idx="6">
                  <c:v>-5.1</c:v>
                </c:pt>
              </c:numCache>
            </c:numRef>
          </c:val>
        </c:ser>
        <c:gapWidth val="60"/>
        <c:overlap val="100"/>
        <c:axId val="111"/>
        <c:axId val="222"/>
      </c:barChart>
      <c:catAx>
        <c:axId val="11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 rot="0" vert="horz"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222"/>
        <c:crosses val="autoZero"/>
        <c:auto val="1"/>
        <c:lblAlgn val="ctr"/>
        <c:lblOffset val="100"/>
        <c:tickLblSkip val="1"/>
        <c:noMultiLvlLbl val="0"/>
      </c:catAx>
      <c:valAx>
        <c:axId val="222"/>
        <c:scaling>
          <c:orientation val="minMax"/>
          <c:max val="200"/>
          <c:min val="-50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%</a:t>
                </a:r>
              </a:p>
            </c:rich>
          </c:tx>
          <c:overlay val="0"/>
        </c:title>
        <c:numFmt formatCode="General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111"/>
        <c:crosses val="autoZero"/>
        <c:crossBetween val="between"/>
        <c:majorUnit val="50"/>
      </c:valAx>
      <c:spPr>
        <a:noFill/>
        <a:ln>
          <a:noFill/>
        </a:ln>
      </c:spPr>
    </c:plotArea>
    <c:legend>
      <c:legendPos val="b"/>
      <c:overlay val="0"/>
      <c:txPr>
        <a:bodyPr/>
        <a:lstStyle/>
        <a:p>
          <a:pPr>
            <a:defRPr sz="1050" b="0">
              <a:solidFill>
                <a:srgbClr val="000000"/>
              </a:solidFill>
              <a:latin typeface="Times New Roman"/>
              <a:cs typeface="Times New Roman"/>
            </a:defRPr>
          </a:pPr>
          <a:endParaRPr lang="uz-Latn-UZ"/>
        </a:p>
      </c:txPr>
    </c:legend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 sz="1100" b="0">
          <a:solidFill>
            <a:srgbClr val="000000"/>
          </a:solidFill>
          <a:latin typeface="Times New Roman"/>
          <a:cs typeface="Times New Roman"/>
        </a:defRPr>
      </a:pPr>
      <a:endParaRPr lang="uz-Latn-UZ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