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176</w:t>
      </w:r>
    </w:p>
    <w:p w:rsidR="005603EC" w:rsidRDefault="00AB61AC">
      <w:pPr>
        <w:tabs>
          <w:tab w:val="right" w:leader="dot" w:pos="9354"/>
        </w:tabs>
        <w:spacing w:after="80" w:line="240" w:lineRule="auto"/>
        <w:ind w:left="454"/>
      </w:pPr>
      <w:r>
        <w:rPr>
          <w:sz w:val="26"/>
        </w:rPr>
        <w:t>III bob bo‘yicha xulosalar</w:t>
      </w:r>
      <w:r>
        <w:rPr>
          <w:sz w:val="26"/>
        </w:rPr>
        <w:tab/>
        <w:t>194</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197</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197</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213</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225</w:t>
      </w:r>
    </w:p>
    <w:p w:rsidR="005603EC" w:rsidRDefault="00AB61AC">
      <w:pPr>
        <w:tabs>
          <w:tab w:val="right" w:leader="dot" w:pos="9354"/>
        </w:tabs>
        <w:spacing w:after="80" w:line="240" w:lineRule="auto"/>
        <w:ind w:left="454"/>
      </w:pPr>
      <w:r>
        <w:rPr>
          <w:sz w:val="26"/>
        </w:rPr>
        <w:t>IV bob bo‘yicha xulosalar</w:t>
      </w:r>
      <w:r>
        <w:rPr>
          <w:sz w:val="26"/>
        </w:rPr>
        <w:tab/>
        <w:t>238</w:t>
      </w:r>
    </w:p>
    <w:p w:rsidR="005603EC" w:rsidRDefault="00AB61AC">
      <w:pPr>
        <w:tabs>
          <w:tab w:val="right" w:leader="dot" w:pos="9354"/>
        </w:tabs>
        <w:spacing w:after="80" w:line="240" w:lineRule="auto"/>
      </w:pPr>
      <w:r>
        <w:rPr>
          <w:b/>
          <w:sz w:val="26"/>
        </w:rPr>
        <w:t>XULOSA</w:t>
      </w:r>
      <w:r>
        <w:rPr>
          <w:b/>
          <w:sz w:val="26"/>
        </w:rPr>
        <w:tab/>
        <w:t>241</w:t>
      </w:r>
    </w:p>
    <w:p w:rsidR="005603EC" w:rsidRDefault="00AB61AC">
      <w:pPr>
        <w:tabs>
          <w:tab w:val="right" w:leader="dot" w:pos="9354"/>
        </w:tabs>
        <w:spacing w:after="80" w:line="240" w:lineRule="auto"/>
      </w:pPr>
      <w:r>
        <w:rPr>
          <w:b/>
          <w:sz w:val="26"/>
        </w:rPr>
        <w:t>FOYDALANILGAN ADABIYOTLAR RO‘YXATI</w:t>
      </w:r>
      <w:r>
        <w:rPr>
          <w:b/>
          <w:sz w:val="26"/>
        </w:rPr>
        <w:tab/>
        <w:t>247</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243</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9"/>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4"/>
      </w:r>
      <w:r>
        <w:t>. Uchinchi gipoteza A. Demirgüç-Kunt va H. Huizinga xulosasiga tayanadi: depozit bo‘lmagan, ya’ni ulgurji moliyalashtirishga ko‘proq tayanadigan banklar riskliroq bo‘ladi</w:t>
      </w:r>
      <w:r>
        <w:rPr>
          <w:rStyle w:val="aff8"/>
        </w:rPr>
        <w:footnoteReference w:id="445"/>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t>T. Anderson va C. Hsiao usuli bo‘yicha birinchi farqlarda, indeksning ikki chorak oldingi qiymatini instrument sifatida qo‘llab baholandi</w:t>
      </w:r>
      <w:r>
        <w:rPr>
          <w:rStyle w:val="aff8"/>
        </w:rPr>
        <w:footnoteReference w:id="466"/>
      </w:r>
      <w:r>
        <w:rPr>
          <w:rStyle w:val="aff8"/>
        </w:rPr>
        <w:footnoteReference w:id="467"/>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1"/>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4"/>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1"/>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Bazel qo‘mitasining stress-test tamoyillari ham ssenariylar haqiqiy tarixiy shoklarga asoslanishi va model natijalari muntazam tekshirilishi lozimligini talab qiladi</w:t>
      </w:r>
      <w:r>
        <w:rPr>
          <w:rStyle w:val="aff8"/>
        </w:rPr>
        <w:footnoteReference w:id="510"/>
      </w:r>
      <w:r>
        <w:t>. O‘zbekistonda esa bu yo‘nalishdagi ilmiy ishlar alohida ko‘rsatkichlarni prognoz qilish bilan cheklangan: B.T. Berdiyarov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1"/>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9"/>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Tadqiqot natijasida muallif tomonidan 3.2.2-jadval ma’lumotlari asosida ishlab chiqildi.</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4">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1">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4">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