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bcd6da71180214302fa2c75f57626c82e5c9a7c"/>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2.3-§. Tijorat banklari moliyaviy ko‘rsatkichlarining milliy va MHXS hisobotlari bo‘yicha qiyosiy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FootnoteReference"/>
        </w:rPr>
        <w:footnoteReference w:id="20"/>
      </w:r>
      <w:r>
        <w:rPr>
          <w:rFonts w:ascii="Times New Roman" w:hAnsi="Times New Roman" w:cs="Times New Roman" w:eastAsia="Times New Roman"/>
          <w:sz w:val="28"/>
        </w:rPr>
        <w:t xml:space="preserve">, prudensial nazorat, ya’ni kapital yetarliligi, aktivlar sifati va likvidlik me’yorlariga rioya etilishi hamon milliy buxgalteriya hisobi va Markaziy bankning aktivlarni tasniflash qoidalari asosida tuzilgan hisobotlar bo‘yicha amalga oshiriladi</w:t>
      </w:r>
      <w:r>
        <w:rPr>
          <w:rStyle w:val="FootnoteReference"/>
        </w:rPr>
        <w:footnoteReference w:id="21"/>
      </w:r>
      <w:r>
        <w:rPr>
          <w:rFonts w:ascii="Times New Roman" w:hAnsi="Times New Roman" w:cs="Times New Roman" w:eastAsia="Times New Roman"/>
          <w:sz w:val="28"/>
        </w:rPr>
        <w:t xml:space="preserve">.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pPr>
        <w:pStyle w:val="BodyText"/>
        <w:spacing w:line="360" w:lineRule="auto" w:before="0" w:after="0"/>
        <w:ind w:firstLine="709"/>
        <w:jc w:val="both"/>
      </w:pPr>
      <w:r>
        <w:rPr>
          <w:rFonts w:ascii="Times New Roman" w:hAnsi="Times New Roman" w:cs="Times New Roman" w:eastAsia="Times New Roman"/>
          <w:sz w:val="28"/>
        </w:rPr>
        <w:t xml:space="preserve">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FootnoteReference"/>
        </w:rPr>
        <w:footnoteReference w:id="22"/>
      </w:r>
      <w:r>
        <w:rPr>
          <w:rFonts w:ascii="Times New Roman" w:hAnsi="Times New Roman" w:cs="Times New Roman" w:eastAsia="Times New Roman"/>
          <w:sz w:val="28"/>
        </w:rPr>
        <w:t xml:space="preserve">. Bundan oldin qo‘mita banklarga kutilgan kredit zararlarini baholashda buxgalteriya talablari va kredit riskini boshqarish amaliyotini o‘zaro uyg‘unlashtirish bo‘yicha alohida yo‘riqnoma bergan edi</w:t>
      </w:r>
      <w:r>
        <w:rPr>
          <w:rStyle w:val="FootnoteReference"/>
        </w:rPr>
        <w:footnoteReference w:id="23"/>
      </w:r>
      <w:r>
        <w:rPr>
          <w:rFonts w:ascii="Times New Roman" w:hAnsi="Times New Roman" w:cs="Times New Roman" w:eastAsia="Times New Roman"/>
          <w:sz w:val="28"/>
        </w:rPr>
        <w:t xml:space="preserve">.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FootnoteReference"/>
        </w:rPr>
        <w:footnoteReference w:id="24"/>
      </w:r>
      <w:r>
        <w:rPr>
          <w:rFonts w:ascii="Times New Roman" w:hAnsi="Times New Roman" w:cs="Times New Roman" w:eastAsia="Times New Roman"/>
          <w:sz w:val="28"/>
        </w:rPr>
        <w:t xml:space="preserve">.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FootnoteReference"/>
        </w:rPr>
        <w:footnoteReference w:id="25"/>
      </w:r>
      <w:r>
        <w:rPr>
          <w:rFonts w:ascii="Times New Roman" w:hAnsi="Times New Roman" w:cs="Times New Roman" w:eastAsia="Times New Roman"/>
          <w:sz w:val="28"/>
        </w:rPr>
        <w:t xml:space="preserve">. J. Abad va J. Suarez kutilgan kredit zararlari modeli zaxiralarni iqtisodiy pasayish boshlanishida keskin oshirib, kapitalga bosimni avvalgi modelga nisbatan ertaroq yuzaga keltirishini isbotlagan</w:t>
      </w:r>
      <w:r>
        <w:rPr>
          <w:rStyle w:val="FootnoteReference"/>
        </w:rPr>
        <w:footnoteReference w:id="26"/>
      </w:r>
      <w:r>
        <w:rPr>
          <w:rFonts w:ascii="Times New Roman" w:hAnsi="Times New Roman" w:cs="Times New Roman" w:eastAsia="Times New Roman"/>
          <w:sz w:val="28"/>
        </w:rPr>
        <w:t xml:space="preserve">. Rossiya iqtisodchisi N.E. Sokolinskaya bank moliyaviy holatini MHXS asosida tahlil qilish milliy hisobotga nisbatan aktivlar sifati va kapitalning haqiqiy darajasini aniqroq ko‘rsatishini ta’kidlagan</w:t>
      </w:r>
      <w:r>
        <w:rPr>
          <w:rStyle w:val="FootnoteReference"/>
        </w:rPr>
        <w:footnoteReference w:id="27"/>
      </w:r>
      <w:r>
        <w:rPr>
          <w:rFonts w:ascii="Times New Roman" w:hAnsi="Times New Roman" w:cs="Times New Roman" w:eastAsia="Times New Roman"/>
          <w:sz w:val="28"/>
        </w:rPr>
        <w:t xml:space="preserve">. Bu tadqiqotlar bitta umumiy xulosaga olib keladi: hisobot standarti moliyaviy barqarorlik ko‘rsatkichlarining shunchaki texnik sharti emas, balki baholash natijasini o‘zgartira oladigan mustaqil omildir.</w:t>
      </w:r>
    </w:p>
    <w:p>
      <w:pPr>
        <w:pStyle w:val="BodyText"/>
        <w:spacing w:line="360" w:lineRule="auto" w:before="0" w:after="0"/>
        <w:ind w:firstLine="709"/>
        <w:jc w:val="both"/>
      </w:pPr>
      <w:r>
        <w:rPr>
          <w:rFonts w:ascii="Times New Roman" w:hAnsi="Times New Roman" w:cs="Times New Roman" w:eastAsia="Times New Roman"/>
          <w:sz w:val="28"/>
        </w:rPr>
        <w:t xml:space="preserve">O‘zbekiston amaliyotida ikki hisobot o‘rtasidagi farqlar bir nechta manbadan kelib chiqadi. Ularni tadqiq etilgan banklarning auditdan o‘tgan hisobotlari va Markaziy bankning me’yoriy hujjatlarini solishtirish asosida tizimlashtirish mumkin (2.3.1-jadval).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Milliy prudensial hisobot va MHXS bo‘yicha hisobot o‘rtasidagi asosiy farqlar</w:t>
      </w:r>
      <w:r>
        <w:rPr>
          <w:rStyle w:val="FootnoteReference"/>
        </w:rPr>
        <w:footnoteReference w:id="2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2494"/>
        <w:gridCol w:w="2608"/>
        <w:gridCol w:w="2494"/>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prudensial hisobot</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bo‘yicha hisobot</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Ko‘rsatkichlarga ta’siri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doirasi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Alohida bank</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Bank guruhi (sho‘ba korxonalar bilan birga)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kapital va foyda tarkibi o‘zgaradi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Kreditlarni tasniflash asosi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Besh toifa: standart, substandart, qoniqarsiz, shubhali, umidsiz; asosiy mezon – muddati o‘tgan kunlar</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Uch bosqich: 1-bosqich, kredit riski sezilarli oshgan 2-bosqich, kredit qadrsizlangan 3-bosqich; restrukturizatsiya, defolt tarixi va kelajakka yo‘naltirilgan ma’lumotlar ham hisobga olinadi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MHXS bo‘yicha yuqori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Zaxira shakllantirish</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Toifa bo‘yicha qat’iy stavkalar: 1, 10, 25, 50 va 100 foiz</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Kutilgan kredit zararlari: defolt ehtimoli, defolt holatidagi yo‘qotish va riskdagi summa asosida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Zaxiralar va zararlar MHXS bo‘yicha ko‘proq va ertaroq tan olinadi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Bozor stavkasidan past stavkadagi kreditlar va resurslar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Nominal qiymatda aks ettiriladi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Haqqoniy qiymatda tan olinadi, farq dastlabki tan olishdagi foyda yoki zarar sifatida ko‘rsatiladi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dasturlari bo‘yicha imtiyozli operatsiyalar foydaga ta’sir qiladi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Regulyativ kapital</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Milliy buxgalteriya hisobi asosida hisoblanadi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Hisoblanmaydi, faqat oshkor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bo‘yicha kapital farqi kapital monandligida aks etmaydi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muddati va oshkoralik</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oylik, choraklik; asosiy shakllar e’lon qilinadi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Yillik, auditorlik xulosasi bilan; bosqichlar, garov va risklar bo‘yicha batafsil izohlar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chuqurroq, ammo kechroq ma’lumot beradi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ikki hisobot o‘rtasidagi farqlarning eng muhimlari kreditlarni tasniflash va zaxira shakllantirish qoidalari bilan bog‘liq. Milliy tizimda zaxira miqdori kreditning toifasiga qarab qat’iy stavkalarda belgilanadi</w:t>
      </w:r>
      <w:r>
        <w:rPr>
          <w:rStyle w:val="FootnoteReference"/>
        </w:rPr>
        <w:footnoteReference w:id="29"/>
      </w:r>
      <w:r>
        <w:rPr>
          <w:rFonts w:ascii="Times New Roman" w:hAnsi="Times New Roman" w:cs="Times New Roman" w:eastAsia="Times New Roman"/>
          <w:sz w:val="28"/>
        </w:rPr>
        <w:t xml:space="preserve">.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FootnoteReference"/>
        </w:rPr>
        <w:footnoteReference w:id="30"/>
      </w:r>
      <w:r>
        <w:rPr>
          <w:rFonts w:ascii="Times New Roman" w:hAnsi="Times New Roman" w:cs="Times New Roman" w:eastAsia="Times New Roman"/>
          <w:sz w:val="28"/>
        </w:rPr>
        <w:t xml:space="preserve">. MHXS 9 da esa zaxira har bir kredit yoki kreditlar guruhi bo‘yicha defolt ehtimoli, garov qiymati va kutilayotgan undirish summasini hisobga olgan holda aniqlanadi</w:t>
      </w:r>
      <w:r>
        <w:rPr>
          <w:rStyle w:val="FootnoteReference"/>
        </w:rPr>
        <w:footnoteReference w:id="31"/>
      </w:r>
      <w:r>
        <w:rPr>
          <w:rFonts w:ascii="Times New Roman" w:hAnsi="Times New Roman" w:cs="Times New Roman" w:eastAsia="Times New Roman"/>
          <w:sz w:val="28"/>
        </w:rPr>
        <w:t xml:space="preserve">. Shu bilan birga, ikki tizimdagi farq zaxiradan boshlanib, ketma-ket bir necha ko‘rsatkichga o‘tadi: tasniflash farqi zaxiraga, zaxira foydaga, foyda kapitalga, kapital esa kapital monandligi va sof barqaror moliyalashtirish me’yoriga ta’sir qiladi (2.3.1-rasm).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6012000" cy="2160000"/>
                <wp:effectExtent l="0" t="0" r="0" b="0"/>
                <wp:docPr id="1001" name="2.3.1-rasm"/>
                <wp:cNvGraphicFramePr/>
                <a:graphic>
                  <a:graphicData uri="http://schemas.microsoft.com/office/word/2010/wordprocessingGroup">
                    <wpg:wgp>
                      <wpg:cNvGrpSpPr/>
                      <wpg:grpSpPr>
                        <a:xfrm>
                          <a:off x="0" y="0"/>
                          <a:ext cx="6012000" cy="2160000"/>
                          <a:chOff x="0" y="0"/>
                          <a:chExt cx="6012000" cy="2160000"/>
                        </a:xfrm>
                      </wpg:grpSpPr>
                      <wps:wsp>
                        <wps:cNvPr id="2"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Kreditlarni</w:t>
                              </w:r>
                            </w:p>
                            <w:p>
                              <w:pPr>
                                <w:spacing w:before="0" w:after="0" w:line="228" w:lineRule="auto"/>
                                <w:jc w:val="center"/>
                                <w:ind w:firstLine="0"/>
                              </w:pPr>
                              <w:r>
                                <w:rPr>
                                  <w:rFonts w:ascii="Times New Roman" w:hAnsi="Times New Roman" w:cs="Times New Roman"/>
                                  <w:b/>
                                  <w:color w:val="FFFFFF"/>
                                  <w:sz w:val="22"/>
                                  <w:szCs w:val="22"/>
                                </w:rPr>
                                <w:t xml:space="preserve">tasniflash</w:t>
                              </w:r>
                            </w:p>
                          </w:txbxContent>
                        </wps:txbx>
                        <wps:bodyPr rot="0" vert="horz" wrap="square" lIns="36000" tIns="18000" rIns="36000" bIns="18000" anchor="ctr" anchorCtr="0">
                          <a:noAutofit/>
                        </wps:bodyPr>
                      </wps:wsp>
                      <wps:wsp>
                        <wps:cNvPr id="3"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Toifa (milliy) /</w:t>
                              </w:r>
                            </w:p>
                            <w:p>
                              <w:pPr>
                                <w:spacing w:before="0" w:after="0" w:line="228" w:lineRule="auto"/>
                                <w:jc w:val="center"/>
                                <w:ind w:firstLine="0"/>
                              </w:pPr>
                              <w:r>
                                <w:rPr>
                                  <w:rFonts w:ascii="Times New Roman" w:hAnsi="Times New Roman" w:cs="Times New Roman"/>
                                  <w:color w:val="000000"/>
                                  <w:sz w:val="20"/>
                                  <w:szCs w:val="20"/>
                                </w:rPr>
                                <w:t xml:space="preserve">bosqich (MHXS 9)</w:t>
                              </w:r>
                            </w:p>
                          </w:txbxContent>
                        </wps:txbx>
                        <wps:bodyPr rot="0" vert="horz" wrap="square" lIns="36000" tIns="18000" rIns="36000" bIns="18000" anchor="ctr" anchorCtr="0">
                          <a:noAutofit/>
                        </wps:bodyPr>
                      </wps:wsp>
                      <wps:wsp>
                        <wps:cNvPr id="4" name="Connector 4"/>
                        <wps:cNvCnPr/>
                        <wps:spPr>
                          <a:xfrm>
                            <a:off x="1051200" y="378000"/>
                            <a:ext cx="201600" cy="0"/>
                          </a:xfrm>
                          <a:prstGeom prst="straightConnector1">
                            <a:avLst/>
                          </a:prstGeom>
                          <a:ln w="19050">
                            <a:solidFill>
                              <a:srgbClr val="404040"/>
                            </a:solidFill>
                            <a:tailEnd type="triangle" w="med" len="med"/>
                          </a:ln>
                        </wps:spPr>
                        <wps:bodyPr/>
                      </wps:wsp>
                      <wps:wsp>
                        <wps:cNvPr id="5"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Zaxiralar</w:t>
                              </w:r>
                            </w:p>
                          </w:txbxContent>
                        </wps:txbx>
                        <wps:bodyPr rot="0" vert="horz" wrap="square" lIns="36000" tIns="18000" rIns="36000" bIns="18000" anchor="ctr" anchorCtr="0">
                          <a:noAutofit/>
                        </wps:bodyPr>
                      </wps:wsp>
                      <wps:wsp>
                        <wps:cNvPr id="6"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Qat’iy stavkalar /</w:t>
                              </w:r>
                            </w:p>
                            <w:p>
                              <w:pPr>
                                <w:spacing w:before="0" w:after="0" w:line="228" w:lineRule="auto"/>
                                <w:jc w:val="center"/>
                                <w:ind w:firstLine="0"/>
                              </w:pPr>
                              <w:r>
                                <w:rPr>
                                  <w:rFonts w:ascii="Times New Roman" w:hAnsi="Times New Roman" w:cs="Times New Roman"/>
                                  <w:color w:val="000000"/>
                                  <w:sz w:val="20"/>
                                  <w:szCs w:val="20"/>
                                </w:rPr>
                                <w:t xml:space="preserve">kutilgan zararlar</w:t>
                              </w:r>
                            </w:p>
                          </w:txbxContent>
                        </wps:txbx>
                        <wps:bodyPr rot="0" vert="horz" wrap="square" lIns="36000" tIns="18000" rIns="36000" bIns="18000" anchor="ctr" anchorCtr="0">
                          <a:noAutofit/>
                        </wps:bodyPr>
                      </wps:wsp>
                      <wps:wsp>
                        <wps:cNvPr id="7" name="Connector 7"/>
                        <wps:cNvCnPr/>
                        <wps:spPr>
                          <a:xfrm>
                            <a:off x="2275200" y="378000"/>
                            <a:ext cx="201600" cy="0"/>
                          </a:xfrm>
                          <a:prstGeom prst="straightConnector1">
                            <a:avLst/>
                          </a:prstGeom>
                          <a:ln w="19050">
                            <a:solidFill>
                              <a:srgbClr val="404040"/>
                            </a:solidFill>
                            <a:tailEnd type="triangle" w="med" len="med"/>
                          </a:ln>
                        </wps:spPr>
                        <wps:bodyPr/>
                      </wps:wsp>
                      <wps:wsp>
                        <wps:cNvPr id="8"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Sof foyda</w:t>
                              </w:r>
                            </w:p>
                          </w:txbxContent>
                        </wps:txbx>
                        <wps:bodyPr rot="0" vert="horz" wrap="square" lIns="36000" tIns="18000" rIns="36000" bIns="18000" anchor="ctr" anchorCtr="0">
                          <a:noAutofit/>
                        </wps:bodyPr>
                      </wps:wsp>
                      <wps:wsp>
                        <wps:cNvPr id="9"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Zaxira xarajati,</w:t>
                              </w:r>
                            </w:p>
                            <w:p>
                              <w:pPr>
                                <w:spacing w:before="0" w:after="0" w:line="228" w:lineRule="auto"/>
                                <w:jc w:val="center"/>
                                <w:ind w:firstLine="0"/>
                              </w:pPr>
                              <w:r>
                                <w:rPr>
                                  <w:rFonts w:ascii="Times New Roman" w:hAnsi="Times New Roman" w:cs="Times New Roman"/>
                                  <w:color w:val="000000"/>
                                  <w:sz w:val="20"/>
                                  <w:szCs w:val="20"/>
                                </w:rPr>
                                <w:t xml:space="preserve">dastlabki tan olish</w:t>
                              </w:r>
                            </w:p>
                          </w:txbxContent>
                        </wps:txbx>
                        <wps:bodyPr rot="0" vert="horz" wrap="square" lIns="36000" tIns="18000" rIns="36000" bIns="18000" anchor="ctr" anchorCtr="0">
                          <a:noAutofit/>
                        </wps:bodyPr>
                      </wps:wsp>
                      <wps:wsp>
                        <wps:cNvPr id="10" name="Connector 10"/>
                        <wps:cNvCnPr/>
                        <wps:spPr>
                          <a:xfrm>
                            <a:off x="3499200" y="378000"/>
                            <a:ext cx="201600" cy="0"/>
                          </a:xfrm>
                          <a:prstGeom prst="straightConnector1">
                            <a:avLst/>
                          </a:prstGeom>
                          <a:ln w="19050">
                            <a:solidFill>
                              <a:srgbClr val="404040"/>
                            </a:solidFill>
                            <a:tailEnd type="triangle" w="med" len="med"/>
                          </a:ln>
                        </wps:spPr>
                        <wps:bodyPr/>
                      </wps:wsp>
                      <wps:wsp>
                        <wps:cNvPr id="11"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Xususiy</w:t>
                              </w:r>
                            </w:p>
                            <w:p>
                              <w:pPr>
                                <w:spacing w:before="0" w:after="0" w:line="228" w:lineRule="auto"/>
                                <w:jc w:val="center"/>
                                <w:ind w:firstLine="0"/>
                              </w:pPr>
                              <w:r>
                                <w:rPr>
                                  <w:rFonts w:ascii="Times New Roman" w:hAnsi="Times New Roman" w:cs="Times New Roman"/>
                                  <w:b/>
                                  <w:color w:val="FFFFFF"/>
                                  <w:sz w:val="22"/>
                                  <w:szCs w:val="22"/>
                                </w:rPr>
                                <w:t xml:space="preserve">kapital</w:t>
                              </w:r>
                            </w:p>
                          </w:txbxContent>
                        </wps:txbx>
                        <wps:bodyPr rot="0" vert="horz" wrap="square" lIns="36000" tIns="18000" rIns="36000" bIns="18000" anchor="ctr" anchorCtr="0">
                          <a:noAutofit/>
                        </wps:bodyPr>
                      </wps:wsp>
                      <wps:wsp>
                        <wps:cNvPr id="12"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Taqsimlanmagan</w:t>
                              </w:r>
                            </w:p>
                            <w:p>
                              <w:pPr>
                                <w:spacing w:before="0" w:after="0" w:line="228" w:lineRule="auto"/>
                                <w:jc w:val="center"/>
                                <w:ind w:firstLine="0"/>
                              </w:pPr>
                              <w:r>
                                <w:rPr>
                                  <w:rFonts w:ascii="Times New Roman" w:hAnsi="Times New Roman" w:cs="Times New Roman"/>
                                  <w:color w:val="000000"/>
                                  <w:sz w:val="20"/>
                                  <w:szCs w:val="20"/>
                                </w:rPr>
                                <w:t xml:space="preserve">foyda</w:t>
                              </w:r>
                            </w:p>
                          </w:txbxContent>
                        </wps:txbx>
                        <wps:bodyPr rot="0" vert="horz" wrap="square" lIns="36000" tIns="18000" rIns="36000" bIns="18000" anchor="ctr" anchorCtr="0">
                          <a:noAutofit/>
                        </wps:bodyPr>
                      </wps:wsp>
                      <wps:wsp>
                        <wps:cNvPr id="13" name="Connector 13"/>
                        <wps:cNvCnPr/>
                        <wps:spPr>
                          <a:xfrm>
                            <a:off x="4723200" y="378000"/>
                            <a:ext cx="201600" cy="0"/>
                          </a:xfrm>
                          <a:prstGeom prst="straightConnector1">
                            <a:avLst/>
                          </a:prstGeom>
                          <a:ln w="19050">
                            <a:solidFill>
                              <a:srgbClr val="404040"/>
                            </a:solidFill>
                            <a:tailEnd type="triangle" w="med" len="med"/>
                          </a:ln>
                        </wps:spPr>
                        <wps:bodyPr/>
                      </wps:wsp>
                      <wps:wsp>
                        <wps:cNvPr id="14"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Kapital</w:t>
                              </w:r>
                            </w:p>
                            <w:p>
                              <w:pPr>
                                <w:spacing w:before="0" w:after="0" w:line="228" w:lineRule="auto"/>
                                <w:jc w:val="center"/>
                                <w:ind w:firstLine="0"/>
                              </w:pPr>
                              <w:r>
                                <w:rPr>
                                  <w:rFonts w:ascii="Times New Roman" w:hAnsi="Times New Roman" w:cs="Times New Roman"/>
                                  <w:b/>
                                  <w:color w:val="FFFFFF"/>
                                  <w:sz w:val="22"/>
                                  <w:szCs w:val="22"/>
                                </w:rPr>
                                <w:t xml:space="preserve">monandligi va</w:t>
                              </w:r>
                            </w:p>
                            <w:p>
                              <w:pPr>
                                <w:spacing w:before="0" w:after="0" w:line="228" w:lineRule="auto"/>
                                <w:jc w:val="center"/>
                                <w:ind w:firstLine="0"/>
                              </w:pPr>
                              <w:r>
                                <w:rPr>
                                  <w:rFonts w:ascii="Times New Roman" w:hAnsi="Times New Roman" w:cs="Times New Roman"/>
                                  <w:b/>
                                  <w:color w:val="FFFFFF"/>
                                  <w:sz w:val="22"/>
                                  <w:szCs w:val="22"/>
                                </w:rPr>
                                <w:t xml:space="preserve">NSFR</w:t>
                              </w:r>
                            </w:p>
                          </w:txbxContent>
                        </wps:txbx>
                        <wps:bodyPr rot="0" vert="horz" wrap="square" lIns="36000" tIns="18000" rIns="36000" bIns="18000" anchor="ctr" anchorCtr="0">
                          <a:noAutofit/>
                        </wps:bodyPr>
                      </wps:wsp>
                      <wps:wsp>
                        <wps:cNvPr id="15"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Regulyativ</w:t>
                              </w:r>
                            </w:p>
                            <w:p>
                              <w:pPr>
                                <w:spacing w:before="0" w:after="0" w:line="228" w:lineRule="auto"/>
                                <w:jc w:val="center"/>
                                <w:ind w:firstLine="0"/>
                              </w:pPr>
                              <w:r>
                                <w:rPr>
                                  <w:rFonts w:ascii="Times New Roman" w:hAnsi="Times New Roman" w:cs="Times New Roman"/>
                                  <w:color w:val="000000"/>
                                  <w:sz w:val="20"/>
                                  <w:szCs w:val="20"/>
                                </w:rPr>
                                <w:t xml:space="preserve">ko‘rsatkichlar</w:t>
                              </w:r>
                            </w:p>
                          </w:txbxContent>
                        </wps:txbx>
                        <wps:bodyPr rot="0" vert="horz" wrap="square" lIns="36000" tIns="18000" rIns="36000" bIns="18000" anchor="ctr" anchorCtr="0">
                          <a:noAutofit/>
                        </wps:bodyPr>
                      </wps:wsp>
                      <wps:wsp>
                        <wps:cNvPr id="16" name="Connector 16"/>
                        <wps:cNvCnPr/>
                        <wps:spPr>
                          <a:xfrm>
                            <a:off x="108000" y="1440000"/>
                            <a:ext cx="5868000" cy="0"/>
                          </a:xfrm>
                          <a:prstGeom prst="straightConnector1">
                            <a:avLst/>
                          </a:prstGeom>
                          <a:ln w="28575">
                            <a:solidFill>
                              <a:srgbClr val="C00000"/>
                            </a:solidFill>
                            <a:tailEnd type="triangle" w="med" len="med"/>
                          </a:ln>
                        </wps:spPr>
                        <wps:bodyPr/>
                      </wps:wsp>
                      <wps:wsp>
                        <wps:cNvPr id="17"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barobar</w:t>
                              </w:r>
                            </w:p>
                          </w:txbxContent>
                        </wps:txbx>
                        <wps:bodyPr rot="0" vert="horz" wrap="square" lIns="36000" tIns="18000" rIns="36000" bIns="18000" anchor="ctr" anchorCtr="0">
                          <a:noAutofit/>
                        </wps:bodyPr>
                      </wps:wsp>
                      <wps:wsp>
                        <wps:cNvPr id="1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10–20 foiz</w:t>
                              </w:r>
                            </w:p>
                          </w:txbxContent>
                        </wps:txbx>
                        <wps:bodyPr rot="0" vert="horz" wrap="square" lIns="36000" tIns="18000" rIns="36000" bIns="18000" anchor="ctr" anchorCtr="0">
                          <a:noAutofit/>
                        </wps:bodyPr>
                      </wps:wsp>
                      <wps:wsp>
                        <wps:cNvPr id="19"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foiz punkt</w:t>
                              </w:r>
                            </w:p>
                          </w:txbxContent>
                        </wps:txbx>
                        <wps:bodyPr rot="0" vert="horz" wrap="square" lIns="36000" tIns="18000" rIns="36000" bIns="18000" anchor="ctr" anchorCtr="0">
                          <a:noAutofit/>
                        </wps:bodyPr>
                      </wps:wsp>
                      <wps:wsp>
                        <wps:cNvPr id="20" name="Shape 20"/>
                        <wps:cNvSpPr/>
                        <wps:spPr>
                          <a:xfrm>
                            <a:off x="36000" y="1908000"/>
                            <a:ext cx="5940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2.3.1-rasm. Milliy hisobot va MHXS ko‘rsatkichlari o‘rtasidagi tafovutning shakllanish mexanizmi</w:t>
      </w:r>
      <w:r>
        <w:rPr>
          <w:rStyle w:val="FootnoteReference"/>
        </w:rPr>
        <w:footnoteReference w:id="3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FootnoteReference"/>
        </w:rPr>
        <w:footnoteReference w:id="33"/>
      </w:r>
      <w:r>
        <w:rPr>
          <w:rStyle w:val="FootnoteReference"/>
        </w:rPr>
        <w:footnoteReference w:id="3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xalqaro auditorlik tashkilotlari tomonidan tasdiqlangan MHXS bo‘yicha moliyaviy hisobotlari bilan solishtirildi. Solishtirish uchun ikki ko‘rsatkich qo‘llandi. Birinchisi – nisbiy tafovut koeffitsiyenti, ya’ni MHXS bo‘yicha ko‘rsatkichning milliy hisobotdagi ko‘rsatkichdan farqining milliy ko‘rsatkichga nisbati: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taf</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100%,</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ykr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MHXS 9 bo‘yicha 3-bosqich kreditlari,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milliy tasnif bo‘yicha muammoli kreditlar,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1–5 foizdan oshmaydi va tahlil xulosalariga sezilarli ta’sir qilmaydi.</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bo‘yicha solishtirish natijalari 2.3.2-jadvalda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ning asosiy ko‘rsatkichlari: milliy hisobot va MHXS, 2021–2025-yillar</w:t>
      </w:r>
      <w:r>
        <w:rPr>
          <w:rStyle w:val="FootnoteReference"/>
        </w:rPr>
        <w:footnoteReference w:id="3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56 511,3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64 263,8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74 634,4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87 597,0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102 438,7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55 731,9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63 189,3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73 293,3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84 800,2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97 184,4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7 700,9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7 828,1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8 728,4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10 025,4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11 875,2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6 944,8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7 581,2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8 439,9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9 352,8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10 273,8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1 228,3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588,9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1 303,2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1 880,1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1 543,8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 zaxiralari / kreditlar,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 / 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 / 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 / 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(milliy) / 2-bosqich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 / 20,4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 / 14,7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 / 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 / 27,1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 / 35,7</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milliy kredit zaxiralari – kreditlar bo‘yicha maxsus zaxiralar va standart kreditlar bo‘yicha zaxiralar yig‘indisi; 2022-yil uchun MHXS ma’lumotlari 2023-yil hisobotidagi qayta hisoblangan qiymatlar, 2024-yil uchun 2025-yil hisobotidagi qiyosiy ma’lumotlar olindi.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tahlil davrining barcha yillarida MHXS bo‘yicha xususiy kapital milliy hisobotdagidan kam bo‘lgan, tafovut esa 2022–2023-yillardagi 3,2–3,3 foizdan 2025-yilda 13,5 foizgacha, ya’ni to‘rt barobar kengaygan. Sof foyda bo‘yicha tafovut bir yo‘nalishli emas: 2022-yilda MHXS bo‘yicha foyda milliy hisobotdagidan 7,6 foiz ko‘p, qolgan yillarda esa 6,1–30,2 foiz kam bo‘lgan. Besh yil davomida bank milliy hisobot bo‘yicha jami 5 912,2 mlrd so‘m, MHXS bo‘yicha esa 5 005,7 mlrd so‘m sof foyda olgan, boshqacha aytganda, milliy hisobot bank daromadliligini besh yillik yig‘indida 906,5 mlrd so‘mga yoki 18,1 foizga oshirib ko‘rsatgan (2.3.2-rasm).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2" name="2.3.2-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2.3.2-rasm. «O‘zsanoatqurilishbank» ATB ning sof foydasi: milliy hisobot va MHXS, mlrd so‘m</w:t>
      </w:r>
      <w:r>
        <w:rPr>
          <w:rStyle w:val="FootnoteReference"/>
        </w:rPr>
        <w:footnoteReference w:id="3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FootnoteReference"/>
        </w:rPr>
        <w:footnoteReference w:id="37"/>
      </w:r>
      <w:r>
        <w:rPr>
          <w:rStyle w:val="FootnoteReference"/>
        </w:rPr>
        <w:footnoteReference w:id="38"/>
      </w:r>
      <w:r>
        <w:rPr>
          <w:rFonts w:ascii="Times New Roman" w:hAnsi="Times New Roman" w:cs="Times New Roman" w:eastAsia="Times New Roman"/>
          <w:sz w:val="28"/>
        </w:rPr>
        <w:t xml:space="preserve">.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FootnoteReference"/>
        </w:rPr>
        <w:footnoteReference w:id="39"/>
      </w:r>
      <w:r>
        <w:rPr>
          <w:rFonts w:ascii="Times New Roman" w:hAnsi="Times New Roman" w:cs="Times New Roman" w:eastAsia="Times New Roman"/>
          <w:sz w:val="28"/>
        </w:rPr>
        <w:t xml:space="preserve">. Bu raqamlar davlat dasturlari doirasidagi imtiyozli operatsiyalarning haqiqiy iqtisodiy qiymati faqat MHXS hisobotida aks etishini ko‘rsatadi.</w:t>
      </w:r>
    </w:p>
    <w:p>
      <w:pPr>
        <w:pStyle w:val="BodyText"/>
        <w:spacing w:line="360" w:lineRule="auto" w:before="0" w:after="0"/>
        <w:ind w:firstLine="709"/>
        <w:jc w:val="both"/>
      </w:pPr>
      <w:r>
        <w:rPr>
          <w:rFonts w:ascii="Times New Roman" w:hAnsi="Times New Roman" w:cs="Times New Roman" w:eastAsia="Times New Roman"/>
          <w:sz w:val="28"/>
        </w:rPr>
        <w:t xml:space="preserve">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2.3.3-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2.3.3-rasm. «O‘zsanoatqurilishbank» ATB da kredit zaxiralarining jami kreditlarga nisbati: milliy hisobot va MHXS, %</w:t>
      </w:r>
      <w:r>
        <w:rPr>
          <w:rStyle w:val="FootnoteReference"/>
        </w:rPr>
        <w:footnoteReference w:id="40"/>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pPr>
        <w:pStyle w:val="BodyText"/>
        <w:spacing w:line="360" w:lineRule="auto" w:before="0" w:after="0"/>
        <w:ind w:firstLine="709"/>
        <w:jc w:val="both"/>
      </w:pPr>
      <w:r>
        <w:rPr>
          <w:rFonts w:ascii="Times New Roman" w:hAnsi="Times New Roman" w:cs="Times New Roman" w:eastAsia="Times New Roman"/>
          <w:sz w:val="28"/>
        </w:rPr>
        <w:t xml:space="preserve">Ikki tasniflash tizimi o‘rtasidagi farqning mazmunini bankning 2025-yil uchun MHXS hisobotida oshkor qilingan kesishma jadval aniq ko‘rsatadi. Unda har bir MHXS 9 bosqichidagi kreditlar Markaziy bank tasnifi bo‘yicha qaysi toifaga kiritilgani ko‘rsatilgan</w:t>
      </w:r>
      <w:r>
        <w:rPr>
          <w:rStyle w:val="FootnoteReference"/>
        </w:rPr>
        <w:footnoteReference w:id="41"/>
      </w:r>
      <w:r>
        <w:rPr>
          <w:rFonts w:ascii="Times New Roman" w:hAnsi="Times New Roman" w:cs="Times New Roman" w:eastAsia="Times New Roman"/>
          <w:sz w:val="28"/>
        </w:rPr>
        <w:t xml:space="preserve">. Ushbu jadval ma’lumotlari asosida 3-bosqich kreditlarining milliy tasnif bo‘yicha tarkibi aniqlandi (2.3.4-rasm).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4" name="2.3.4-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2.3.4-rasm. «O‘zsanoatqurilishbank» ATB da MHXS 9 bo‘yicha 3-bosqich kreditlarining milliy tasnif toifalari bo‘yicha tarkibi, mlrd so‘m</w:t>
      </w:r>
      <w:r>
        <w:rPr>
          <w:rStyle w:val="FootnoteReference"/>
        </w:rPr>
        <w:footnoteReference w:id="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FootnoteReference"/>
        </w:rPr>
        <w:footnoteReference w:id="43"/>
      </w:r>
      <w:r>
        <w:rPr>
          <w:rFonts w:ascii="Times New Roman" w:hAnsi="Times New Roman" w:cs="Times New Roman" w:eastAsia="Times New Roman"/>
          <w:sz w:val="28"/>
        </w:rPr>
        <w:t xml:space="preserve">. 2-bosqich kreditlari bo‘yicha ham manzara o‘xshash: 2025-yilda kredit riski sezilarli oshgan 25 320,4 mlrd so‘mlik kreditlarning 51,2 foizi milliy tasnifda «standart» kreditlar hisoblangan.</w:t>
      </w:r>
    </w:p>
    <w:p>
      <w:pPr>
        <w:pStyle w:val="BodyText"/>
        <w:spacing w:line="360" w:lineRule="auto" w:before="0" w:after="0"/>
        <w:ind w:firstLine="709"/>
        <w:jc w:val="both"/>
      </w:pPr>
      <w:r>
        <w:rPr>
          <w:rFonts w:ascii="Times New Roman" w:hAnsi="Times New Roman" w:cs="Times New Roman" w:eastAsia="Times New Roman"/>
          <w:sz w:val="28"/>
        </w:rP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5" name="2.3.5-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2.3.5-rasm. «O‘zsanoatqurilishbank» ATB va «Mikrokreditbank» ATB da yashirin kredit riski koeffitsiyenti</w:t>
      </w:r>
      <w:r>
        <w:rPr>
          <w:rStyle w:val="FootnoteReference"/>
        </w:rPr>
        <w:footnoteReference w:id="4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FootnoteReference"/>
        </w:rPr>
        <w:footnoteReference w:id="45"/>
      </w:r>
      <w:r>
        <w:rPr>
          <w:rFonts w:ascii="Times New Roman" w:hAnsi="Times New Roman" w:cs="Times New Roman" w:eastAsia="Times New Roman"/>
          <w:sz w:val="28"/>
        </w:rP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pPr>
        <w:pStyle w:val="BodyText"/>
        <w:spacing w:line="360" w:lineRule="auto" w:before="0" w:after="0"/>
        <w:ind w:firstLine="709"/>
        <w:jc w:val="both"/>
      </w:pPr>
      <w:r>
        <w:rPr>
          <w:rFonts w:ascii="Times New Roman" w:hAnsi="Times New Roman" w:cs="Times New Roman" w:eastAsia="Times New Roman"/>
          <w:sz w:val="28"/>
        </w:rPr>
        <w:t xml:space="preserve">«Mikrokreditbank» ATB bo‘yicha solishtirish natijalari esa tafovutning yana bir jihatini – zararlarni tan olish vaqtidagi farqni ochib beradi (2.3.3-jadval).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«Mikrokreditbank» ATB ning asosiy ko‘rsatkichlari: milliy hisobot va MHXS, 2021–2025-yillar</w:t>
      </w:r>
      <w:r>
        <w:rPr>
          <w:rStyle w:val="FootnoteReference"/>
        </w:rPr>
        <w:footnoteReference w:id="4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13 483,4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16 782,5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19 061,5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23 542,5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30 728,8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12 802,3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16 521,3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18 244,1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23 851,4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30 969,3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2 321,1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3 643,9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3 933,6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3 550,6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5 739,2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2 291,6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3 650,9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3 578,1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4 101,3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6 270,8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(zarar),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−1 703,8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−961,3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 / 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 / 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 / 16,6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 / 15,2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 / 12,3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Yashirin kredit riski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«Mikrokreditbank» ATB da ikki hisobot o‘rtasidagi munosabat «O‘zsanoatqurilishbank» ATB dagidan farq qilishini ko‘rsatadi. Bu bankda besh yillik jami moliyaviy natija ikki hisobotda deyarli bir xil: milliy hisobot bo‘yicha 1 429,2 mlrd so‘m, MHXS bo‘yicha 1 374,9 mlrd so‘m zarar. Ammo zararning yillar bo‘yicha taqsimlanishi tubdan farq qiladi. MHXS bo‘yicha bank 2023-yildayoq 471,2 mlrd so‘m zarar ko‘rgan, bunga kredit zararlari bo‘yicha 470,4 mlrd so‘m zaxira ajratilishi sabab bo‘lgan</w:t>
      </w:r>
      <w:r>
        <w:rPr>
          <w:rStyle w:val="FootnoteReference"/>
        </w:rPr>
        <w:footnoteReference w:id="47"/>
      </w:r>
      <w:r>
        <w:rPr>
          <w:rFonts w:ascii="Times New Roman" w:hAnsi="Times New Roman" w:cs="Times New Roman" w:eastAsia="Times New Roman"/>
          <w:sz w:val="28"/>
        </w:rPr>
        <w:t xml:space="preserve">, milliy hisobotda esa shu yili 41,1 mlrd so‘m foyda ko‘rsatilgan. 2024-yilda esa milliy hisobotda 1 703,8 mlrd so‘m zarar bir yo‘la tan olingan, MHXS bo‘yicha zarar 961,3 mlrd so‘mni tashkil etgan (2.3.6-rasm).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6" name="2.3.6-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2.3.6-rasm. «Mikrokreditbank» ATB ning sof foydasi (zarari): milliy hisobot va MHXS, mlrd so‘m</w:t>
      </w:r>
      <w:r>
        <w:rPr>
          <w:rStyle w:val="FootnoteReference"/>
        </w:rPr>
        <w:footnoteReference w:id="48"/>
      </w:r>
    </w:p>
    <w:p>
      <w:pPr>
        <w:pStyle w:val="BodyText"/>
        <w:spacing w:line="360" w:lineRule="auto" w:before="0" w:after="0"/>
        <w:ind w:firstLine="709"/>
        <w:jc w:val="both"/>
      </w:pPr>
      <w:r>
        <w:rPr>
          <w:rFonts w:ascii="Times New Roman" w:hAnsi="Times New Roman" w:cs="Times New Roman" w:eastAsia="Times New Roman"/>
          <w:sz w:val="28"/>
        </w:rP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Boshqacha aytganda, milliy hisobot asosidagi baholash 2023-yil yakunida bankning kapitali va daromadliligi bo‘yicha xavfsiz signal bergan, holbuki MHXS hisobotida muammo allaqachon namoyon bo‘lgan edi. Bu holat 1.2-paragrafda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pPr>
        <w:pStyle w:val="BodyText"/>
        <w:spacing w:line="360" w:lineRule="auto" w:before="0" w:after="0"/>
        <w:ind w:firstLine="709"/>
        <w:jc w:val="both"/>
      </w:pPr>
      <w:r>
        <w:rPr>
          <w:rFonts w:ascii="Times New Roman" w:hAnsi="Times New Roman" w:cs="Times New Roman" w:eastAsia="Times New Roman"/>
          <w:sz w:val="28"/>
        </w:rPr>
        <w:t xml:space="preserve">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tafovutni aniqlashda MHXS va milliy hisobot o‘rtasidagi xususiy kapital farqi birinchi darajali asosiy kapitaldan chegirildi va risk bo‘yicha tortilgan aktivlar o‘zgarmagan deb qabul qilindi. Sof barqaror moliyalashtirish me’yori esa ikki metodika – Markaziy bank va Bazel III metodikasi hamda ikki hisobot turi bo‘yicha to‘rt variantda hisoblandi</w:t>
      </w:r>
      <w:r>
        <w:rPr>
          <w:rStyle w:val="FootnoteReference"/>
        </w:rPr>
        <w:footnoteReference w:id="49"/>
      </w:r>
      <w:r>
        <w:rPr>
          <w:rStyle w:val="FootnoteReference"/>
        </w:rPr>
        <w:footnoteReference w:id="50"/>
      </w:r>
      <w:r>
        <w:rPr>
          <w:rFonts w:ascii="Times New Roman" w:hAnsi="Times New Roman" w:cs="Times New Roman" w:eastAsia="Times New Roman"/>
          <w:sz w:val="28"/>
        </w:rPr>
        <w:t xml:space="preserve">. Likvidlikni qoplash koeffitsiyenti uchun esa milliy amaliyotda yuqori likvid aktivlarga kiritiladigan, ammo Bazel III da bunday aktiv hisoblanmaydigan boshqa banklardagi mablag‘lar alohida ajratildi</w:t>
      </w:r>
      <w:r>
        <w:rPr>
          <w:rStyle w:val="FootnoteReference"/>
        </w:rPr>
        <w:footnoteReference w:id="51"/>
      </w:r>
      <w:r>
        <w:rPr>
          <w:rFonts w:ascii="Times New Roman" w:hAnsi="Times New Roman" w:cs="Times New Roman" w:eastAsia="Times New Roman"/>
          <w:sz w:val="28"/>
        </w:rPr>
        <w:t xml:space="preserve">. Hisob-kitob natijalari 2.3.4-jadvalda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moliyaviy barqarorlik ko‘rsatkichlarining milliy va xalqaro yondashuv bo‘yicha tafovuti, 2025-yil yakuni</w:t>
      </w:r>
      <w:r>
        <w:rPr>
          <w:rStyle w:val="FootnoteReference"/>
        </w:rPr>
        <w:footnoteReference w:id="5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2835"/>
        <w:gridCol w:w="1587"/>
        <w:gridCol w:w="1587"/>
        <w:gridCol w:w="181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hisobot va metodika</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va Bazel III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Tafovut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(3-bosqich)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2,53</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7,48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+4,95 p.p. (2,96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Substandart kreditlar (2-bosqich)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18,44</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35,66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+17,22 p.p. (1,93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Kredit zaxiralari,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2 947,5</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4 250,9</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+44,2%</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foyda,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1 880,1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1 543,8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Xususiy kapital,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11 875,2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10 273,8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 8,5</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 15,3</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barqaror moliyalashtirish me’yori,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+2,6 p.p. (metodika +5,4; hisobot −2,8)</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Banklardagi mablag‘larning yuqori likvid aktivlardagi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30,9</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Bazel III bo‘yicha yuqori likvid aktiv emas</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birinchi darajali asosiy kapital monandligi 8 foizlik minimal talabga yaqinlashadi. Likvidlik blokida esa umumiy tafovut kichik, chunki metodika va hisobot standarti ta’siri qarama-qarshi yo‘nalishda bo‘lib, bir-birini qisman qoplaydi: Bazel III koeffitsiyentlari me’yorni 5,4 foiz punktga oshiradi, MHXS tuzatishlari esa 2,8 foiz punktga pasaytiradi. Ammo likvidlikni qoplash koeffitsiyenti tarkibida xalqaro standart bo‘yicha yuqori likvid aktiv hisoblanmaydigan mablag‘lar ulushi 30,9 foizni tashkil etadi, demak, bu blokda ham yashirin risk mavjud. Tafovutning nisbiy ko‘lamini taqqoslash uchun asosiy ko‘rsatkichlar bo‘yicha nisbiy tafovut koeffitsiyenti hisoblandi (2.3.7-rasm).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7" name="2.3.7-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2.3.7-rasm. «O‘zsanoatqurilishbank» ATB ko‘rsatkichlarining milliy va xalqaro yondashuv bo‘yicha nisbiy tafovuti, 2025-yil, %</w:t>
      </w:r>
      <w:r>
        <w:rPr>
          <w:rStyle w:val="FootnoteReference"/>
        </w:rPr>
        <w:footnoteReference w:id="53"/>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nisbiy tafovut koeffitsiyenti muammoli kreditlar ulushi bo‘yicha +195,7 foizni, kredit zaxiralari bo‘yicha +44,2 foizni tashkil etgan bo‘lsa, sof foyda, birinchi darajali asosiy kapital monandligi va xususiy kapital bo‘yicha −13,5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FootnoteReference"/>
        </w:rPr>
        <w:footnoteReference w:id="54"/>
      </w:r>
      <w:r>
        <w:rPr>
          <w:rFonts w:ascii="Times New Roman" w:hAnsi="Times New Roman" w:cs="Times New Roman" w:eastAsia="Times New Roman"/>
          <w:sz w:val="28"/>
        </w:rPr>
        <w:t xml:space="preserve">, Markaziy bank tomonidan qabul qilingan «yo‘l xaritasi»da esa aktivlar tasnifi va zaxiralarni MHXS 9 ga moslashtirish ishlari belgilangan</w:t>
      </w:r>
      <w:r>
        <w:rPr>
          <w:rStyle w:val="FootnoteReference"/>
        </w:rPr>
        <w:footnoteReference w:id="55"/>
      </w:r>
      <w:r>
        <w:rPr>
          <w:rFonts w:ascii="Times New Roman" w:hAnsi="Times New Roman" w:cs="Times New Roman" w:eastAsia="Times New Roman"/>
          <w:sz w:val="28"/>
        </w:rP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ko‘rsatkichlarining milliy va MHXS hisobotlari bo‘yicha qiyosiy tahlili asosida xulosa qilish mumkinki, O‘zbekiston banklarida ikki hisobot o‘rtasidagi tafovut muntazam xususiyatga ega bo‘lib, uning asosiy manbai kreditlarni tasniflash va zaxira shakllantirish qoidalaridagi farqdir. «O‘zsanoatqurilishbank» ATB da MHXS bo‘yicha kapital milliy hisobotdagidan 3,2–13,5 foiz kam, besh yillik jami sof foyda 15,3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bookmarkEnd w:id="56"/>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O‘zbekiston Respublikasi Prezidentining 2020-yil 24-fevraldagi PQ-4611-son «Moliyaviy hisobotning xalqaro standartlariga o‘tish bo‘yicha qo‘shimcha chora-tadbirlar to‘g‘risida»gi qarori // Qonunchilik ma’lumotlari milliy bazasi, 25.02.2020-y.</w:t>
      </w:r>
    </w:p>
  </w:footnote>
  <w:footnote w:id="21">
    <w:p>
      <w:pPr>
        <w:pStyle w:val="FootnoteText"/>
      </w:pPr>
      <w:r>
        <w:rPr>
          <w:rStyle w:val="FootnoteReference"/>
        </w:rPr>
        <w:footnoteRef/>
      </w:r>
      <w:r>
        <w:t xml:space="preserve"> </w:t>
      </w:r>
      <w:r>
        <w:t xml:space="preserve">O‘zbekiston Respublikasining 2019-yil 5-noyabrdagi O‘RQ-580-son «Banklar va bank faoliyati to‘g‘risida»gi Qonuni // Qonunchilik ma’lumotlari milliy bazasi, 06.11.2019-y.</w:t>
      </w:r>
    </w:p>
  </w:footnote>
  <w:footnote w:id="22">
    <w:p>
      <w:pPr>
        <w:pStyle w:val="FootnoteText"/>
      </w:pPr>
      <w:r>
        <w:rPr>
          <w:rStyle w:val="FootnoteReference"/>
        </w:rPr>
        <w:footnoteRef/>
      </w:r>
      <w:r>
        <w:t xml:space="preserve"> </w:t>
      </w:r>
      <w:r>
        <w:t xml:space="preserve">Basel Committee on Banking Supervision. Regulatory treatment of accounting provisions – interim approach and transitional arrangements. – Basel: Bank for International Settlements, March 2017.</w:t>
      </w:r>
    </w:p>
  </w:footnote>
  <w:footnote w:id="23">
    <w:p>
      <w:pPr>
        <w:pStyle w:val="FootnoteText"/>
      </w:pPr>
      <w:r>
        <w:rPr>
          <w:rStyle w:val="FootnoteReference"/>
        </w:rPr>
        <w:footnoteRef/>
      </w:r>
      <w:r>
        <w:t xml:space="preserve"> </w:t>
      </w:r>
      <w:r>
        <w:t xml:space="preserve">Basel Committee on Banking Supervision. Guidance on credit risk and accounting for expected credit losses. – Basel: Bank for International Settlements, December 2015.</w:t>
      </w:r>
    </w:p>
  </w:footnote>
  <w:footnote w:id="24">
    <w:p>
      <w:pPr>
        <w:pStyle w:val="FootnoteText"/>
      </w:pPr>
      <w:r>
        <w:rPr>
          <w:rStyle w:val="FootnoteReference"/>
        </w:rPr>
        <w:footnoteRef/>
      </w:r>
      <w:r>
        <w:t xml:space="preserve"> </w:t>
      </w:r>
      <w:r>
        <w:t xml:space="preserve">Huizinga H., Laeven L. Bank valuation and accounting discretion during a financial crisis // Journal of Financial Economics. – 2012. – Vol. 106, No. 3. – P. 614–634.</w:t>
      </w:r>
    </w:p>
  </w:footnote>
  <w:footnote w:id="25">
    <w:p>
      <w:pPr>
        <w:pStyle w:val="FootnoteText"/>
      </w:pPr>
      <w:r>
        <w:rPr>
          <w:rStyle w:val="FootnoteReference"/>
        </w:rPr>
        <w:footnoteRef/>
      </w:r>
      <w:r>
        <w:t xml:space="preserve"> </w:t>
      </w:r>
      <w:r>
        <w:t xml:space="preserve">Bholat D., Lastra R.M., Markose S.M., Miglionico A., Sen K. Non-performing loans at the dawn of IFRS 9: regulatory and accounting treatment of asset quality // Journal of Banking Regulation. – 2018. – Vol. 19, No. 1. – P. 33–54.</w:t>
      </w:r>
    </w:p>
  </w:footnote>
  <w:footnote w:id="26">
    <w:p>
      <w:pPr>
        <w:pStyle w:val="FootnoteText"/>
      </w:pPr>
      <w:r>
        <w:rPr>
          <w:rStyle w:val="FootnoteReference"/>
        </w:rPr>
        <w:footnoteRef/>
      </w:r>
      <w:r>
        <w:t xml:space="preserve"> </w:t>
      </w:r>
      <w:r>
        <w:t xml:space="preserve">Abad J., Suarez J. Assessing the cyclical implications of IFRS 9 – a recursive model // European Systemic Risk Board Occasional Paper Series. – 2017. – No. 12. – 48 p.</w:t>
      </w:r>
    </w:p>
  </w:footnote>
  <w:footnote w:id="27">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28">
    <w:p>
      <w:pPr>
        <w:pStyle w:val="FootnoteText"/>
      </w:pPr>
      <w:r>
        <w:rPr>
          <w:rStyle w:val="FootnoteReference"/>
        </w:rPr>
        <w:footnoteRef/>
      </w:r>
      <w:r>
        <w:t xml:space="preserve"> </w:t>
      </w:r>
      <w:r>
        <w:t xml:space="preserve">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29">
    <w:p>
      <w:pPr>
        <w:pStyle w:val="FootnoteText"/>
      </w:pPr>
      <w:r>
        <w:rPr>
          <w:rStyle w:val="FootnoteReference"/>
        </w:rPr>
        <w:footnoteRef/>
      </w:r>
      <w:r>
        <w:t xml:space="preserve"> </w:t>
      </w:r>
      <w:r>
        <w:t xml:space="preserve">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30">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
    <w:p>
      <w:pPr>
        <w:pStyle w:val="FootnoteText"/>
      </w:pPr>
      <w:r>
        <w:rPr>
          <w:rStyle w:val="FootnoteReference"/>
        </w:rPr>
        <w:footnoteRef/>
      </w:r>
      <w:r>
        <w:t xml:space="preserve"> </w:t>
      </w:r>
      <w:r>
        <w:t xml:space="preserve">IFRS 9 Financial Instruments. – London: International Accounting Standards Board, 2014.</w:t>
      </w:r>
    </w:p>
  </w:footnote>
  <w:footnote w:id="32">
    <w:p>
      <w:pPr>
        <w:pStyle w:val="FootnoteText"/>
      </w:pPr>
      <w:r>
        <w:rPr>
          <w:rStyle w:val="FootnoteReference"/>
        </w:rPr>
        <w:footnoteRef/>
      </w:r>
      <w:r>
        <w:t xml:space="preserve"> </w:t>
      </w:r>
      <w:r>
        <w:t xml:space="preserve">Tadqiqot natijasida muallif tomonidan ishlab chiqildi.</w:t>
      </w:r>
    </w:p>
  </w:footnote>
  <w:footnote w:id="33">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5">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w:t>
      </w:r>
    </w:p>
  </w:footnote>
  <w:footnote w:id="36">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37">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8">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9">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4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w:t>
      </w:r>
    </w:p>
  </w:footnote>
  <w:footnote w:id="41">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37–38.</w:t>
      </w:r>
    </w:p>
  </w:footnote>
  <w:footnote w:id="42">
    <w:p>
      <w:pPr>
        <w:pStyle w:val="FootnoteText"/>
      </w:pPr>
      <w:r>
        <w:rPr>
          <w:rStyle w:val="FootnoteReference"/>
        </w:rPr>
        <w:footnoteRef/>
      </w:r>
      <w:r>
        <w:t xml:space="preserve"> </w:t>
      </w:r>
      <w:r>
        <w:t xml:space="preserve">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4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w:t>
      </w:r>
    </w:p>
  </w:footnote>
  <w:footnote w:id="44">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45">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46">
    <w:p>
      <w:pPr>
        <w:pStyle w:val="FootnoteText"/>
      </w:pPr>
      <w:r>
        <w:rPr>
          <w:rStyle w:val="FootnoteReference"/>
        </w:rPr>
        <w:footnoteRef/>
      </w:r>
      <w:r>
        <w:t xml:space="preserve"> </w:t>
      </w:r>
      <w:r>
        <w:t xml:space="preserve">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47">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48">
    <w:p>
      <w:pPr>
        <w:pStyle w:val="FootnoteText"/>
      </w:pPr>
      <w:r>
        <w:rPr>
          <w:rStyle w:val="FootnoteReference"/>
        </w:rPr>
        <w:footnoteRef/>
      </w:r>
      <w:r>
        <w:t xml:space="preserve"> </w:t>
      </w:r>
      <w:r>
        <w:t xml:space="preserve">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49">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50">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51">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52">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53">
    <w:p>
      <w:pPr>
        <w:pStyle w:val="FootnoteText"/>
      </w:pPr>
      <w:r>
        <w:rPr>
          <w:rStyle w:val="FootnoteReference"/>
        </w:rPr>
        <w:footnoteRef/>
      </w:r>
      <w:r>
        <w:t xml:space="preserve"> </w:t>
      </w:r>
      <w:r>
        <w:t xml:space="preserve">Tadqiqot natijasida muallif tomonidan 2.3.4-jadval ma’lumotlari asosida ishlab chiqildi.</w:t>
      </w:r>
    </w:p>
  </w:footnote>
  <w:footnote w:id="54">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55">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chart" Target="charts/chart5.xml"/><Relationship Id="rId14" Type="http://schemas.openxmlformats.org/officeDocument/2006/relationships/chart" Target="charts/chart6.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1228.3</c:v>
                </c:pt>
                <c:pt idx="1">
                  <c:v>588.9</c:v>
                </c:pt>
                <c:pt idx="2">
                  <c:v>911.7</c:v>
                </c:pt>
                <c:pt idx="3">
                  <c:v>1303.2</c:v>
                </c:pt>
                <c:pt idx="4">
                  <c:v>1880.1</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857.0</c:v>
                </c:pt>
                <c:pt idx="1">
                  <c:v>633.7</c:v>
                </c:pt>
                <c:pt idx="2">
                  <c:v>856.2</c:v>
                </c:pt>
                <c:pt idx="3">
                  <c:v>1115.0</c:v>
                </c:pt>
                <c:pt idx="4">
                  <c:v>1543.8</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4.0</c:v>
                </c:pt>
                <c:pt idx="3">
                  <c:v>4.7</c:v>
                </c:pt>
                <c:pt idx="4">
                  <c:v>6.0</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Sheet1!$B$2:$B$3</c:f>
              <c:numCache>
                <c:formatCode>General</c:formatCode>
                <c:ptCount val="2"/>
                <c:pt idx="0">
                  <c:v>1013.3</c:v>
                </c:pt>
                <c:pt idx="1">
                  <c:v>746.4</c:v>
                </c:pt>
              </c:numCache>
            </c:numRef>
          </c:val>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Sheet1!$C$2:$C$3</c:f>
              <c:numCache>
                <c:formatCode>General</c:formatCode>
                <c:ptCount val="2"/>
                <c:pt idx="0">
                  <c:v>577.8</c:v>
                </c:pt>
                <c:pt idx="1">
                  <c:v>2290.9</c:v>
                </c:pt>
              </c:numCache>
            </c:numRef>
          </c:val>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Sheet1!$D$2:$D$3</c:f>
              <c:numCache>
                <c:formatCode>General</c:formatCode>
                <c:ptCount val="2"/>
                <c:pt idx="0">
                  <c:v>1326.1</c:v>
                </c:pt>
                <c:pt idx="1">
                  <c:v>243.9</c:v>
                </c:pt>
              </c:numCache>
            </c:numRef>
          </c:val>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Sheet1!$E$2:$E$3</c:f>
              <c:numCache>
                <c:formatCode>General</c:formatCode>
                <c:ptCount val="2"/>
                <c:pt idx="0">
                  <c:v>628.2</c:v>
                </c:pt>
                <c:pt idx="1">
                  <c:v>642.1</c:v>
                </c:pt>
              </c:numCache>
            </c:numRef>
          </c:val>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Sheet1!$F$2:$F$3</c:f>
              <c:numCache>
                <c:formatCode>General</c:formatCode>
                <c:ptCount val="2"/>
                <c:pt idx="0">
                  <c:v>540.2</c:v>
                </c:pt>
                <c:pt idx="1">
                  <c:v>1386.9</c:v>
                </c:pt>
              </c:numCache>
            </c:numRef>
          </c:val>
        </c:ser>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51.4</c:v>
                </c:pt>
                <c:pt idx="1">
                  <c:v>21.3</c:v>
                </c:pt>
                <c:pt idx="2">
                  <c:v>41.1</c:v>
                </c:pt>
                <c:pt idx="3">
                  <c:v>-1703.8</c:v>
                </c:pt>
                <c:pt idx="4">
                  <c:v>160.8</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5.1</c:v>
                </c:pt>
                <c:pt idx="1">
                  <c:v>10.4</c:v>
                </c:pt>
                <c:pt idx="2">
                  <c:v>-471.2</c:v>
                </c:pt>
                <c:pt idx="3">
                  <c:v>-961.3</c:v>
                </c:pt>
                <c:pt idx="4">
                  <c:v>42.1</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Muammoli kreditlar ulushi</c:v>
                </c:pt>
                <c:pt idx="1">
                  <c:v>Kredit zaxiralari</c:v>
                </c:pt>
                <c:pt idx="2">
                  <c:v>NSFR</c:v>
                </c:pt>
                <c:pt idx="3">
                  <c:v>Jami aktivlar</c:v>
                </c:pt>
                <c:pt idx="4">
                  <c:v>Xususiy kapital</c:v>
                </c:pt>
                <c:pt idx="5">
                  <c:v>CET1 monandligi</c:v>
                </c:pt>
                <c:pt idx="6">
                  <c:v>Sof foyda</c:v>
                </c:pt>
              </c:strCache>
            </c:strRef>
          </c:cat>
          <c:val>
            <c:numRef>
              <c:f>Sheet1!$B$2:$B$8</c:f>
              <c:numCache>
                <c:formatCode>General</c:formatCode>
                <c:ptCount val="7"/>
                <c:pt idx="0">
                  <c:v>195.7</c:v>
                </c:pt>
                <c:pt idx="1">
                  <c:v>44.2</c:v>
                </c:pt>
                <c:pt idx="2">
                  <c:v>2.1</c:v>
                </c:pt>
                <c:pt idx="3">
                  <c:v>-5.1</c:v>
                </c:pt>
                <c:pt idx="4">
                  <c:v>-13.5</c:v>
                </c:pt>
                <c:pt idx="5">
                  <c:v>-16.7</c:v>
                </c:pt>
                <c:pt idx="6">
                  <c:v>-17.9</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2026-10-11T09:09:35Z</dcterms:created>
  <dcterms:modified xsi:type="dcterms:W3CDTF">2026-10-11T09:09:35Z</dcterms:modified>
</cp:coreProperties>
</file>

<file path=docProps/custom.xml><?xml version="1.0" encoding="utf-8"?>
<Properties xmlns="http://schemas.openxmlformats.org/officeDocument/2006/custom-properties" xmlns:vt="http://schemas.openxmlformats.org/officeDocument/2006/docPropsVTypes"/>
</file>