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pPr>
      <w:r>
        <w:rPr>
          <w:sz w:val="26"/>
        </w:rPr>
        <w:t>I bob bo‘yicha xulosalar</w:t>
      </w:r>
      <w:r>
        <w:rPr>
          <w:sz w:val="26"/>
        </w:rPr>
        <w:tab/>
        <w:t>78</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81</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81</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112</w:t>
      </w:r>
    </w:p>
    <w:p w:rsidR="005603EC" w:rsidRDefault="00AB61AC">
      <w:pPr>
        <w:tabs>
          <w:tab w:val="right" w:leader="dot" w:pos="9354"/>
        </w:tabs>
        <w:spacing w:after="80" w:line="240" w:lineRule="auto"/>
        <w:ind w:left="454"/>
      </w:pPr>
      <w:r>
        <w:rPr>
          <w:sz w:val="26"/>
        </w:rPr>
        <w:t>II bob bo‘yicha xulosalar</w:t>
      </w:r>
      <w:r>
        <w:rPr>
          <w:sz w:val="26"/>
        </w:rPr>
        <w:tab/>
        <w:t>136</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139</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139</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168</w:t>
      </w:r>
    </w:p>
    <w:p w:rsidR="005603EC" w:rsidRDefault="00AB61AC">
      <w:pPr>
        <w:tabs>
          <w:tab w:val="right" w:leader="dot" w:pos="9354"/>
        </w:tabs>
        <w:spacing w:after="80" w:line="240" w:lineRule="auto"/>
        <w:ind w:left="454"/>
      </w:pPr>
      <w:r>
        <w:rPr>
          <w:sz w:val="26"/>
        </w:rPr>
        <w:t>III bob bo‘yicha xulosalar</w:t>
      </w:r>
      <w:r>
        <w:rPr>
          <w:sz w:val="26"/>
        </w:rPr>
        <w:tab/>
        <w:t>186</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189</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189</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205</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217</w:t>
      </w:r>
    </w:p>
    <w:p w:rsidR="005603EC" w:rsidRDefault="00AB61AC">
      <w:pPr>
        <w:tabs>
          <w:tab w:val="right" w:leader="dot" w:pos="9354"/>
        </w:tabs>
        <w:spacing w:after="80" w:line="240" w:lineRule="auto"/>
        <w:ind w:left="454"/>
      </w:pPr>
      <w:r>
        <w:rPr>
          <w:sz w:val="26"/>
        </w:rPr>
        <w:t>IV bob bo‘yicha xulosalar</w:t>
      </w:r>
      <w:r>
        <w:rPr>
          <w:sz w:val="26"/>
        </w:rPr>
        <w:tab/>
        <w:t>230</w:t>
      </w:r>
    </w:p>
    <w:p w:rsidR="005603EC" w:rsidRDefault="00AB61AC">
      <w:pPr>
        <w:tabs>
          <w:tab w:val="right" w:leader="dot" w:pos="9354"/>
        </w:tabs>
        <w:spacing w:after="80" w:line="240" w:lineRule="auto"/>
      </w:pPr>
      <w:r>
        <w:rPr>
          <w:b/>
          <w:sz w:val="26"/>
        </w:rPr>
        <w:t>XULOSA</w:t>
      </w:r>
      <w:r>
        <w:rPr>
          <w:b/>
          <w:sz w:val="26"/>
        </w:rPr>
        <w:tab/>
        <w:t>233</w:t>
      </w:r>
    </w:p>
    <w:p w:rsidR="005603EC" w:rsidRDefault="00AB61AC">
      <w:pPr>
        <w:tabs>
          <w:tab w:val="right" w:leader="dot" w:pos="9354"/>
        </w:tabs>
        <w:spacing w:after="80" w:line="240" w:lineRule="auto"/>
      </w:pPr>
      <w:r>
        <w:rPr>
          <w:b/>
          <w:sz w:val="26"/>
        </w:rPr>
        <w:t>FOYDALANILGAN ADABIYOTLAR RO‘YXATI</w:t>
      </w:r>
      <w:r>
        <w:rPr>
          <w:b/>
          <w:sz w:val="26"/>
        </w:rPr>
        <w:tab/>
        <w:t>238</w:t>
      </w:r>
    </w:p>
    <w:p w:rsidR="005603EC" w:rsidRDefault="00AB61AC">
      <w:pPr>
        <w:tabs>
          <w:tab w:val="right" w:leader="dot" w:pos="9354"/>
        </w:tabs>
        <w:spacing w:after="80" w:line="240" w:lineRule="auto"/>
      </w:pPr>
      <w:r>
        <w:rPr>
          <w:b/>
          <w:sz w:val="26"/>
        </w:rPr>
        <w:t>ILOVALAR</w:t>
      </w:r>
      <w:r>
        <w:rPr>
          <w:b/>
          <w:sz w:val="26"/>
        </w:rPr>
        <w:tab/>
        <w:t>258</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asosiy matni 232 betni</w:t>
      </w:r>
      <w:r>
        <w:t xml:space="preserve"> tashkil etadi, unda 60 dan ortiq jadval va rasm keltirilgan, foydalanilgan </w:t>
      </w:r>
      <w:r>
        <w:rPr>
          <w:color w:val="FF0000"/>
        </w:rPr>
        <w:t xml:space="preserve">adabiyotlar </w:t>
      </w:r>
      <w:r>
        <w:rPr>
          <w:color w:val="FF0000"/>
        </w:rPr>
        <w:t xml:space="preserve">ro‘yxati 188 ta manbani</w:t>
      </w:r>
      <w:r>
        <w:t xml:space="preserve"> o‘z ichiga oladi, </w:t>
      </w:r>
      <w:r>
        <w:rPr>
          <w:color w:val="FF0000"/>
        </w:rPr>
        <w:t>ilovalar esa 13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1.1.5-rasm. AQSh banklarida moliyaviy barqarorlik pasayishining sabablari, muammoli banklar sonidagi ulushi, %</w:t>
      </w:r>
      <w:r>
        <w:rPr>
          <w:rStyle w:val="aff8"/>
        </w:rPr>
        <w:footnoteReference w:id="83"/>
      </w:r>
    </w:p>
    <w:p w:rsidR="005603EC" w:rsidRDefault="00AB61AC">
      <w:pPr>
        <w:pStyle w:val="af"/>
        <w:spacing w:after="0" w:line="360" w:lineRule="auto"/>
        <w:ind w:firstLine="709"/>
        <w:jc w:val="both"/>
      </w:pPr>
      <w: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6"/>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0"/>
      </w:r>
      <w:r>
        <w:t>. J.M. Hendrickson ham bank inqirozining to‘rt elementi sifatida tashqi shok va optimizmni, Minskiy ta’riflagan kredit kengayishini, ishonchning yo‘qolishini va banklarning ommaviy inqiroziga o‘tishni ko‘rsatadi</w:t>
      </w:r>
      <w:r>
        <w:rPr>
          <w:rStyle w:val="aff8"/>
        </w:rPr>
        <w:footnoteReference w:id="91"/>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t xml:space="preserve">, bank faoliyatiga J.H. Boyd va S.L. Graham tomonidan </w:t>
      </w:r>
      <w:r>
        <w:lastRenderedPageBreak/>
        <w:t>tatbiq etilgan</w:t>
      </w:r>
      <w:r>
        <w:rPr>
          <w:rStyle w:val="aff8"/>
        </w:rPr>
        <w:footnoteReference w:id="96"/>
      </w:r>
      <w: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1.1.6-rasm. Z-score ko‘rsatkichiga asoslangan modelning Yevropa banklari muammolarini bashorat qilish aniqligi, %</w:t>
      </w:r>
      <w:r>
        <w:rPr>
          <w:rStyle w:val="aff8"/>
        </w:rPr>
        <w:footnoteReference w:id="97"/>
      </w:r>
    </w:p>
    <w:p w:rsidR="005603EC" w:rsidRDefault="00AB61AC">
      <w:pPr>
        <w:pStyle w:val="af"/>
        <w:spacing w:after="0" w:line="360" w:lineRule="auto"/>
        <w:ind w:firstLine="709"/>
        <w:jc w:val="both"/>
      </w:pPr>
      <w:r>
        <w:t>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aff8"/>
        </w:rPr>
        <w:footnoteReference w:id="98"/>
      </w:r>
      <w:r>
        <w:t xml:space="preserve">. Bu xulosa aksiyalar </w:t>
      </w:r>
      <w:r>
        <w:lastRenderedPageBreak/>
        <w:t>bozori rivojlanmagan O‘zbekiston sharoitida buxgalteriya ma’lumotlariga asoslangan integral baholash usullarining afzalligini asoslaydi.</w:t>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t>. Keyinchalik bu yondashuv asosida T. Adrian va M. Brunnermeier taklif etgan CoVaR kabi bozor ma’lumotlariga asoslangan tizimli risk ko‘rsatkichlari ishlab chiqildi</w:t>
      </w:r>
      <w:r>
        <w:rPr>
          <w:rStyle w:val="aff8"/>
        </w:rPr>
        <w:footnoteReference w:id="100"/>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4"/>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6"/>
      </w:r>
      <w:r>
        <w:t>. T.F. Cargill esa banklar orqali bilvosita moliyalashni G. Akerlofning “limonlar” muammosiga bozorning o‘zi topgan yechim sifatida baholaydi</w:t>
      </w:r>
      <w:r>
        <w:rPr>
          <w:rStyle w:val="aff8"/>
        </w:rPr>
        <w:footnoteReference w:id="107"/>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4"/>
      </w:r>
      <w:r>
        <w:t>, A.M. Karminskiyning ekonometrik modellarida esa kapitalning aktivlarga nisbati va kreditlar ulushi bank barqarorligiga optimal oraliq orqali ta’sir qilishi aniqlangan</w:t>
      </w:r>
      <w:r>
        <w:rPr>
          <w:rStyle w:val="aff8"/>
        </w:rPr>
        <w:footnoteReference w:id="115"/>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8"/>
      </w:r>
      <w:r>
        <w:t>. Karminskiy esa reyting sifati kutilgan va haqiqiy natijalarning mos kelishi bilan belgilanishini, ya’ni baholash metodikasining o‘zi ham tarixiy ma’lumotlar asosida tekshirilishi lozimligini ta’kidlaydi</w:t>
      </w:r>
      <w:r>
        <w:rPr>
          <w:rStyle w:val="aff8"/>
        </w:rPr>
        <w:footnoteReference w:id="119"/>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t>. Lavrushin va Mamonova modellarni maqsadi, yig‘ma bahoni shakllantirish usuli, o‘rganish usuli va shaffofligi bo‘yicha tasniflaydi</w:t>
      </w:r>
      <w:r>
        <w:rPr>
          <w:rStyle w:val="aff8"/>
        </w:rPr>
        <w:footnoteReference w:id="121"/>
      </w:r>
      <w:r>
        <w:t>, M. Modina esa kredit riskini o‘lchash yondashuvlarini bir chekkasida iqtisodiy-statistik, ikkinchi chekkasida ekspert yondashuvi turgan uzluksiz shkala sifatida tasavvur qiladi</w:t>
      </w:r>
      <w:r>
        <w:rPr>
          <w:rStyle w:val="aff8"/>
        </w:rPr>
        <w:footnoteReference w:id="122"/>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t>. Statistik yondashuvning eng sodda va samarali vositasi bo‘lgan Z-score ko‘rsatkichi distressga uchragan banklarning 75 foizini to‘g‘ri aniqlaydi</w:t>
      </w:r>
      <w:r>
        <w:rPr>
          <w:rStyle w:val="aff8"/>
        </w:rPr>
        <w:footnoteReference w:id="126"/>
      </w:r>
      <w:r>
        <w:t>, biroq u uzoq tarixiy ma’lumotlarni talab qiladi, Karminskiy esa defoltlar ulushi taxminan 1 foiz bo‘lganda tanlanmada nomutanosiblik yuzaga kelishini ko‘rsatadi</w:t>
      </w:r>
      <w:r>
        <w:rPr>
          <w:rStyle w:val="aff8"/>
        </w:rPr>
        <w:footnoteReference w:id="127"/>
      </w:r>
      <w:r>
        <w:t>. Bozor indikatorlari faqat aksiyalari birjada savdo qilinadigan banklar uchun qo‘llanishi mumkinligi</w:t>
      </w:r>
      <w:r>
        <w:rPr>
          <w:rStyle w:val="aff8"/>
        </w:rPr>
        <w:footnoteReference w:id="128"/>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t>, Lavrushin tahriridagi monografiyada esa Rossiyadagi to‘qqizta reyting metodikasida vaznlar ko‘pincha ekspert yo‘li bilan aniqlanishi yoki umuman tushuntirilmasligi ko‘rsatilgan</w:t>
      </w:r>
      <w:r>
        <w:rPr>
          <w:rStyle w:val="aff8"/>
        </w:rPr>
        <w:footnoteReference w:id="130"/>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t>, L. Izzi, G. Oricchio va L. Vitale esa vaznlarni regressiya koeffitsiyentlaridan hisoblab, rivojlanayotgan mamlakatlar banklari uchun miqdoriy modulga 80 foiz, sifat moduliga 20 foiz vazn beradi</w:t>
      </w:r>
      <w:r>
        <w:rPr>
          <w:rStyle w:val="aff8"/>
        </w:rPr>
        <w:footnoteReference w:id="132"/>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4"/>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t>. Xususan, Yaponiya banklarida kechiktirilgan soliq aktivlari kapitalning 15–40 foizini tashkil etgan va ular chiqarib tashlansa, tuzatilgan birinchi darajali kapital taxminan 2 foizgacha tushgan</w:t>
      </w:r>
      <w:r>
        <w:rPr>
          <w:rStyle w:val="aff8"/>
        </w:rPr>
        <w:footnoteReference w:id="137"/>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8"/>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39"/>
      </w:r>
      <w:r>
        <w:t>, Modina esa yangi kelishuvning ikki maqsadini – alohida banklarning stressga chidamliligini oshirish va protsiklikni cheklashni ajratadi</w:t>
      </w:r>
      <w:r>
        <w:rPr>
          <w:rStyle w:val="aff8"/>
        </w:rPr>
        <w:footnoteReference w:id="140"/>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2"/>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5"/>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1"/>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t>. N.E. Sokolinskaya bu o‘zgarishni yuzaga kelgan zararlarga asoslangan yondashuv o‘rniga prognoz yondashuvining kiritilishi deb tavsiflaydi</w:t>
      </w:r>
      <w:r>
        <w:rPr>
          <w:rStyle w:val="aff8"/>
        </w:rPr>
        <w:footnoteReference w:id="155"/>
      </w:r>
      <w:r>
        <w:t>. Standartga ko‘ra, moliyaviy aktivlar kredit sifatining o‘zgarishiga qarab uch bosqichga ajratiladi</w:t>
      </w:r>
      <w:r>
        <w:rPr>
          <w:rStyle w:val="aff8"/>
        </w:rPr>
        <w:footnoteReference w:id="156"/>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7"/>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0"/>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6"/>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69"/>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5"/>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w:t>
      </w:r>
      <w:r>
        <w:lastRenderedPageBreak/>
        <w:t>olinadi. D.K. Tarullo ma’lumotiga ko‘ra, leverej 4 foizdan past bo‘lsa aralashuv, 3 foizdan past bo‘lsa kuchli choralar boshlanadi, 2 foizdan past leverej esa bankrotlikka yaqinlik bilan kuchli korrelyatsiyaga ega</w:t>
      </w:r>
      <w:r>
        <w:rPr>
          <w:rStyle w:val="aff8"/>
        </w:rPr>
        <w:footnoteReference w:id="176"/>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t xml:space="preserve"> (1.3.3-rasm).</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1.3.3-rasm. AQShda FIMS va UBSS modellarining bashorat aniqligi, %</w:t>
      </w:r>
      <w:r>
        <w:rPr>
          <w:rStyle w:val="aff8"/>
        </w:rPr>
        <w:footnoteReference w:id="178"/>
      </w:r>
    </w:p>
    <w:p w:rsidR="005603EC" w:rsidRDefault="00AB61AC">
      <w:pPr>
        <w:pStyle w:val="af"/>
        <w:spacing w:after="0" w:line="360" w:lineRule="auto"/>
        <w:ind w:firstLine="709"/>
        <w:jc w:val="both"/>
      </w:pPr>
      <w:r>
        <w:t xml:space="preserve">Rasm ma’lumotlari FIMS modeli to‘g‘ri bashorat ulushini 50 foizdan 74,6 foizga oshirganini, birinchi tur xatosini, ya’ni muammoli bankni sog‘lom deb topish holatlarini esa 32,7 foizdan 17 foizgacha kamaytirganini ko‘rsatadi. Bu natijaga </w:t>
      </w:r>
      <w:r>
        <w:lastRenderedPageBreak/>
        <w:t>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1"/>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Angliya banki 1997-yildan BAITE tizimini </w:t>
      </w:r>
      <w:r>
        <w:lastRenderedPageBreak/>
        <w:t>qo‘llab kelmoqda. U uch blokdan, ya’ni risklarni baholash, nazorat vositalari va samaradorlikni baholashdan iborat bo‘lib, to‘qqiz yo‘nalish bo‘yicha risklarni tahlil qiladi</w:t>
      </w:r>
      <w:r>
        <w:rPr>
          <w:rStyle w:val="aff8"/>
        </w:rPr>
        <w:footnoteReference w:id="186"/>
      </w:r>
      <w: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t>. Britaniya tizimining eng muhim xususiyati shundaki, bankning risk darajasi va undagi nazorat sifati bir matritsada birlashtirilib, nazorat intensivligi shu matritsa asosida belgilanadi (1.3.4-rasm).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rsidR="00AB61AC" w:rsidRDefault="00AB61AC">
                        <w:pPr>
                          <w:spacing w:after="0" w:line="228" w:lineRule="auto"/>
                          <w:jc w:val="center"/>
                        </w:pPr>
                        <w:r>
                          <w:rPr>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19"/>
                            <w:szCs w:val="19"/>
                          </w:rPr>
                          <w:t>Yuqori</w:t>
                        </w:r>
                      </w:p>
                    </w:txbxContent>
                  </v:textbox>
                </v:roundrect>
                <w10:anchorlock/>
              </v:group>
            </w:pict>
          </mc:Fallback>
        </mc:AlternateContent>
      </w:r>
    </w:p>
    <w:p w:rsidR="005603EC" w:rsidRDefault="00AB61AC">
      <w:pPr>
        <w:pStyle w:val="af"/>
        <w:spacing w:before="120" w:after="240" w:line="240" w:lineRule="auto"/>
        <w:jc w:val="center"/>
      </w:pPr>
      <w:r>
        <w:rPr>
          <w:b/>
        </w:rPr>
        <w:t>1.3.4-rasm. Angliya bankining BAITE tizimida risk va nazorat matritsasi</w:t>
      </w:r>
      <w:r>
        <w:rPr>
          <w:rStyle w:val="aff8"/>
        </w:rPr>
        <w:footnoteReference w:id="188"/>
      </w:r>
    </w:p>
    <w:p w:rsidR="005603EC" w:rsidRDefault="00AB61AC">
      <w:pPr>
        <w:pStyle w:val="af"/>
        <w:spacing w:after="0" w:line="360" w:lineRule="auto"/>
        <w:ind w:firstLine="709"/>
        <w:jc w:val="both"/>
      </w:pPr>
      <w: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89"/>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t>. Italiyada esa 1993-yildan PATROL tizimi masofaviy nazorat va reyting baholash uchun ishlatiladi</w:t>
      </w:r>
      <w:r>
        <w:rPr>
          <w:rStyle w:val="aff8"/>
        </w:rPr>
        <w:footnoteReference w:id="191"/>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193"/>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195"/>
      </w:r>
      <w:r>
        <w:t>. Bu banklar har bir milliy bank sektori aktivlarining kamida 50 foizini qamrab oladi</w:t>
      </w:r>
      <w:r>
        <w:rPr>
          <w:rStyle w:val="aff8"/>
        </w:rPr>
        <w:footnoteReference w:id="196"/>
      </w:r>
      <w:r>
        <w:t>. Indikatorlar to‘rt blokka – kapital yetarliligi, aktivlar sifati, rentabellik va balans tuzilmasiga ajratilgan bo‘lib, ular asosida 11 ta risk omilini aks ettiruvchi “risklar paneli” shakllantiriladi</w:t>
      </w:r>
      <w:r>
        <w:rPr>
          <w:rStyle w:val="aff8"/>
        </w:rPr>
        <w:footnoteReference w:id="197"/>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t>. Mualliflar eng maqbul yondashuv sifatida qat’iy bazaviy qoidani va unga qo‘shiladigan, vaziyatga qarab o‘zgartiriladigan diskretsion vositalarni ko‘rsatadi</w:t>
      </w:r>
      <w:r>
        <w:rPr>
          <w:rStyle w:val="aff8"/>
        </w:rPr>
        <w:footnoteReference w:id="199"/>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t>. Buyuk Britaniyada bu standartlar 2027-yil 1-yanvardan kuchga kiradi</w:t>
      </w:r>
      <w:r>
        <w:rPr>
          <w:rStyle w:val="aff8"/>
        </w:rPr>
        <w:footnoteReference w:id="201"/>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4336-U ko‘rsatmaga o‘zgartirishlar, jumladan, ochiq valyuta pozitsiyasi limitlarini buzish bahosi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04"/>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t>. Bundan tashqari, komponentlar bir-biri bilan bog‘lanmagan holda baholanadi, holbuki amalda kapital, likvidlik va aktivlar sifati o‘zaro chambarchas bog‘liq</w:t>
      </w:r>
      <w:r>
        <w:rPr>
          <w:rStyle w:val="aff8"/>
        </w:rPr>
        <w:footnoteReference w:id="206"/>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08"/>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14"/>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17"/>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18"/>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t>. Keyinchalik, 2015-yilda kreditlarning depozitlarga nisbati bo‘yicha qat’iy cheklov qonundan chiqarilib, monitoring ko‘rsatkichiga aylantirildi</w:t>
      </w:r>
      <w:r>
        <w:rPr>
          <w:rStyle w:val="aff8"/>
        </w:rPr>
        <w:footnoteReference w:id="222"/>
      </w:r>
      <w:r>
        <w:t>. Tizimli ahamiyatli banklarga yuqori kapital talablari qo‘yilgan: asosiy kapital 8,5 foiz, birinchi darajali kapital 9,5 foiz, jami kapital 11,5 foiz</w:t>
      </w:r>
      <w:r>
        <w:rPr>
          <w:rStyle w:val="aff8"/>
        </w:rPr>
        <w:footnoteReference w:id="223"/>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t>. XVJ esa 2016-yilda Xitoy kompaniyalariga berilgan tijorat kreditlarining 15,5 foizi “risk ostida” ekanini va ular bo‘yicha potensial yo‘qotishlar YaIMning qariyb 7 foiziga teng bo‘lishi mumkinligini baholagan</w:t>
      </w:r>
      <w:r>
        <w:rPr>
          <w:rStyle w:val="aff8"/>
        </w:rPr>
        <w:footnoteReference w:id="226"/>
      </w:r>
      <w:r>
        <w:t>.</w:t>
      </w:r>
    </w:p>
    <w:p w:rsidR="005603EC" w:rsidRDefault="00AB61AC">
      <w:pPr>
        <w:pStyle w:val="af"/>
        <w:spacing w:after="0" w:line="360" w:lineRule="auto"/>
        <w:ind w:firstLine="709"/>
        <w:jc w:val="both"/>
      </w:pPr>
      <w: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t>. Biroq ularning yonida “alohida e’tibor talab qiluvchi” kreditlar ham bor bo‘lib, ularning ulushi 2,2 foiz atrofida saqlanib kelmoqda; ikkalasi qo‘shilganda muammoli aktivlar ulushi 3,7 foizga yetadi</w:t>
      </w:r>
      <w:r>
        <w:rPr>
          <w:rStyle w:val="aff8"/>
        </w:rPr>
        <w:footnoteReference w:id="228"/>
      </w:r>
      <w:r>
        <w:t xml:space="preserve">. B. Charoenwong, M. Miao va T. Ruan esa banklar muammoli kreditlarni o‘zlariga bog‘liq tomonlarga “sotib”, ularning riskini amalda o‘zida qoldirayotganini aniqlagan. Mualliflar fikricha, shunday yashirin kreditlar hisobga </w:t>
      </w:r>
      <w:r>
        <w:lastRenderedPageBreak/>
        <w:t>olinsa, Xitoyda muammoli kreditlarning haqiqiy hajmi rasmiy ko‘rsatkichdan 2–3 barobar ko‘p bo‘ladi</w:t>
      </w:r>
      <w:r>
        <w:rPr>
          <w:rStyle w:val="aff8"/>
        </w:rPr>
        <w:footnoteReference w:id="229"/>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1.3.7-rasm. Xitoy tijorat banklarida muammoli kreditlar ulushi: rasmiy ma’lumotlar va muqobil baholar, %</w:t>
      </w:r>
      <w:r>
        <w:rPr>
          <w:rStyle w:val="aff8"/>
        </w:rPr>
        <w:footnoteReference w:id="230"/>
      </w:r>
    </w:p>
    <w:p w:rsidR="005603EC" w:rsidRDefault="00AB61AC">
      <w:pPr>
        <w:pStyle w:val="af"/>
        <w:spacing w:after="0" w:line="360" w:lineRule="auto"/>
        <w:ind w:firstLine="709"/>
        <w:jc w:val="both"/>
      </w:pPr>
      <w: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t xml:space="preserve">. Bunday tafovutning sababi nimada? He Wei Ping fikricha, davlatning yashirin kafolati, ya’ni “banklar qulashidan oldin qutqariladi” degan ishonch bozor intizomini </w:t>
      </w:r>
      <w:r>
        <w:lastRenderedPageBreak/>
        <w:t>zaiflashtiradi, tartibga solish maqsadlari esa hukumatning iqtisodiy va ijtimoiy siyosatiga bo‘ysundiriladi</w:t>
      </w:r>
      <w:r>
        <w:rPr>
          <w:rStyle w:val="aff8"/>
        </w:rPr>
        <w:footnoteReference w:id="232"/>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t>. Braziliyada Bazel III dan oldin kapital yetarliligiga talab 11 foiz bo‘lib, talab qilib olinguncha depozitlar bo‘yicha majburiy zaxira normasi 45 foizgacha yetgan</w:t>
      </w:r>
      <w:r>
        <w:rPr>
          <w:rStyle w:val="aff8"/>
        </w:rPr>
        <w:footnoteReference w:id="234"/>
      </w:r>
      <w:r>
        <w:t>. Rossiyada esa BRIKS mamlakatlari orasida eng yuqori muddati o‘tgan qarzlar ulushi (8,35 foiz) qayd etilgan</w:t>
      </w:r>
      <w:r>
        <w:rPr>
          <w:rStyle w:val="aff8"/>
        </w:rPr>
        <w:footnoteReference w:id="235"/>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lastRenderedPageBreak/>
              <w:t>AQSh – FIMS</w:t>
            </w:r>
          </w:p>
        </w:tc>
        <w:tc>
          <w:tcPr>
            <w:tcW w:w="0" w:type="auto"/>
          </w:tcPr>
          <w:p w:rsidR="005603EC" w:rsidRDefault="00AB61AC">
            <w:pPr>
              <w:pStyle w:val="Compact"/>
              <w:spacing w:line="240" w:lineRule="auto"/>
            </w:pPr>
            <w:r>
              <w:rPr>
                <w:sz w:val="22"/>
              </w:rPr>
              <w:t>Statistik model reytingni va bankrotlikni bashorat qiladi, chegara birinchi tur xatosini kamaytirishga moslangan</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Buyuk Britaniya – BAITE, RATE</w:t>
            </w:r>
          </w:p>
        </w:tc>
        <w:tc>
          <w:tcPr>
            <w:tcW w:w="0" w:type="auto"/>
          </w:tcPr>
          <w:p w:rsidR="005603EC" w:rsidRDefault="00AB61AC">
            <w:pPr>
              <w:pStyle w:val="Compact"/>
              <w:spacing w:line="240" w:lineRule="auto"/>
            </w:pPr>
            <w:r>
              <w:rPr>
                <w:sz w:val="22"/>
              </w:rPr>
              <w:t>Nazorat intensivligi risk darajasiga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Banklar ko‘rsatkichlarini ochiq e’lon qilish,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p>
        </w:tc>
        <w:tc>
          <w:tcPr>
            <w:tcW w:w="0" w:type="auto"/>
          </w:tcPr>
          <w:p w:rsidR="005603EC" w:rsidRDefault="00AB61AC">
            <w:pPr>
              <w:pStyle w:val="Compact"/>
              <w:spacing w:line="240" w:lineRule="auto"/>
            </w:pPr>
            <w:r>
              <w:rPr>
                <w:sz w:val="22"/>
              </w:rPr>
              <w:t>Ochiq vaznli integral baholashga dinamik va prognoz elementlarini qo‘shish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p>
        </w:tc>
        <w:tc>
          <w:tcPr>
            <w:tcW w:w="0" w:type="auto"/>
          </w:tcPr>
          <w:p w:rsidR="005603EC" w:rsidRDefault="00AB61AC">
            <w:pPr>
              <w:pStyle w:val="Compact"/>
              <w:spacing w:line="240" w:lineRule="auto"/>
            </w:pPr>
            <w:r>
              <w:rPr>
                <w:sz w:val="22"/>
              </w:rPr>
              <w:t>Aktivlar sifatini MHXS 9 bo‘yicha va mustaqil baholash; davlat banklariga alohida e’tibor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37"/>
      </w:r>
    </w:p>
    <w:p w:rsidR="005603EC" w:rsidRDefault="00AB61AC">
      <w:pPr>
        <w:pStyle w:val="af"/>
        <w:spacing w:after="0" w:line="360" w:lineRule="auto"/>
        <w:ind w:firstLine="709"/>
        <w:jc w:val="both"/>
      </w:pPr>
      <w: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39"/>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0"/>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42"/>
      </w:r>
      <w:r>
        <w:rPr>
          <w:color w:val="FF0000"/>
        </w:rPr>
        <w:t>, 2026-yildan amal qiladigan talablar va buferlar esa Markaziy bankning moliyaviy barqarorlik sharhi bo‘yicha keltirildi</w:t>
      </w:r>
      <w:r>
        <w:rPr>
          <w:rStyle w:val="aff8"/>
          <w:color w:val="FF0000"/>
        </w:rPr>
        <w:footnoteReference w:id="243"/>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44"/>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45"/>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46"/>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1"/>
      </w:r>
      <w:r>
        <w:t xml:space="preserve">, 2025-yil oxirida 18,3 foizni tashkil etgan; asosiy kapital (CET1) monandligi 2025-yil oxirida 14,7 foizga </w:t>
      </w:r>
      <w:r>
        <w:lastRenderedPageBreak/>
        <w:t>teng bo‘lgan</w:t>
      </w:r>
      <w:r>
        <w:rPr>
          <w:rStyle w:val="aff8"/>
        </w:rPr>
        <w:footnoteReference w:id="252"/>
      </w:r>
      <w:r>
        <w:t>. Muammoli kreditlar ulushi esa 2021-yil oxiridagi 5,2 foizdan 2025-yil oxirida 3,0 foizgacha kamaygan</w:t>
      </w:r>
      <w:r>
        <w:rPr>
          <w:rStyle w:val="aff8"/>
        </w:rPr>
        <w:footnoteReference w:id="253"/>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54"/>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t>. 2025-yil birinchi yarmi bo‘yicha sharhda bu ko‘rsatkichlar mos ravishda 6,1 va 8,4 foiz, leverej koeffitsiyenti esa 5,3 foiz deb baholangan edi</w:t>
      </w:r>
      <w:r>
        <w:rPr>
          <w:rStyle w:val="aff8"/>
        </w:rPr>
        <w:footnoteReference w:id="256"/>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57"/>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0"/>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t>. Hukumat va Markaziy bank barcha tijorat banklarini MHXS ga to‘liq o‘tkazishni maqsad qilib qo‘ygan</w:t>
      </w:r>
      <w:r>
        <w:rPr>
          <w:rStyle w:val="aff8"/>
        </w:rPr>
        <w:footnoteReference w:id="265"/>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t>. To‘lov qobiliyati bo‘yicha makro stress-test MHXS 9 asosidagi muammoli kreditlar ma’lumotlari to‘liq shakllangandan keyingina shu ma’lumotlarga tayanadigan bo‘ladi</w:t>
      </w:r>
      <w:r>
        <w:rPr>
          <w:rStyle w:val="aff8"/>
        </w:rPr>
        <w:footnoteReference w:id="269"/>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0"/>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r>
      <w:r>
        <w:rPr>
          <w:rStyle w:val="aff8"/>
        </w:rPr>
        <w:footnoteReference w:id="273"/>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74"/>
      </w:r>
      <w:r>
        <w:t>. 2023-yil oxirida bank tizimi aktivlari yalpi ichki mahsulotning 55 foiziga, kreditlar esa 40 foiziga teng bo‘lgan</w:t>
      </w:r>
      <w:r>
        <w:rPr>
          <w:rStyle w:val="aff8"/>
        </w:rPr>
        <w:footnoteReference w:id="275"/>
      </w:r>
      <w:r>
        <w:t>, 2026-yil 1-yanvar holatiga esa tijorat banklari aktivlari 924,8 trln so‘mni, kreditlari 604 trln so‘mni tashkil etgan</w:t>
      </w:r>
      <w:r>
        <w:rPr>
          <w:rStyle w:val="aff8"/>
        </w:rPr>
        <w:footnoteReference w:id="276"/>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78"/>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2"/>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83"/>
      </w:r>
      <w:r>
        <w:t>. CAMELS tizimida eng yuqori, ya’ni 1-reyting kapital koeffitsiyentlari 4 va 8 foizlik chegaralardan ancha yuqori bo‘lganda beriladi</w:t>
      </w:r>
      <w:r>
        <w:rPr>
          <w:rStyle w:val="aff8"/>
        </w:rPr>
        <w:footnoteReference w:id="284"/>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87"/>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t>, 2023-yil oxirida 19,5 foizni (shundan substandart kreditlar 16 foiz, muammoli kreditlar 3,5 foiz)</w:t>
      </w:r>
      <w:r>
        <w:rPr>
          <w:rStyle w:val="aff8"/>
        </w:rPr>
        <w:footnoteReference w:id="290"/>
      </w:r>
      <w:r>
        <w:t>, 2024-yilda 21 foizni tashkil etgan va faqat 2025-yilda 15 foizgacha kamaygan</w:t>
      </w:r>
      <w:r>
        <w:rPr>
          <w:rStyle w:val="aff8"/>
        </w:rPr>
        <w:footnoteReference w:id="291"/>
      </w:r>
      <w:r>
        <w:t xml:space="preserve"> (2.2.3-rasm). Jahon banki ma’lumotlariga ko‘ra, 2023-yil oxirida MHXS 9 bo‘yicha 3-bosqichdagi kreditlar ulushi 7,8 foiz bo‘lib, rasmiy ko‘rsatkichdan qariyb ikki barobar yuqori bo‘lgan</w:t>
      </w:r>
      <w:r>
        <w:rPr>
          <w:rStyle w:val="aff8"/>
        </w:rPr>
        <w:footnoteReference w:id="292"/>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293"/>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t>, 2022–2025-yillarda esa 36,7–52,6 foiz oralig‘ida bo‘lgan</w:t>
      </w:r>
      <w:r>
        <w:rPr>
          <w:rStyle w:val="aff8"/>
        </w:rPr>
        <w:footnoteReference w:id="295"/>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t xml:space="preserve">, O.I. Lavrushin tahriridagi monografiyada esa </w:t>
      </w:r>
      <w:r>
        <w:lastRenderedPageBreak/>
        <w:t>ishlamaydigan kreditlar ulushining 10 foizgacha oshishi salbiy vaziyat darakchisi sifatida ko‘rsatiladi</w:t>
      </w:r>
      <w:r>
        <w:rPr>
          <w:rStyle w:val="aff8"/>
        </w:rPr>
        <w:footnoteReference w:id="297"/>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299"/>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0"/>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04"/>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06"/>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08"/>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09"/>
      </w:r>
      <w:r>
        <w:rPr>
          <w:rStyle w:val="aff8"/>
        </w:rPr>
        <w:footnoteReference w:id="310"/>
      </w:r>
      <w:r>
        <w:t>. Bundan ham muhimi, bankda 2-bosqich, ya’ni kredit riski sezilarli oshgan kreditlar ulushi 2023-yildagi 15,8 foizdan 2024-yilda 27,1 foizga, 2025-yilda esa 35,7 foizga ko‘tarilgan</w:t>
      </w:r>
      <w:r>
        <w:rPr>
          <w:rStyle w:val="aff8"/>
        </w:rPr>
        <w:footnoteReference w:id="31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13"/>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14"/>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15"/>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16"/>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7"/>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9"/>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0"/>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1"/>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2"/>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3"/>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4"/>
      </w:r>
      <w:r>
        <w:t>. J. Abad va J. Suarez kutilgan kredit zararlari modeli zaxiralarni iqtisodiy pasayish boshlanishida keskin oshirib, kapitalga bosimni avvalgi modelga nisbatan ertaroq yuzaga keltirishini isbotlagan</w:t>
      </w:r>
      <w:r>
        <w:rPr>
          <w:rStyle w:val="aff8"/>
        </w:rPr>
        <w:footnoteReference w:id="325"/>
      </w:r>
      <w:r>
        <w:t>. Rossiya iqtisodchisi N.E. Sokolinskaya bank moliyaviy holatini MHXS asosida tahlil qilish milliy hisobotga nisbatan aktivlar sifati va kapitalning haqiqiy darajasini aniqroq ko‘rsatishini ta’kidlagan</w:t>
      </w:r>
      <w:r>
        <w:rPr>
          <w:rStyle w:val="aff8"/>
        </w:rPr>
        <w:footnoteReference w:id="326"/>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28"/>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9"/>
      </w:r>
      <w:r>
        <w:t>. MHXS 9 da esa zaxira har bir kredit yoki kreditlar guruhi bo‘yicha defolt ehtimoli, garov qiymati va kutilayotgan undirish summasini hisobga olgan holda aniqlanadi</w:t>
      </w:r>
      <w:r>
        <w:rPr>
          <w:rStyle w:val="aff8"/>
        </w:rPr>
        <w:footnoteReference w:id="330"/>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1"/>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2"/>
      </w:r>
      <w:r>
        <w:rPr>
          <w:rStyle w:val="aff8"/>
        </w:rPr>
        <w:footnoteReference w:id="333"/>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35"/>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6"/>
      </w:r>
      <w:r>
        <w:rPr>
          <w:rStyle w:val="aff8"/>
        </w:rPr>
        <w:footnoteReference w:id="337"/>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38"/>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39"/>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0"/>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1"/>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2"/>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43"/>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44"/>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6"/>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47"/>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8"/>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9"/>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0"/>
      </w:r>
      <w:r>
        <w:rPr>
          <w:rStyle w:val="aff8"/>
        </w:rPr>
        <w:footnoteReference w:id="351"/>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2"/>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53"/>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54"/>
      </w:r>
      <w:r>
        <w:rPr>
          <w:color w:val="FF0000"/>
        </w:rPr>
        <w:t>, “yo‘l xaritasi”ga ko‘ra esa ular Bazel III ga to‘liq moslashtirilib, 2026-yil 1-yanvardan monitoring qilinadi</w:t>
      </w:r>
      <w:r>
        <w:rPr>
          <w:rStyle w:val="aff8"/>
          <w:color w:val="FF0000"/>
        </w:rPr>
        <w:footnoteReference w:id="355"/>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56"/>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8"/>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59"/>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0"/>
      </w:r>
      <w:r>
        <w:rPr>
          <w:color w:val="0070C0"/>
        </w:rPr>
        <w:t xml:space="preserve"> va auditdan o‘tgan MHXS bo‘yicha konsolidatsiyalangan moliyaviy hisobotlari</w:t>
      </w:r>
      <w:r>
        <w:rPr>
          <w:rStyle w:val="aff8"/>
          <w:color w:val="0070C0"/>
        </w:rPr>
        <w:footnoteReference w:id="361"/>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63"/>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64"/>
      </w:r>
      <w:r>
        <w:t>, Markaziy bank tomonidan qabul qilingan “yo‘l xaritasi”da esa aktivlar tasnifi va zaxiralarni MHXS 9 ga moslashtirish ishlari belgilangan</w:t>
      </w:r>
      <w:r>
        <w:rPr>
          <w:rStyle w:val="aff8"/>
        </w:rPr>
        <w:footnoteReference w:id="365"/>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6"/>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7"/>
      </w:r>
      <w:r>
        <w:rPr>
          <w:rStyle w:val="aff8"/>
        </w:rPr>
        <w:footnoteReference w:id="368"/>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9"/>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1"/>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2"/>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73"/>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5"/>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6"/>
      </w:r>
      <w:r>
        <w:t xml:space="preserve"> olindi, 4 ball chegarasi esa tizimli ahamiyatga ega bank uchun qo‘shimcha talab va kontrsiklik bufer bilan birga Bazel III bo‘yicha talab qilinishi mumkin bo‘lgan 10,5 foiz darajasida belgilandi</w:t>
      </w:r>
      <w:r>
        <w:rPr>
          <w:rStyle w:val="aff8"/>
        </w:rPr>
        <w:footnoteReference w:id="377"/>
      </w:r>
      <w:r>
        <w:rPr>
          <w:rStyle w:val="aff8"/>
        </w:rPr>
        <w:footnoteReference w:id="378"/>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79"/>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0"/>
      </w:r>
      <w:r>
        <w:t>, 10 foiz esa O.I. Lavrushin tahriri ostidagi monografiyada salbiy vaziyat darakchisi sifatida ko‘rsatilgan qiymatga mos keladi</w:t>
      </w:r>
      <w:r>
        <w:rPr>
          <w:rStyle w:val="aff8"/>
        </w:rPr>
        <w:footnoteReference w:id="381"/>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2"/>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83"/>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4"/>
      </w:r>
      <w:r>
        <w:rPr>
          <w:rStyle w:val="aff8"/>
        </w:rPr>
        <w:footnoteReference w:id="385"/>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6"/>
      </w:r>
      <w:r>
        <w:rPr>
          <w:rStyle w:val="aff8"/>
        </w:rPr>
        <w:footnoteReference w:id="387"/>
      </w:r>
      <w:r>
        <w:t xml:space="preserve">. Kreditlarning depozitlarga nisbati uchun esa likvidlik nizomida </w:t>
      </w:r>
      <w:r>
        <w:rPr>
          <w:highlight w:val="green"/>
        </w:rPr>
        <w:t>undan oshishi muammo belgisi deb ko‘rsatilgan 80 foizlik daraja</w:t>
      </w:r>
      <w:r>
        <w:rPr>
          <w:rStyle w:val="aff8"/>
        </w:rPr>
        <w:footnoteReference w:id="388"/>
      </w:r>
      <w:r>
        <w:t xml:space="preserve"> va xalqaro amaliyotdagi kritik daraja – 100 foiz</w:t>
      </w:r>
      <w:r>
        <w:rPr>
          <w:rStyle w:val="aff8"/>
        </w:rPr>
        <w:footnoteReference w:id="389"/>
      </w:r>
      <w:r>
        <w:t xml:space="preserve"> asos qilib olindi. Daromadlilik blokida aktivlar rentabelligi chegaralari Rossiya Banki shkalasidan (0; 0,7; 1,4 foiz) olindi</w:t>
      </w:r>
      <w:r>
        <w:rPr>
          <w:rStyle w:val="aff8"/>
        </w:rPr>
        <w:footnoteReference w:id="390"/>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1"/>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2"/>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393"/>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4"/>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395"/>
      </w:r>
      <w:r>
        <w:t>. Rossiyadagi reyting metodikalarini tahlil qilgan mualliflar ham vaznlar ko‘pincha asoslanmagan ekspert yo‘li bilan belgilanishini qayd etgan</w:t>
      </w:r>
      <w:r>
        <w:rPr>
          <w:rStyle w:val="aff8"/>
        </w:rPr>
        <w:footnoteReference w:id="396"/>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3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398"/>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9"/>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1"/>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03"/>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04"/>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7"/>
      </w:r>
      <w:r>
        <w:t>. Moliyaviy stress indekslarini qurishda ham M. Illing va Y. Liu turli vaznlash usullarini solishtirib, eng yaxshi usulni indeksning haqiqiy stress davrlarini aniqlash qobiliyati bo‘yicha tanlagan</w:t>
      </w:r>
      <w:r>
        <w:rPr>
          <w:rStyle w:val="aff8"/>
        </w:rPr>
        <w:footnoteReference w:id="408"/>
      </w:r>
      <w:r>
        <w:t>. A.M. Karminskiy esa reyting modellarida vaznlar ekspert yo‘li bilan belgilansa ham, ular albatta statistik tekshiruvdan o‘tkazilishi lozimligini ta’kidlaydi</w:t>
      </w:r>
      <w:r>
        <w:rPr>
          <w:rStyle w:val="aff8"/>
        </w:rPr>
        <w:footnoteReference w:id="40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2"/>
      </w:r>
      <w:r>
        <w:rPr>
          <w:rStyle w:val="aff8"/>
        </w:rPr>
        <w:footnoteReference w:id="413"/>
      </w:r>
      <w:r>
        <w:rPr>
          <w:rStyle w:val="aff8"/>
        </w:rPr>
        <w:footnoteReference w:id="414"/>
      </w:r>
      <w:r>
        <w:rPr>
          <w:rStyle w:val="aff8"/>
        </w:rPr>
        <w:footnoteReference w:id="415"/>
      </w:r>
      <w:r>
        <w:rPr>
          <w:rStyle w:val="aff8"/>
        </w:rPr>
        <w:footnoteReference w:id="416"/>
      </w:r>
      <w:r>
        <w:t>. Yuqori likvid aktivlar ulushi esa “SNS” reyting agentligi bazasidan olindi</w:t>
      </w:r>
      <w:r>
        <w:rPr>
          <w:rStyle w:val="aff8"/>
        </w:rPr>
        <w:footnoteReference w:id="417"/>
      </w:r>
      <w:r>
        <w:t>. Logit usuli uchun 3.3-paragrafda shakllantirilgan 25 ta bank paneli qo‘llandi</w:t>
      </w:r>
      <w:r>
        <w:rPr>
          <w:rStyle w:val="aff8"/>
        </w:rPr>
        <w:footnoteReference w:id="418"/>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0"/>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1"/>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23"/>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24"/>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26"/>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27"/>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8"/>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9"/>
      </w:r>
      <w:r>
        <w:t>, L. Laeven va R. Levine esa bankning to‘lovga qobiliyatsizlik riskini Z-score ko‘rsatkichi orqali o‘lchab, uning mulkchilik tuzilmasi va tartibga solish bilan bog‘liqligini aniqlagan</w:t>
      </w:r>
      <w:r>
        <w:rPr>
          <w:rStyle w:val="aff8"/>
        </w:rPr>
        <w:footnoteReference w:id="430"/>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1"/>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33"/>
      </w:r>
      <w:r>
        <w:rPr>
          <w:rStyle w:val="aff8"/>
        </w:rPr>
        <w:footnoteReference w:id="434"/>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35"/>
      </w:r>
      <w:r>
        <w:t>. Uchinchi gipoteza A. Demirgüç-Kunt va H. Huizinga xulosasiga tayanadi: depozit bo‘lmagan, ya’ni ulgurji moliyalashtirishga ko‘proq tayanadigan banklar riskliroq bo‘ladi</w:t>
      </w:r>
      <w:r>
        <w:rPr>
          <w:rStyle w:val="aff8"/>
        </w:rPr>
        <w:footnoteReference w:id="436"/>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7"/>
      </w:r>
      <w:r>
        <w:rPr>
          <w:rStyle w:val="aff8"/>
        </w:rPr>
        <w:footnoteReference w:id="438"/>
      </w:r>
      <w:r>
        <w:rPr>
          <w:rStyle w:val="aff8"/>
        </w:rPr>
        <w:footnoteReference w:id="439"/>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0"/>
      </w:r>
      <w:r>
        <w:t>, yuqori likvid aktivlar, kredit zaxiralari, foizli daromad va xarajatlar, operatsion xarajatlar va sof foyda “SNS” reyting agentligining banklar ko‘rsatkichlari bazasidan</w:t>
      </w:r>
      <w:r>
        <w:rPr>
          <w:rStyle w:val="aff8"/>
        </w:rPr>
        <w:footnoteReference w:id="441"/>
      </w:r>
      <w:r>
        <w:t>, makroiqtisodiy ko‘rsatkichlar esa Markaziy bankning statistik byulletenidan olindi</w:t>
      </w:r>
      <w:r>
        <w:rPr>
          <w:rStyle w:val="aff8"/>
        </w:rPr>
        <w:footnoteReference w:id="442"/>
      </w:r>
      <w:r>
        <w:t>. Ikki bank manbasi bank nomlari bo‘yicha birlashtirildi, ma’lum xato qiymatlar tahlildan chiqarildi</w:t>
      </w:r>
      <w:r>
        <w:rPr>
          <w:rStyle w:val="aff8"/>
        </w:rPr>
        <w:footnoteReference w:id="443"/>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44"/>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45"/>
      </w:r>
      <w:r>
        <w:rPr>
          <w:rStyle w:val="aff8"/>
        </w:rPr>
        <w:footnoteReference w:id="446"/>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47"/>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49"/>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0"/>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1"/>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2"/>
      </w:r>
      <w:r>
        <w:rPr>
          <w:rStyle w:val="aff8"/>
        </w:rPr>
        <w:footnoteReference w:id="453"/>
      </w:r>
      <w:r>
        <w:t>. Usullar o‘rtasida tanlov Breusch–Pagan va Hausman testlari asosida amalga oshirildi</w:t>
      </w:r>
      <w:r>
        <w:rPr>
          <w:rStyle w:val="aff8"/>
        </w:rPr>
        <w:footnoteReference w:id="454"/>
      </w:r>
      <w:r>
        <w:rPr>
          <w:rStyle w:val="aff8"/>
        </w:rPr>
        <w:footnoteReference w:id="455"/>
      </w:r>
      <w:r>
        <w:t>. Standart xatolar heteroskedastiklik va avtokorrelyatsiyani hisobga olish uchun bank bo‘yicha klasterlangan. Indeksning inersiyasini hisobga oluvchi dinamik model esa qisqa panellardagi siljishni</w:t>
      </w:r>
      <w:r>
        <w:rPr>
          <w:rStyle w:val="aff8"/>
        </w:rPr>
        <w:footnoteReference w:id="456"/>
      </w:r>
      <w:r>
        <w:t xml:space="preserve"> bartaraf etish maqsadida </w:t>
      </w:r>
      <w:r>
        <w:lastRenderedPageBreak/>
        <w:t>T. Anderson va C. Hsiao usuli bo‘yicha birinchi farqlarda, indeksning ikki chorak oldingi qiymatini instrument sifatida qo‘llab baholandi</w:t>
      </w:r>
      <w:r>
        <w:rPr>
          <w:rStyle w:val="aff8"/>
        </w:rPr>
        <w:footnoteReference w:id="457"/>
      </w:r>
      <w:r>
        <w:rPr>
          <w:rStyle w:val="aff8"/>
        </w:rPr>
        <w:footnoteReference w:id="458"/>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0"/>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1"/>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2"/>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6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5"/>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7"/>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8"/>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9"/>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1"/>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2"/>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4"/>
      </w:r>
      <w:r>
        <w:rPr>
          <w:rStyle w:val="aff8"/>
        </w:rPr>
        <w:footnoteReference w:id="475"/>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76"/>
      </w:r>
      <w:r>
        <w:t>. E. Davis va D. Karim bu ikki yondashuvni solishtirib, logit modellar ko‘p mamlakatli global tizimlar uchun, signallar usuli esa alohida mamlakat uchun qurilgan tizimlarda maqbulroq ekanini ko‘rsatgan</w:t>
      </w:r>
      <w:r>
        <w:rPr>
          <w:rStyle w:val="aff8"/>
        </w:rPr>
        <w:footnoteReference w:id="477"/>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8"/>
      </w:r>
      <w:r>
        <w:t>. Yevropa banklari misolida F. Betz va hammualliflar bank darajasidagi ko‘rsatkichlarni makroiqtisodiy ko‘rsatkichlar bilan birlashtirish bashorat aniqligini oshirishini aniqlagan</w:t>
      </w:r>
      <w:r>
        <w:rPr>
          <w:rStyle w:val="aff8"/>
        </w:rPr>
        <w:footnoteReference w:id="479"/>
      </w:r>
      <w:r>
        <w:t>, L. Chiaramonte va F. Poli esa Z-score muammoga uchragan banklarning 75 foizini to‘g‘ri aniqlashini ko‘rsatgan</w:t>
      </w:r>
      <w:r>
        <w:rPr>
          <w:rStyle w:val="aff8"/>
        </w:rPr>
        <w:footnoteReference w:id="480"/>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1"/>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2"/>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83"/>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8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5"/>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86"/>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7"/>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88"/>
      </w:r>
      <w:r>
        <w:rPr>
          <w:rStyle w:val="aff8"/>
        </w:rPr>
        <w:footnoteReference w:id="489"/>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1"/>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2"/>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4"/>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5"/>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496"/>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497"/>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9"/>
      </w:r>
      <w:r>
        <w:t>. M. Sorge va K. Virolainen esa makro stress-testlarda kredit riskining makroiqtisodiy omillarga sezgirligini baholovchi “satellit” modellardan foydalanishni asosiy yondashuv sifatida ko‘rsatadi</w:t>
      </w:r>
      <w:r>
        <w:rPr>
          <w:rStyle w:val="aff8"/>
        </w:rPr>
        <w:footnoteReference w:id="500"/>
      </w:r>
      <w:r>
        <w:t>. Bazel qo‘mitasining stress-test tamoyillari ham ssenariylar haqiqiy tarixiy shoklarga asoslanishi va model natijalari muntazam tekshirilishi lozimligini talab qiladi</w:t>
      </w:r>
      <w:r>
        <w:rPr>
          <w:rStyle w:val="aff8"/>
        </w:rPr>
        <w:footnoteReference w:id="501"/>
      </w:r>
      <w:r>
        <w:t>. O‘zbekistonda esa bu yo‘nalishdagi ilmiy ishlar alohida ko‘rsatkichlarni prognoz qilish bilan cheklangan: B.T. Berdiyarov likvidlik ko‘rsatkichini ARIMA modeli yordamida prognoz qilgan</w:t>
      </w:r>
      <w:r>
        <w:rPr>
          <w:rStyle w:val="aff8"/>
        </w:rPr>
        <w:footnoteReference w:id="502"/>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04"/>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6"/>
      </w:r>
      <w:r>
        <w:rPr>
          <w:rStyle w:val="aff8"/>
        </w:rPr>
        <w:footnoteReference w:id="507"/>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9"/>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0"/>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2"/>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15"/>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6"/>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7"/>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8"/>
      </w:r>
      <w:r>
        <w:t>. Hatto asosiy ssenariyda ham to‘qqizta davlat bankidan beshtasi, jumladan ikkita tizimli ahamiyatga molik bank minimal talabdan pastga tushadi</w:t>
      </w:r>
      <w:r>
        <w:rPr>
          <w:rStyle w:val="aff8"/>
        </w:rPr>
        <w:footnoteReference w:id="519"/>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0"/>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1"/>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23"/>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4"/>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5"/>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6"/>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7"/>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8"/>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0"/>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1"/>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2"/>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33"/>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4"/>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6"/>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37"/>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t>22.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23.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24. Basel Committee on Banking Supervision. Basel III: Finalising post-crisis reforms. – Basel: BIS, December 2017.</w:t>
      </w:r>
    </w:p>
    <w:p w:rsidR="005603EC" w:rsidRDefault="00AB61AC">
      <w:pPr>
        <w:pStyle w:val="af"/>
        <w:spacing w:after="0" w:line="360" w:lineRule="auto"/>
        <w:ind w:firstLine="709"/>
        <w:jc w:val="both"/>
      </w:pPr>
      <w:r>
        <w:t>25.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26. Basel Committee on Banking Supervision. Basel III: The Net Stable Funding Ratio. – Basel: BIS, October 2014.</w:t>
      </w:r>
    </w:p>
    <w:p w:rsidR="005603EC" w:rsidRDefault="00AB61AC">
      <w:pPr>
        <w:pStyle w:val="af"/>
        <w:spacing w:after="0" w:line="360" w:lineRule="auto"/>
        <w:ind w:firstLine="709"/>
        <w:jc w:val="both"/>
      </w:pPr>
      <w:r>
        <w:t>27.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28.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29. Basel Committee on Banking Supervision. Report on the 2023 banking turmoil. – Basel: BIS, October 2023.</w:t>
      </w:r>
    </w:p>
    <w:p w:rsidR="005603EC" w:rsidRDefault="00AB61AC">
      <w:pPr>
        <w:pStyle w:val="af"/>
        <w:spacing w:after="0" w:line="360" w:lineRule="auto"/>
        <w:ind w:firstLine="709"/>
        <w:jc w:val="both"/>
      </w:pPr>
      <w:r>
        <w:t>30.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31.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32.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33.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34.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t>35.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36. Čihák M. Introduction to Applied Stress Testing: IMF Working Paper WP/07/59. – Washington, DC: International Monetary Fund, 2007.</w:t>
      </w:r>
    </w:p>
    <w:p w:rsidR="005603EC" w:rsidRDefault="00AB61AC">
      <w:pPr>
        <w:pStyle w:val="af"/>
        <w:spacing w:after="0" w:line="360" w:lineRule="auto"/>
        <w:ind w:firstLine="709"/>
        <w:jc w:val="both"/>
      </w:pPr>
      <w:r>
        <w:t>37. European Banking Authority. 2025 EU-wide stress test: Results. – Paris: EBA, 1 August 2025.</w:t>
      </w:r>
    </w:p>
    <w:p w:rsidR="005603EC" w:rsidRDefault="00AB61AC">
      <w:pPr>
        <w:pStyle w:val="af"/>
        <w:spacing w:after="0" w:line="360" w:lineRule="auto"/>
        <w:ind w:firstLine="709"/>
        <w:jc w:val="both"/>
      </w:pPr>
      <w:r>
        <w:t>38.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39. European Central Bank. Financial stability and macroprudential policy. – https://www.ecb.europa.eu/paym/financial-stability/html/index.en.html.</w:t>
      </w:r>
    </w:p>
    <w:p w:rsidR="005603EC" w:rsidRDefault="00AB61AC">
      <w:pPr>
        <w:pStyle w:val="af"/>
        <w:spacing w:after="0" w:line="360" w:lineRule="auto"/>
        <w:ind w:firstLine="709"/>
        <w:jc w:val="both"/>
      </w:pPr>
      <w:r>
        <w:t>40.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t>41.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42.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43. IFRS 9 Financial Instruments. – London: International Accounting Standards Board, 2014.</w:t>
      </w:r>
    </w:p>
    <w:p w:rsidR="005603EC" w:rsidRDefault="00AB61AC">
      <w:pPr>
        <w:pStyle w:val="af"/>
        <w:spacing w:after="0" w:line="360" w:lineRule="auto"/>
        <w:ind w:firstLine="709"/>
        <w:jc w:val="both"/>
      </w:pPr>
      <w:r>
        <w:t>44. International Monetary Fund. Financial Soundness Indicators: Compilation Guide. – Washington, DC: IMF, 2019.</w:t>
      </w:r>
    </w:p>
    <w:p w:rsidR="005603EC" w:rsidRDefault="00AB61AC">
      <w:pPr>
        <w:pStyle w:val="af"/>
        <w:spacing w:after="0" w:line="360" w:lineRule="auto"/>
        <w:ind w:firstLine="709"/>
        <w:jc w:val="both"/>
      </w:pPr>
      <w:r>
        <w:t>45.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46.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47.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48.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49.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50.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51.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52.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53.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54.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55. OECD, JRC. Handbook on Constructing Composite Indicators: Methodology and User Guide. – Paris: OECD Publishing, 2008.</w:t>
      </w:r>
    </w:p>
    <w:p w:rsidR="005603EC" w:rsidRDefault="00AB61AC">
      <w:pPr>
        <w:pStyle w:val="af"/>
        <w:spacing w:after="0" w:line="360" w:lineRule="auto"/>
        <w:ind w:firstLine="709"/>
        <w:jc w:val="both"/>
      </w:pPr>
      <w:r>
        <w:t>56.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57.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58.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59. Schinasi G.J. Defining Financial Stability: IMF Working Paper WP/04/187. – Washington, DC: International Monetary Fund, 2004. – 18 p.</w:t>
      </w:r>
    </w:p>
    <w:p w:rsidR="005603EC" w:rsidRDefault="00AB61AC">
      <w:pPr>
        <w:pStyle w:val="af"/>
        <w:spacing w:after="0" w:line="360" w:lineRule="auto"/>
        <w:ind w:firstLine="709"/>
        <w:jc w:val="both"/>
      </w:pPr>
      <w:r>
        <w:t>60.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61.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62.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rsidR="005603EC" w:rsidRPr="009E01BD" w:rsidRDefault="00AB61AC">
      <w:pPr>
        <w:pStyle w:val="af"/>
        <w:spacing w:after="0" w:line="360" w:lineRule="auto"/>
        <w:ind w:firstLine="709"/>
        <w:jc w:val="both"/>
        <w:rPr>
          <w:lang w:val="ru-RU"/>
        </w:rPr>
      </w:pPr>
      <w:r>
        <w:rPr>
          <w:lang w:val="ru-RU"/>
        </w:rPr>
        <w:t xml:space="preserve">63.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64.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E65E68" w:rsidRDefault="00AB61AC">
      <w:pPr>
        <w:pStyle w:val="af"/>
        <w:spacing w:after="0" w:line="360" w:lineRule="auto"/>
        <w:ind w:firstLine="709"/>
        <w:jc w:val="both"/>
      </w:pPr>
      <w:r w:rsidRPr="00E65E68">
        <w:rPr>
          <w:color w:val="FF0000"/>
        </w:rPr>
        <w:t>65.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66.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67.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68. Baltagi B.H. Econometric Analysis of Panel Data. – 6th ed. – Cham: Springer, 2021.</w:t>
      </w:r>
    </w:p>
    <w:p w:rsidR="005603EC" w:rsidRDefault="00AB61AC">
      <w:pPr>
        <w:pStyle w:val="af"/>
        <w:spacing w:after="0" w:line="360" w:lineRule="auto"/>
        <w:ind w:firstLine="709"/>
        <w:jc w:val="both"/>
      </w:pPr>
      <w:r>
        <w:t>69. Cargill T.F. The Financial System, Financial Regulation and Central Bank Policy. – Cambridge: Cambridge University Press, 2017.</w:t>
      </w:r>
    </w:p>
    <w:p w:rsidR="005603EC" w:rsidRDefault="00AB61AC">
      <w:pPr>
        <w:pStyle w:val="af"/>
        <w:spacing w:after="0" w:line="360" w:lineRule="auto"/>
        <w:ind w:firstLine="709"/>
        <w:jc w:val="both"/>
      </w:pPr>
      <w:r>
        <w:t>70. He Wei Ping. Banking Regulation in China: The Role of Public and Private Sectors. – New York: Palgrave Macmillan, 2014.</w:t>
      </w:r>
    </w:p>
    <w:p w:rsidR="005603EC" w:rsidRDefault="00AB61AC">
      <w:pPr>
        <w:pStyle w:val="af"/>
        <w:spacing w:after="0" w:line="360" w:lineRule="auto"/>
        <w:ind w:firstLine="709"/>
        <w:jc w:val="both"/>
      </w:pPr>
      <w:r>
        <w:t>71. Hendrickson J.M. Regulation and Instability in U.S. Commercial Banking: A History of Crises. – Basingstoke: Palgrave Macmillan, 2011.</w:t>
      </w:r>
    </w:p>
    <w:p w:rsidR="005603EC" w:rsidRDefault="00AB61AC">
      <w:pPr>
        <w:pStyle w:val="af"/>
        <w:spacing w:after="0" w:line="360" w:lineRule="auto"/>
        <w:ind w:firstLine="709"/>
        <w:jc w:val="both"/>
      </w:pPr>
      <w:r>
        <w:t>72. Hosmer D.W., Lemeshow S., Sturdivant R.X. Applied Logistic Regression. – 3rd ed. – Hoboken, NJ: John Wiley &amp; Sons, 2013.</w:t>
      </w:r>
    </w:p>
    <w:p w:rsidR="005603EC" w:rsidRDefault="00AB61AC">
      <w:pPr>
        <w:pStyle w:val="af"/>
        <w:spacing w:after="0" w:line="360" w:lineRule="auto"/>
        <w:ind w:firstLine="709"/>
        <w:jc w:val="both"/>
      </w:pPr>
      <w:r>
        <w:t>73.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74. Karaliyev T.M., Sayfiddinov I.F. Tijorat banklari faoliyatini tartibga solish va nazorati: darslik. – T.: Iqtisod-Moliya, 2019.</w:t>
      </w:r>
    </w:p>
    <w:p w:rsidR="005603EC" w:rsidRDefault="00AB61AC">
      <w:pPr>
        <w:pStyle w:val="af"/>
        <w:spacing w:after="0" w:line="360" w:lineRule="auto"/>
        <w:ind w:firstLine="709"/>
        <w:jc w:val="both"/>
      </w:pPr>
      <w:r>
        <w:t>75.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76. Modina M. Credit Rating and Bank–Firm Relationships: New Models to Better Evaluate SMEs. – Basingstoke: Palgrave Macmillan, 2015.</w:t>
      </w:r>
    </w:p>
    <w:p w:rsidR="005603EC" w:rsidRDefault="00AB61AC">
      <w:pPr>
        <w:pStyle w:val="af"/>
        <w:spacing w:after="0" w:line="360" w:lineRule="auto"/>
        <w:ind w:firstLine="709"/>
        <w:jc w:val="both"/>
      </w:pPr>
      <w:r>
        <w:t>77.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78.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79. Wooldridge J.M. Econometric Analysis of Cross Section and Panel Data. – 2nd ed. – Cambridge, MA: MIT Press, 2010.</w:t>
      </w:r>
    </w:p>
    <w:p w:rsidR="005603EC" w:rsidRDefault="00AB61AC">
      <w:pPr>
        <w:pStyle w:val="af"/>
        <w:spacing w:after="0" w:line="360" w:lineRule="auto"/>
        <w:ind w:firstLine="709"/>
        <w:jc w:val="both"/>
      </w:pPr>
      <w:r>
        <w:t>80.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81.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82.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83.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84.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85.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86.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87.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88.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89.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90.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91. Adrian T., Brunnermeier M.K. CoVaR // American Economic Review. – 2016. – Vol. 106, No. 7. – P. 1705–1741.</w:t>
      </w:r>
    </w:p>
    <w:p w:rsidR="005603EC" w:rsidRDefault="00AB61AC">
      <w:pPr>
        <w:pStyle w:val="af"/>
        <w:spacing w:after="0" w:line="360" w:lineRule="auto"/>
        <w:ind w:firstLine="709"/>
        <w:jc w:val="both"/>
      </w:pPr>
      <w:r>
        <w:t>92.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93.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94.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95.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96.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97.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98.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99.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100.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101. Charoenwong B., Miao M., Ruan T. Nonperforming Loan Disposals Without Resolution // Management Science. – 2025. – Vol. 71, No. 1. – P. 898–916.</w:t>
      </w:r>
    </w:p>
    <w:p w:rsidR="005603EC" w:rsidRDefault="00AB61AC">
      <w:pPr>
        <w:pStyle w:val="af"/>
        <w:spacing w:after="0" w:line="360" w:lineRule="auto"/>
        <w:ind w:firstLine="709"/>
        <w:jc w:val="both"/>
      </w:pPr>
      <w:r>
        <w:t>102.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103.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104.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105.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t>106.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107. Davis E.P., Karim D. Comparing early warning systems for banking crises // Journal of Financial Stability. – 2008. – Vol. 4, No. 2. – P. 89–120.</w:t>
      </w:r>
    </w:p>
    <w:p w:rsidR="005603EC" w:rsidRDefault="00AB61AC">
      <w:pPr>
        <w:pStyle w:val="af"/>
        <w:spacing w:after="0" w:line="360" w:lineRule="auto"/>
        <w:ind w:firstLine="709"/>
        <w:jc w:val="both"/>
      </w:pPr>
      <w:r>
        <w:t>108.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109.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110.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111. Diamond D.W., Dybvig P.H. Bank Runs, Deposit Insurance, and Liquidity // Journal of Political Economy. – 1983. – Vol. 91, No. 3. – P. 401–419.</w:t>
      </w:r>
    </w:p>
    <w:p w:rsidR="005603EC" w:rsidRDefault="00AB61AC">
      <w:pPr>
        <w:pStyle w:val="af"/>
        <w:spacing w:after="0" w:line="360" w:lineRule="auto"/>
        <w:ind w:firstLine="709"/>
        <w:jc w:val="both"/>
      </w:pPr>
      <w:r>
        <w:t>112. Fawcett T. An introduction to ROC analysis // Pattern Recognition Letters. – 2006. – Vol. 27, No. 8. – P. 861–874.</w:t>
      </w:r>
    </w:p>
    <w:p w:rsidR="005603EC" w:rsidRDefault="00AB61AC">
      <w:pPr>
        <w:pStyle w:val="af"/>
        <w:spacing w:after="0" w:line="360" w:lineRule="auto"/>
        <w:ind w:firstLine="709"/>
        <w:jc w:val="both"/>
      </w:pPr>
      <w:r>
        <w:t>113. Foos D., Norden L., Weber M. Loan growth and riskiness of banks // Journal of Banking &amp; Finance. – 2010. – Vol. 34, No. 12. – P. 2929–2940.</w:t>
      </w:r>
    </w:p>
    <w:p w:rsidR="005603EC" w:rsidRDefault="00AB61AC">
      <w:pPr>
        <w:pStyle w:val="af"/>
        <w:spacing w:after="0" w:line="360" w:lineRule="auto"/>
        <w:ind w:firstLine="709"/>
        <w:jc w:val="both"/>
      </w:pPr>
      <w:r>
        <w:t>114.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115. Hausman J.A. Specification Tests in Econometrics // Econometrica. – 1978. – Vol. 46, No. 6. – P. 1251–1271.</w:t>
      </w:r>
    </w:p>
    <w:p w:rsidR="005603EC" w:rsidRDefault="00AB61AC">
      <w:pPr>
        <w:pStyle w:val="af"/>
        <w:spacing w:after="0" w:line="360" w:lineRule="auto"/>
        <w:ind w:firstLine="709"/>
        <w:jc w:val="both"/>
      </w:pPr>
      <w:r>
        <w:t>116.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117.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118.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119. Kaminsky G., Lizondo S., Reinhart C.M. Leading Indicators of Currency Crises // IMF Staff Papers. – 1998. – Vol. 45, No. 1. – P. 1–48.</w:t>
      </w:r>
    </w:p>
    <w:p w:rsidR="005603EC" w:rsidRDefault="00AB61AC">
      <w:pPr>
        <w:pStyle w:val="af"/>
        <w:spacing w:after="0" w:line="360" w:lineRule="auto"/>
        <w:ind w:firstLine="709"/>
        <w:jc w:val="both"/>
      </w:pPr>
      <w:r>
        <w:t>120.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121. Laeven L., Levine R. Bank governance, regulation and risk taking // Journal of Financial Economics. – 2009. – Vol. 93, No. 2. – P. 259–275.</w:t>
      </w:r>
    </w:p>
    <w:p w:rsidR="005603EC" w:rsidRDefault="00AB61AC">
      <w:pPr>
        <w:pStyle w:val="af"/>
        <w:spacing w:after="0" w:line="360" w:lineRule="auto"/>
        <w:ind w:firstLine="709"/>
        <w:jc w:val="both"/>
      </w:pPr>
      <w:r>
        <w:t>122. Laeven L., Valencia F. Systemic Banking Crises Database II // IMF Economic Review. – 2020. – Vol. 68, No. 2. – P. 307–361.</w:t>
      </w:r>
    </w:p>
    <w:p w:rsidR="005603EC" w:rsidRDefault="00AB61AC">
      <w:pPr>
        <w:pStyle w:val="af"/>
        <w:spacing w:after="0" w:line="360" w:lineRule="auto"/>
        <w:ind w:firstLine="709"/>
        <w:jc w:val="both"/>
      </w:pPr>
      <w:r>
        <w:t>123.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124.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t>125.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126.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127. Mishkin F.S. Global Financial Instability: Framework, Events, Issues // Journal of Economic Perspectives. – 1999. – Vol. 13, No. 4. – P. 3–20.</w:t>
      </w:r>
    </w:p>
    <w:p w:rsidR="005603EC" w:rsidRDefault="00AB61AC">
      <w:pPr>
        <w:pStyle w:val="af"/>
        <w:spacing w:after="0" w:line="360" w:lineRule="auto"/>
        <w:ind w:firstLine="709"/>
        <w:jc w:val="both"/>
      </w:pPr>
      <w:r>
        <w:t>128. Nickell S. Biases in Dynamic Models with Fixed Effects // Econometrica. – 1981. – Vol. 49, No. 6. – P. 1417–1426.</w:t>
      </w:r>
    </w:p>
    <w:p w:rsidR="005603EC" w:rsidRDefault="00AB61AC">
      <w:pPr>
        <w:pStyle w:val="af"/>
        <w:spacing w:after="0" w:line="360" w:lineRule="auto"/>
        <w:ind w:firstLine="709"/>
        <w:jc w:val="both"/>
      </w:pPr>
      <w:r>
        <w:t>129. Roy A.D. Safety First and the Holding of Assets // Econometrica. – 1952. – Vol. 20, No. 3. – P. 431–449.</w:t>
      </w:r>
    </w:p>
    <w:p w:rsidR="005603EC" w:rsidRDefault="00AB61AC">
      <w:pPr>
        <w:pStyle w:val="af"/>
        <w:spacing w:after="0" w:line="360" w:lineRule="auto"/>
        <w:ind w:firstLine="709"/>
        <w:jc w:val="both"/>
      </w:pPr>
      <w:r>
        <w:t>130.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131. Shannon C.E. A Mathematical Theory of Communication // Bell System Technical Journal. – 1948. – Vol. 27, No. 3. – P. 379–423.</w:t>
      </w:r>
    </w:p>
    <w:p w:rsidR="005603EC" w:rsidRDefault="00AB61AC">
      <w:pPr>
        <w:pStyle w:val="af"/>
        <w:spacing w:after="0" w:line="360" w:lineRule="auto"/>
        <w:ind w:firstLine="709"/>
        <w:jc w:val="both"/>
      </w:pPr>
      <w:r>
        <w:t>132.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133.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134.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135.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136.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137.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138.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139.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140.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141.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142.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143.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144.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145.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146.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147.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148.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149.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151.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152.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153.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154.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155.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156.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157.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158.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159. O‘zbekiston Respublikasi Markaziy banki. Statistik byulleten: 2021-yil. – Toshkent, 2022. – https://cbu.uz/uz/statistics/buleten/.</w:t>
      </w:r>
    </w:p>
    <w:p w:rsidR="005603EC" w:rsidRDefault="00AB61AC">
      <w:pPr>
        <w:pStyle w:val="af"/>
        <w:spacing w:after="0" w:line="360" w:lineRule="auto"/>
        <w:ind w:firstLine="709"/>
        <w:jc w:val="both"/>
      </w:pPr>
      <w:r>
        <w:t>160. O‘zbekiston Respublikasi Markaziy banki. Statistik byulleten: 2026-yil mart. – Toshkent, 2026. – https://cbu.uz/uz/statistics/buleten/.</w:t>
      </w:r>
    </w:p>
    <w:p w:rsidR="005603EC" w:rsidRDefault="00AB61AC">
      <w:pPr>
        <w:pStyle w:val="af"/>
        <w:spacing w:after="0" w:line="360" w:lineRule="auto"/>
        <w:ind w:firstLine="709"/>
        <w:jc w:val="both"/>
      </w:pPr>
      <w:r>
        <w:t>161. O‘zbekiston Respublikasi Markaziy banki. Moliyaviy barqarorlik sharhi: 2022-yil. – Toshkent, 2023.</w:t>
      </w:r>
    </w:p>
    <w:p w:rsidR="005603EC" w:rsidRDefault="00AB61AC">
      <w:pPr>
        <w:pStyle w:val="af"/>
        <w:spacing w:after="0" w:line="360" w:lineRule="auto"/>
        <w:ind w:firstLine="709"/>
        <w:jc w:val="both"/>
      </w:pPr>
      <w:r>
        <w:t>162. The Central Bank of the Republic of Uzbekistan. Financial Stability Report for 2023. – Tashkent, 2024.</w:t>
      </w:r>
    </w:p>
    <w:p w:rsidR="005603EC" w:rsidRDefault="00AB61AC">
      <w:pPr>
        <w:pStyle w:val="af"/>
        <w:spacing w:after="0" w:line="360" w:lineRule="auto"/>
        <w:ind w:firstLine="709"/>
        <w:jc w:val="both"/>
      </w:pPr>
      <w:r>
        <w:t>163. O‘zbekiston Respublikasi Markaziy banki. 2024-yil uchun moliyaviy barqarorlik sharhi. – Toshkent, 2025.</w:t>
      </w:r>
    </w:p>
    <w:p w:rsidR="005603EC" w:rsidRDefault="00AB61AC">
      <w:pPr>
        <w:pStyle w:val="af"/>
        <w:spacing w:after="0" w:line="360" w:lineRule="auto"/>
        <w:ind w:firstLine="709"/>
        <w:jc w:val="both"/>
      </w:pPr>
      <w:r>
        <w:t>164. The Central Bank of the Republic of Uzbekistan. Financial Stability Report for 2025. – Tashkent, 2026.</w:t>
      </w:r>
    </w:p>
    <w:p w:rsidR="005603EC" w:rsidRDefault="00AB61AC">
      <w:pPr>
        <w:pStyle w:val="af"/>
        <w:spacing w:after="0" w:line="360" w:lineRule="auto"/>
        <w:ind w:firstLine="709"/>
        <w:jc w:val="both"/>
      </w:pPr>
      <w:r>
        <w:t>165. The Central Bank of the Republic of Uzbekistan. Annual Report 2023. – Tashkent, 2024.</w:t>
      </w:r>
    </w:p>
    <w:p w:rsidR="005603EC" w:rsidRDefault="00AB61AC">
      <w:pPr>
        <w:pStyle w:val="af"/>
        <w:spacing w:after="0" w:line="360" w:lineRule="auto"/>
        <w:ind w:firstLine="709"/>
        <w:jc w:val="both"/>
      </w:pPr>
      <w:r>
        <w:t>166.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167.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168.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169.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170.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171.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172.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173.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174.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175.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176.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177.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178.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179.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180.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181.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182.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183.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184.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185. The Central Bank of the Republic of Uzbekistan. Financial Stability Report for H1 2025. – Tashkent, 2025. – https://cbu.uz.</w:t>
      </w:r>
    </w:p>
    <w:p w:rsidR="005603EC" w:rsidRDefault="00AB61AC">
      <w:pPr>
        <w:pStyle w:val="af"/>
        <w:spacing w:after="0" w:line="360" w:lineRule="auto"/>
        <w:ind w:firstLine="709"/>
        <w:jc w:val="both"/>
      </w:pPr>
      <w:r>
        <w:t>186.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187.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188.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89">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0">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2">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5">
    <w:p w:rsidR="00AB61AC" w:rsidRDefault="00AB61AC">
      <w:pPr>
        <w:pStyle w:val="aff9"/>
      </w:pPr>
      <w:r>
        <w:rPr>
          <w:rStyle w:val="aff8"/>
        </w:rPr>
        <w:footnoteRef/>
      </w:r>
      <w:r>
        <w:t xml:space="preserve"> Roy A.D. Safety First and the Holding of Assets // Econometrica. – 1952. – Vol. 20, No. 3. – P. 431–449.</w:t>
      </w:r>
    </w:p>
  </w:footnote>
  <w:footnote w:id="96">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rsidR="00AB61AC" w:rsidRDefault="00AB61AC">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rsidR="00AB61AC" w:rsidRDefault="00AB61AC">
      <w:pPr>
        <w:pStyle w:val="aff9"/>
      </w:pPr>
      <w:r>
        <w:rPr>
          <w:rStyle w:val="aff8"/>
        </w:rPr>
        <w:footnoteRef/>
      </w:r>
      <w:r>
        <w:t xml:space="preserve"> Adrian T., Brunnermeier M.K. CoVaR // American Economic Review. – 2016. – Vol. 106, No. 7. – P. 1705–1741.</w:t>
      </w:r>
    </w:p>
  </w:footnote>
  <w:footnote w:id="10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rsidR="00AB61AC" w:rsidRDefault="00AB61AC">
      <w:pPr>
        <w:pStyle w:val="aff9"/>
      </w:pPr>
      <w:r>
        <w:rPr>
          <w:rStyle w:val="aff8"/>
        </w:rPr>
        <w:footnoteRef/>
      </w:r>
      <w:r>
        <w:t xml:space="preserve"> IFRS 9 Financial Instruments. – London: International Accounting Standards Board, 2014.</w:t>
      </w:r>
    </w:p>
  </w:footnote>
  <w:footnote w:id="103">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ishlab chiqildi.</w:t>
      </w:r>
    </w:p>
  </w:footnote>
  <w:footnote w:id="105">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8">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0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7">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49">
    <w:p w:rsidR="00AB61AC" w:rsidRDefault="00AB61AC">
      <w:pPr>
        <w:pStyle w:val="aff9"/>
      </w:pPr>
      <w:r>
        <w:rPr>
          <w:rStyle w:val="aff8"/>
        </w:rPr>
        <w:footnoteRef/>
      </w:r>
      <w:r>
        <w:t xml:space="preserve"> Basel Committee on Banking Supervision. Basel III: The Net Stable Funding Ratio. – Basel: BIS, October 2014.</w:t>
      </w:r>
    </w:p>
  </w:footnote>
  <w:footnote w:id="150">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1">
    <w:p w:rsidR="00AB61AC" w:rsidRDefault="00AB61AC">
      <w:pPr>
        <w:pStyle w:val="aff9"/>
      </w:pPr>
      <w:r>
        <w:rPr>
          <w:rStyle w:val="aff8"/>
        </w:rPr>
        <w:footnoteRef/>
      </w:r>
      <w:r>
        <w:t xml:space="preserve"> Basel Committee on Banking Supervision. Basel III: Finalising post-crisis reforms. – Basel: BIS, December 2017.</w:t>
      </w:r>
    </w:p>
  </w:footnote>
  <w:footnote w:id="152">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rsidR="00AB61AC" w:rsidRDefault="00AB61AC">
      <w:pPr>
        <w:pStyle w:val="aff9"/>
      </w:pPr>
      <w:r>
        <w:rPr>
          <w:rStyle w:val="aff8"/>
        </w:rPr>
        <w:footnoteRef/>
      </w:r>
      <w:r>
        <w:t xml:space="preserve"> IFRS 9 Financial Instruments. – London: International Accounting Standards Board, 2014.</w:t>
      </w:r>
    </w:p>
  </w:footnote>
  <w:footnote w:id="157">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1">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2">
    <w:p w:rsidR="00AB61AC" w:rsidRDefault="00AB61AC">
      <w:pPr>
        <w:pStyle w:val="aff9"/>
      </w:pPr>
      <w:r>
        <w:rPr>
          <w:rStyle w:val="aff8"/>
        </w:rPr>
        <w:footnoteRef/>
      </w:r>
      <w:r>
        <w:t xml:space="preserve"> International Monetary Fund. 2019 Financial Soundness Indicators Compilation Guide. – Washington, DC: IMF, 2019.</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Tadqiqot natijasida muallif tomonidan ishlab chiqildi.</w:t>
      </w:r>
    </w:p>
  </w:footnote>
  <w:footnote w:id="165">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rsidR="00AB61AC" w:rsidRDefault="00AB61AC">
      <w:pPr>
        <w:pStyle w:val="aff9"/>
      </w:pPr>
      <w:r>
        <w:rPr>
          <w:rStyle w:val="aff8"/>
        </w:rPr>
        <w:footnoteRef/>
      </w:r>
      <w:r>
        <w:t xml:space="preserve"> Tadqiqot natijasida muallif tomonidan ishlab chiqildi.</w:t>
      </w:r>
    </w:p>
  </w:footnote>
  <w:footnote w:id="16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69">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1">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2">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5">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78">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112–114.</w:t>
      </w:r>
    </w:p>
  </w:footnote>
  <w:footnote w:id="179">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0">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8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92–104.</w:t>
      </w:r>
    </w:p>
  </w:footnote>
  <w:footnote w:id="18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60–61.</w:t>
      </w:r>
    </w:p>
  </w:footnote>
  <w:footnote w:id="188">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Оценка финансовой устойчивости кредитной организации: учебник / под ред. О.И. Лаврушина, И.Д. Мамоновой. – М.: КНОРУС, 2011. – С. 105–106.</w:t>
      </w:r>
    </w:p>
  </w:footnote>
  <w:footnote w:id="18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1">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2">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rsidR="00AB61AC" w:rsidRDefault="00AB61AC">
      <w:pPr>
        <w:pStyle w:val="aff9"/>
      </w:pPr>
      <w:r>
        <w:rPr>
          <w:rStyle w:val="aff8"/>
        </w:rPr>
        <w:footnoteRef/>
      </w:r>
      <w:r>
        <w:t xml:space="preserve"> European Banking Authority. 2025 EU-wide stress test: Results. – Paris: EBA, 1 August 2025.</w:t>
      </w:r>
    </w:p>
  </w:footnote>
  <w:footnote w:id="203">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104–106.</w:t>
      </w:r>
    </w:p>
  </w:footnote>
  <w:footnote w:id="2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0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07">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08">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09">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0">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rsidR="00AB61AC" w:rsidRDefault="00AB61AC">
      <w:pPr>
        <w:pStyle w:val="aff9"/>
      </w:pPr>
      <w:r>
        <w:rPr>
          <w:rStyle w:val="aff8"/>
        </w:rPr>
        <w:footnoteRef/>
      </w:r>
      <w:r>
        <w:t xml:space="preserve"> Basel Committee on Banking Supervision. Report on the 2023 banking turmoil. – Basel: BIS, October 2023.</w:t>
      </w:r>
    </w:p>
  </w:footnote>
  <w:footnote w:id="21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15">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16">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17">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О.Н. Афанасьевой, С.Е. Дубовой. – М.: КНОРУС. – С. 48–49; Cargill T.F. The Financial System, Financial Regulation and Central Bank Policy. – Cambridge: Cambridge University Press, 2017. – P. 195–196.</w:t>
      </w:r>
    </w:p>
  </w:footnote>
  <w:footnote w:id="21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1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0">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1">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22">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4">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6">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27">
    <w:p w:rsidR="00AB61AC" w:rsidRDefault="00AB61AC">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0">
    <w:p w:rsidR="00AB61AC" w:rsidRDefault="00AB61AC">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3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3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3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3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37">
    <w:p w:rsidR="00AB61AC" w:rsidRDefault="00AB61AC">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rsidR="00AB61AC" w:rsidRDefault="00AB61AC">
      <w:pPr>
        <w:pStyle w:val="aff9"/>
      </w:pPr>
      <w:r>
        <w:rPr>
          <w:rStyle w:val="aff8"/>
        </w:rPr>
        <w:footnoteRef/>
      </w:r>
      <w:r>
        <w:t xml:space="preserve"> Muallif ishlanmasi.</w:t>
      </w:r>
    </w:p>
  </w:footnote>
  <w:footnote w:id="241">
    <w:p w:rsidR="00AB61AC" w:rsidRDefault="00AB61AC">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rsidR="00AB61AC" w:rsidRDefault="00AB61AC">
      <w:pPr>
        <w:pStyle w:val="aff9"/>
      </w:pPr>
      <w:r>
        <w:rPr>
          <w:rStyle w:val="aff8"/>
        </w:rPr>
        <w:footnoteRef/>
      </w:r>
      <w:r>
        <w:t xml:space="preserve"> Бердияров Б.Т. Ko‘rsatilgan asar. – Б. 27.</w:t>
      </w:r>
    </w:p>
  </w:footnote>
  <w:footnote w:id="245">
    <w:p w:rsidR="00AB61AC" w:rsidRDefault="00AB61AC">
      <w:pPr>
        <w:pStyle w:val="aff9"/>
      </w:pPr>
      <w:r>
        <w:rPr>
          <w:rStyle w:val="aff8"/>
        </w:rPr>
        <w:footnoteRef/>
      </w:r>
      <w:r>
        <w:t xml:space="preserve"> Karaliyev T.M., Sayfiddinov I.F. Ko‘rsatilgan asar. – B. 208.</w:t>
      </w:r>
    </w:p>
  </w:footnote>
  <w:footnote w:id="246">
    <w:p w:rsidR="00AB61AC" w:rsidRDefault="00AB61AC">
      <w:pPr>
        <w:pStyle w:val="aff9"/>
      </w:pPr>
      <w:r>
        <w:rPr>
          <w:rStyle w:val="aff8"/>
        </w:rPr>
        <w:footnoteRef/>
      </w:r>
      <w:r>
        <w:t xml:space="preserve"> The Central Bank of the Republic of Uzbekistan. “Roadmap”… – Item 13.</w:t>
      </w:r>
    </w:p>
  </w:footnote>
  <w:footnote w:id="247">
    <w:p w:rsidR="00AB61AC" w:rsidRDefault="00AB61AC">
      <w:pPr>
        <w:pStyle w:val="aff9"/>
      </w:pPr>
      <w:r>
        <w:rPr>
          <w:rStyle w:val="aff8"/>
        </w:rPr>
        <w:footnoteRef/>
      </w:r>
      <w:r>
        <w:t xml:space="preserve"> Karaliyev T.M., Sayfiddinov I.F. Ko‘rsatilgan asar. – B. 213.</w:t>
      </w:r>
    </w:p>
  </w:footnote>
  <w:footnote w:id="248">
    <w:p w:rsidR="00AB61AC" w:rsidRDefault="00AB61AC">
      <w:pPr>
        <w:pStyle w:val="aff9"/>
      </w:pPr>
      <w:r>
        <w:rPr>
          <w:rStyle w:val="aff8"/>
        </w:rPr>
        <w:footnoteRef/>
      </w:r>
      <w:r>
        <w:t xml:space="preserve"> The Central Bank of the Republic of Uzbekistan. “Roadmap”… – Item 13.</w:t>
      </w:r>
    </w:p>
  </w:footnote>
  <w:footnote w:id="249">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rsidR="00AB61AC" w:rsidRDefault="00AB61AC">
      <w:pPr>
        <w:pStyle w:val="aff9"/>
      </w:pPr>
      <w:r>
        <w:rPr>
          <w:rStyle w:val="aff8"/>
        </w:rPr>
        <w:footnoteRef/>
      </w:r>
      <w:r>
        <w:t xml:space="preserve"> 2026-yil uchun mahalliy tizimli ahamiyatga molik banklar belgilandi // O‘zbekiston Respublikasi Markaziy banki.</w:t>
      </w:r>
    </w:p>
  </w:footnote>
  <w:footnote w:id="251">
    <w:p w:rsidR="00AB61AC" w:rsidRDefault="00AB61AC">
      <w:pPr>
        <w:pStyle w:val="aff9"/>
      </w:pPr>
      <w:r>
        <w:rPr>
          <w:rStyle w:val="aff8"/>
        </w:rPr>
        <w:footnoteRef/>
      </w:r>
      <w:r>
        <w:t xml:space="preserve"> IMF Country Report No. 25/227, 2025.</w:t>
      </w:r>
    </w:p>
  </w:footnote>
  <w:footnote w:id="252">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rsidR="00AB61AC" w:rsidRDefault="00AB61AC">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rsidR="00AB61AC" w:rsidRDefault="00AB61AC">
      <w:pPr>
        <w:pStyle w:val="aff9"/>
      </w:pPr>
      <w:r>
        <w:rPr>
          <w:rStyle w:val="aff8"/>
        </w:rPr>
        <w:footnoteRef/>
      </w:r>
      <w:r>
        <w:t xml:space="preserve"> The Central Bank of Uzbekistan. Financial Stability Report for 2025.</w:t>
      </w:r>
    </w:p>
  </w:footnote>
  <w:footnote w:id="256">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rsidR="00AB61AC" w:rsidRDefault="00AB61AC">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rsidR="00AB61AC" w:rsidRDefault="00AB61AC">
      <w:pPr>
        <w:pStyle w:val="aff9"/>
      </w:pPr>
      <w:r>
        <w:rPr>
          <w:rStyle w:val="aff8"/>
        </w:rPr>
        <w:footnoteRef/>
      </w:r>
      <w:r>
        <w:t xml:space="preserve"> IMF Country Report No. 25/227, 2025.</w:t>
      </w:r>
    </w:p>
  </w:footnote>
  <w:footnote w:id="259">
    <w:p w:rsidR="00AB61AC" w:rsidRDefault="00AB61AC">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rsidR="00AB61AC" w:rsidRDefault="00AB61AC">
      <w:pPr>
        <w:pStyle w:val="aff9"/>
      </w:pPr>
      <w:r>
        <w:rPr>
          <w:rStyle w:val="aff8"/>
        </w:rPr>
        <w:footnoteRef/>
      </w:r>
      <w:r>
        <w:t xml:space="preserve"> Muallif ishlanmasi.</w:t>
      </w:r>
    </w:p>
  </w:footnote>
  <w:footnote w:id="261">
    <w:p w:rsidR="00AB61AC" w:rsidRDefault="00AB61AC">
      <w:pPr>
        <w:pStyle w:val="aff9"/>
      </w:pPr>
      <w:r>
        <w:rPr>
          <w:rStyle w:val="aff8"/>
        </w:rPr>
        <w:footnoteRef/>
      </w:r>
      <w:r>
        <w:t xml:space="preserve"> IMF Country Report No. 25/227, 2025.</w:t>
      </w:r>
    </w:p>
  </w:footnote>
  <w:footnote w:id="262">
    <w:p w:rsidR="00AB61AC" w:rsidRDefault="00AB61AC">
      <w:pPr>
        <w:pStyle w:val="aff9"/>
      </w:pPr>
      <w:r>
        <w:rPr>
          <w:rStyle w:val="aff8"/>
        </w:rPr>
        <w:footnoteRef/>
      </w:r>
      <w:r>
        <w:t xml:space="preserve"> IMF Country Report No. 25/145, 2025.</w:t>
      </w:r>
    </w:p>
  </w:footnote>
  <w:footnote w:id="263">
    <w:p w:rsidR="00AB61AC" w:rsidRDefault="00AB61AC">
      <w:pPr>
        <w:pStyle w:val="aff9"/>
      </w:pPr>
      <w:r>
        <w:rPr>
          <w:rStyle w:val="aff8"/>
        </w:rPr>
        <w:footnoteRef/>
      </w:r>
      <w:r>
        <w:t xml:space="preserve"> The Central Bank of the Republic of Uzbekistan. “Roadmap”… – Item 3.</w:t>
      </w:r>
    </w:p>
  </w:footnote>
  <w:footnote w:id="264">
    <w:p w:rsidR="00AB61AC" w:rsidRDefault="00AB61AC">
      <w:pPr>
        <w:pStyle w:val="aff9"/>
      </w:pPr>
      <w:r>
        <w:rPr>
          <w:rStyle w:val="aff8"/>
        </w:rPr>
        <w:footnoteRef/>
      </w:r>
      <w:r>
        <w:t xml:space="preserve"> O‘sha joyda. – Items 5, 19.</w:t>
      </w:r>
    </w:p>
  </w:footnote>
  <w:footnote w:id="265">
    <w:p w:rsidR="00AB61AC" w:rsidRDefault="00AB61AC">
      <w:pPr>
        <w:pStyle w:val="aff9"/>
      </w:pPr>
      <w:r>
        <w:rPr>
          <w:rStyle w:val="aff8"/>
        </w:rPr>
        <w:footnoteRef/>
      </w:r>
      <w:r>
        <w:t xml:space="preserve"> IMF Country Report No. 25/145, 2025.</w:t>
      </w:r>
    </w:p>
  </w:footnote>
  <w:footnote w:id="266">
    <w:p w:rsidR="00AB61AC" w:rsidRDefault="00AB61AC">
      <w:pPr>
        <w:pStyle w:val="aff9"/>
      </w:pPr>
      <w:r>
        <w:rPr>
          <w:rStyle w:val="aff8"/>
        </w:rPr>
        <w:footnoteRef/>
      </w:r>
      <w:r>
        <w:t xml:space="preserve"> The Central Bank of the Republic of Uzbekistan. “Roadmap”… – Items 7, 16.</w:t>
      </w:r>
    </w:p>
  </w:footnote>
  <w:footnote w:id="267">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68">
    <w:p w:rsidR="00AB61AC" w:rsidRDefault="00AB61AC">
      <w:pPr>
        <w:pStyle w:val="aff9"/>
      </w:pPr>
      <w:r>
        <w:rPr>
          <w:rStyle w:val="aff8"/>
        </w:rPr>
        <w:footnoteRef/>
      </w:r>
      <w:r>
        <w:t xml:space="preserve"> The Central Bank of the Republic of Uzbekistan. “Roadmap”… – Item 9.</w:t>
      </w:r>
    </w:p>
  </w:footnote>
  <w:footnote w:id="269">
    <w:p w:rsidR="00AB61AC" w:rsidRDefault="00AB61AC">
      <w:pPr>
        <w:pStyle w:val="aff9"/>
      </w:pPr>
      <w:r>
        <w:rPr>
          <w:rStyle w:val="aff8"/>
        </w:rPr>
        <w:footnoteRef/>
      </w:r>
      <w:r>
        <w:t xml:space="preserve"> O‘sha joyda. – Item 31.</w:t>
      </w:r>
    </w:p>
  </w:footnote>
  <w:footnote w:id="270">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1">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2">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3">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4">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75">
    <w:p w:rsidR="00AB61AC" w:rsidRDefault="00AB61AC">
      <w:pPr>
        <w:pStyle w:val="aff9"/>
      </w:pPr>
      <w:r>
        <w:rPr>
          <w:rStyle w:val="aff8"/>
        </w:rPr>
        <w:footnoteRef/>
      </w:r>
      <w:r>
        <w:t xml:space="preserve"> World Bank. Republic of Uzbekistan: Financial Sector Assessment. – Washington, DC: World Bank, 2025.</w:t>
      </w:r>
    </w:p>
  </w:footnote>
  <w:footnote w:id="276">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rsidR="00AB61AC" w:rsidRDefault="00AB61AC">
      <w:pPr>
        <w:pStyle w:val="aff9"/>
      </w:pPr>
      <w:r>
        <w:rPr>
          <w:rStyle w:val="aff8"/>
        </w:rPr>
        <w:footnoteRef/>
      </w:r>
      <w:r>
        <w:t xml:space="preserve"> Tadqiqot natijasida muallif tomonidan 2.2.1-jadval ma’lumotlari asosida ishlab chiqildi.</w:t>
      </w:r>
    </w:p>
  </w:footnote>
  <w:footnote w:id="28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85">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O‘zbekiston Respublikasi Markaziy banki. Moliyaviy barqarorlik sharhi: 2022-yil. – Toshkent, 2023.</w:t>
      </w:r>
    </w:p>
  </w:footnote>
  <w:footnote w:id="290">
    <w:p w:rsidR="00AB61AC" w:rsidRDefault="00AB61AC">
      <w:pPr>
        <w:pStyle w:val="aff9"/>
      </w:pPr>
      <w:r>
        <w:rPr>
          <w:rStyle w:val="aff8"/>
        </w:rPr>
        <w:footnoteRef/>
      </w:r>
      <w:r>
        <w:t xml:space="preserve"> The Central Bank of the Republic of Uzbekistan. Annual Report 2023. – Tashkent, 2024. – P. 57.</w:t>
      </w:r>
    </w:p>
  </w:footnote>
  <w:footnote w:id="291">
    <w:p w:rsidR="00AB61AC" w:rsidRDefault="00AB61AC">
      <w:pPr>
        <w:pStyle w:val="aff9"/>
      </w:pPr>
      <w:r>
        <w:rPr>
          <w:rStyle w:val="aff8"/>
        </w:rPr>
        <w:footnoteRef/>
      </w:r>
      <w:r>
        <w:t xml:space="preserve"> The Central Bank of the Republic of Uzbekistan. Financial Stability Report for 2025. – Tashkent, 2026.</w:t>
      </w:r>
    </w:p>
  </w:footnote>
  <w:footnote w:id="292">
    <w:p w:rsidR="00AB61AC" w:rsidRDefault="00AB61AC">
      <w:pPr>
        <w:pStyle w:val="aff9"/>
      </w:pPr>
      <w:r>
        <w:rPr>
          <w:rStyle w:val="aff8"/>
        </w:rPr>
        <w:footnoteRef/>
      </w:r>
      <w:r>
        <w:t xml:space="preserve"> World Bank. Republic of Uzbekistan: Financial Sector Assessment. – Washington, DC: World Bank, 2025.</w:t>
      </w:r>
    </w:p>
  </w:footnote>
  <w:footnote w:id="293">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2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29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299">
    <w:p w:rsidR="00AB61AC" w:rsidRDefault="00AB61AC">
      <w:pPr>
        <w:pStyle w:val="aff9"/>
      </w:pPr>
      <w:r>
        <w:rPr>
          <w:rStyle w:val="aff8"/>
        </w:rPr>
        <w:footnoteRef/>
      </w:r>
      <w:r>
        <w:t xml:space="preserve"> Tadqiqot natijasida muallif tomonidan 2.2.1-jadval ma’lumotlari asosida ishlab chiqildi.</w:t>
      </w:r>
    </w:p>
  </w:footnote>
  <w:footnote w:id="30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1">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0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0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3">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1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6">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8">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1">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2">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3">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24">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5">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7">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28">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2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0">
    <w:p w:rsidR="00AB61AC" w:rsidRDefault="00AB61AC">
      <w:pPr>
        <w:pStyle w:val="aff9"/>
      </w:pPr>
      <w:r>
        <w:rPr>
          <w:rStyle w:val="aff8"/>
        </w:rPr>
        <w:footnoteRef/>
      </w:r>
      <w:r>
        <w:t xml:space="preserve"> IFRS 9 Financial Instruments. – London: International Accounting Standards Board, 2014.</w:t>
      </w:r>
    </w:p>
  </w:footnote>
  <w:footnote w:id="331">
    <w:p w:rsidR="00AB61AC" w:rsidRDefault="00AB61AC">
      <w:pPr>
        <w:pStyle w:val="aff9"/>
      </w:pPr>
      <w:r>
        <w:rPr>
          <w:rStyle w:val="aff8"/>
        </w:rPr>
        <w:footnoteRef/>
      </w:r>
      <w:r>
        <w:t xml:space="preserve"> Tadqiqot natijasida muallif tomonidan ishlab chiqildi.</w:t>
      </w:r>
    </w:p>
  </w:footnote>
  <w:footnote w:id="332">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3">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35">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36">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9">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1">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3">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6">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7">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0">
    <w:p w:rsidR="00AB61AC" w:rsidRDefault="00AB61AC">
      <w:pPr>
        <w:pStyle w:val="aff9"/>
      </w:pPr>
      <w:r>
        <w:rPr>
          <w:rStyle w:val="aff8"/>
        </w:rPr>
        <w:footnoteRef/>
      </w:r>
      <w:r>
        <w:t xml:space="preserve"> Basel Committee on Banking Supervision. Basel III: The Net Stable Funding Ratio. – Basel: BIS, October 2014.</w:t>
      </w:r>
    </w:p>
  </w:footnote>
  <w:footnote w:id="351">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2">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53">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4">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55">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56">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57">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8">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59">
    <w:p w:rsidR="00AB61AC" w:rsidRDefault="00AB61AC">
      <w:pPr>
        <w:pStyle w:val="aff9"/>
      </w:pPr>
      <w:r>
        <w:rPr>
          <w:rStyle w:val="aff8"/>
        </w:rPr>
        <w:footnoteRef/>
      </w:r>
      <w:r>
        <w:t xml:space="preserve"> Tadqiqot natijasida muallif tomonidan 2.3.4-jadval ma’lumotlari asosida ishlab chiqildi.</w:t>
      </w:r>
    </w:p>
  </w:footnote>
  <w:footnote w:id="360">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1">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2">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63">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67">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6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6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0">
    <w:p w:rsidR="00AB61AC" w:rsidRDefault="00AB61AC">
      <w:pPr>
        <w:pStyle w:val="aff9"/>
      </w:pPr>
      <w:r>
        <w:rPr>
          <w:rStyle w:val="aff8"/>
        </w:rPr>
        <w:footnoteRef/>
      </w:r>
      <w:r>
        <w:t xml:space="preserve"> Tadqiqot natijasida muallif tomonidan dissertatsiyaning 2.1–2.3-paragraflari natijalari asosida ishlab chiqildi.</w:t>
      </w:r>
    </w:p>
  </w:footnote>
  <w:footnote w:id="371">
    <w:p w:rsidR="00AB61AC" w:rsidRDefault="00AB61AC">
      <w:pPr>
        <w:pStyle w:val="aff9"/>
      </w:pPr>
      <w:r>
        <w:rPr>
          <w:rStyle w:val="aff8"/>
        </w:rPr>
        <w:footnoteRef/>
      </w:r>
      <w:r>
        <w:t xml:space="preserve"> Tadqiqot natijasida muallif tomonidan ishlab chiqildi.</w:t>
      </w:r>
    </w:p>
  </w:footnote>
  <w:footnote w:id="372">
    <w:p w:rsidR="00AB61AC" w:rsidRDefault="00AB61AC">
      <w:pPr>
        <w:pStyle w:val="aff9"/>
      </w:pPr>
      <w:r>
        <w:rPr>
          <w:rStyle w:val="aff8"/>
        </w:rPr>
        <w:footnoteRef/>
      </w:r>
      <w:r>
        <w:t xml:space="preserve"> International Monetary Fund. 2019 Financial Soundness Indicators Compilation Guide. – Washington, DC: IMF, 2019.</w:t>
      </w:r>
    </w:p>
  </w:footnote>
  <w:footnote w:id="37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74">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75">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76">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77">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8">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1">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2">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83">
    <w:p w:rsidR="00AB61AC" w:rsidRDefault="00AB61AC">
      <w:pPr>
        <w:pStyle w:val="aff9"/>
      </w:pPr>
      <w:r>
        <w:rPr>
          <w:rStyle w:val="aff8"/>
        </w:rPr>
        <w:footnoteRef/>
      </w:r>
      <w:r>
        <w:t xml:space="preserve"> International Monetary Fund. 2019 Financial Soundness Indicators Compilation Guide. – Washington, DC: IMF, 2019.</w:t>
      </w:r>
    </w:p>
  </w:footnote>
  <w:footnote w:id="38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85">
    <w:p w:rsidR="00AB61AC" w:rsidRDefault="00AB61AC">
      <w:pPr>
        <w:pStyle w:val="aff9"/>
      </w:pPr>
      <w:r>
        <w:rPr>
          <w:rStyle w:val="aff8"/>
        </w:rPr>
        <w:footnoteRef/>
      </w:r>
      <w:r>
        <w:t xml:space="preserve"> Basel Committee on Banking Supervision. Basel III: The Net Stable Funding Ratio. – Basel: BIS, October 2014.</w:t>
      </w:r>
    </w:p>
  </w:footnote>
  <w:footnote w:id="386">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7">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2">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93">
    <w:p w:rsidR="00AB61AC" w:rsidRDefault="00AB61AC">
      <w:pPr>
        <w:pStyle w:val="aff9"/>
      </w:pPr>
      <w:r>
        <w:rPr>
          <w:rStyle w:val="aff8"/>
        </w:rPr>
        <w:footnoteRef/>
      </w:r>
      <w:r>
        <w:t xml:space="preserve"> Tadqiqot natijasida muallif tomonidan 3.1.2-jadval asosida ishlab chiqildi.</w:t>
      </w:r>
    </w:p>
  </w:footnote>
  <w:footnote w:id="394">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395">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397">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398">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0">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1">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2">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03">
    <w:p w:rsidR="00AB61AC" w:rsidRDefault="00AB61AC">
      <w:pPr>
        <w:pStyle w:val="aff9"/>
      </w:pPr>
      <w:r>
        <w:rPr>
          <w:rStyle w:val="aff8"/>
        </w:rPr>
        <w:footnoteRef/>
      </w:r>
      <w:r>
        <w:t xml:space="preserve"> Tadqiqot natijasida muallif tomonidan 3.1.5-jadval ma’lumotlari asosida ishlab chiqildi.</w:t>
      </w:r>
    </w:p>
  </w:footnote>
  <w:footnote w:id="404">
    <w:p w:rsidR="00AB61AC" w:rsidRDefault="00AB61AC">
      <w:pPr>
        <w:pStyle w:val="aff9"/>
      </w:pPr>
      <w:r>
        <w:rPr>
          <w:rStyle w:val="aff8"/>
        </w:rPr>
        <w:footnoteRef/>
      </w:r>
      <w:r>
        <w:t xml:space="preserve"> Tadqiqot natijasida muallif tomonidan 3.1.3 va 3.1.5-jadvallar ma’lumotlari asosida hisoblandi.</w:t>
      </w:r>
    </w:p>
  </w:footnote>
  <w:footnote w:id="405">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0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0">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1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0">
    <w:p w:rsidR="00AB61AC" w:rsidRDefault="00AB61AC">
      <w:pPr>
        <w:pStyle w:val="aff9"/>
      </w:pPr>
      <w:r>
        <w:rPr>
          <w:rStyle w:val="aff8"/>
        </w:rPr>
        <w:footnoteRef/>
      </w:r>
      <w:r>
        <w:t xml:space="preserve"> Tadqiqot natijasida muallif tomonidan 3.2.2-jadval ma’lumotlari asosida ishlab chiqildi.</w:t>
      </w:r>
    </w:p>
  </w:footnote>
  <w:footnote w:id="42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3">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0">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2">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33">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4">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5">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36">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7">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8">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9">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0">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1">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2">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43">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4">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5">
    <w:p w:rsidR="00AB61AC" w:rsidRDefault="00AB61AC">
      <w:pPr>
        <w:pStyle w:val="aff9"/>
      </w:pPr>
      <w:r>
        <w:rPr>
          <w:rStyle w:val="aff8"/>
        </w:rPr>
        <w:footnoteRef/>
      </w:r>
      <w:r>
        <w:t xml:space="preserve"> Roy A.D. Safety First and the Holding of Assets // Econometrica. – 1952. – Vol. 20, No. 3. – P. 431–449.</w:t>
      </w:r>
    </w:p>
  </w:footnote>
  <w:footnote w:id="446">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7">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9">
    <w:p w:rsidR="00AB61AC" w:rsidRDefault="00AB61AC">
      <w:pPr>
        <w:pStyle w:val="aff9"/>
      </w:pPr>
      <w:r>
        <w:rPr>
          <w:rStyle w:val="aff8"/>
        </w:rPr>
        <w:footnoteRef/>
      </w:r>
      <w:r>
        <w:t xml:space="preserve"> Tadqiqot natijasida muallif tomonidan 3.3.2-jadvalda ko‘rsatilgan manbalar ma’lumotlari asosida hisoblandi.</w:t>
      </w:r>
    </w:p>
  </w:footnote>
  <w:footnote w:id="450">
    <w:p w:rsidR="00AB61AC" w:rsidRDefault="00AB61AC">
      <w:pPr>
        <w:pStyle w:val="aff9"/>
      </w:pPr>
      <w:r>
        <w:rPr>
          <w:rStyle w:val="aff8"/>
        </w:rPr>
        <w:footnoteRef/>
      </w:r>
      <w:r>
        <w:t xml:space="preserve"> Tadqiqot natijasida muallif tomonidan 3.3.2-jadvalda ko‘rsatilgan manbalar ma’lumotlari asosida hisoblandi.</w:t>
      </w:r>
    </w:p>
  </w:footnote>
  <w:footnote w:id="451">
    <w:p w:rsidR="00AB61AC" w:rsidRDefault="00AB61AC">
      <w:pPr>
        <w:pStyle w:val="aff9"/>
      </w:pPr>
      <w:r>
        <w:rPr>
          <w:rStyle w:val="aff8"/>
        </w:rPr>
        <w:footnoteRef/>
      </w:r>
      <w:r>
        <w:t xml:space="preserve"> Tadqiqot natijasida muallif tomonidan 3.3.2-jadvalda ko‘rsatilgan manbalar ma’lumotlari asosida hisoblandi.</w:t>
      </w:r>
    </w:p>
  </w:footnote>
  <w:footnote w:id="452">
    <w:p w:rsidR="00AB61AC" w:rsidRDefault="00AB61AC">
      <w:pPr>
        <w:pStyle w:val="aff9"/>
      </w:pPr>
      <w:r>
        <w:rPr>
          <w:rStyle w:val="aff8"/>
        </w:rPr>
        <w:footnoteRef/>
      </w:r>
      <w:r>
        <w:t xml:space="preserve"> Baltagi B.H. Econometric Analysis of Panel Data. – 6th ed. – Cham: Springer, 2021.</w:t>
      </w:r>
    </w:p>
  </w:footnote>
  <w:footnote w:id="453">
    <w:p w:rsidR="00AB61AC" w:rsidRDefault="00AB61AC">
      <w:pPr>
        <w:pStyle w:val="aff9"/>
      </w:pPr>
      <w:r>
        <w:rPr>
          <w:rStyle w:val="aff8"/>
        </w:rPr>
        <w:footnoteRef/>
      </w:r>
      <w:r>
        <w:t xml:space="preserve"> Wooldridge J.M. Econometric Analysis of Cross Section and Panel Data. – 2nd ed. – Cambridge, MA: MIT Press, 2010.</w:t>
      </w:r>
    </w:p>
  </w:footnote>
  <w:footnote w:id="454">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5">
    <w:p w:rsidR="00AB61AC" w:rsidRDefault="00AB61AC">
      <w:pPr>
        <w:pStyle w:val="aff9"/>
      </w:pPr>
      <w:r>
        <w:rPr>
          <w:rStyle w:val="aff8"/>
        </w:rPr>
        <w:footnoteRef/>
      </w:r>
      <w:r>
        <w:t xml:space="preserve"> Hausman J.A. Specification Tests in Econometrics // Econometrica. – 1978. – Vol. 46, No. 6. – P. 1251–1271.</w:t>
      </w:r>
    </w:p>
  </w:footnote>
  <w:footnote w:id="456">
    <w:p w:rsidR="00AB61AC" w:rsidRDefault="00AB61AC">
      <w:pPr>
        <w:pStyle w:val="aff9"/>
      </w:pPr>
      <w:r>
        <w:rPr>
          <w:rStyle w:val="aff8"/>
        </w:rPr>
        <w:footnoteRef/>
      </w:r>
      <w:r>
        <w:t xml:space="preserve"> Nickell S. Biases in Dynamic Models with Fixed Effects // Econometrica. – 1981. – Vol. 49, No. 6. – P. 1417–1426.</w:t>
      </w:r>
    </w:p>
  </w:footnote>
  <w:footnote w:id="457">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8">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1">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2">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63">
    <w:p w:rsidR="00AB61AC" w:rsidRDefault="00AB61AC">
      <w:pPr>
        <w:pStyle w:val="aff9"/>
      </w:pPr>
      <w:r>
        <w:rPr>
          <w:rStyle w:val="aff8"/>
        </w:rPr>
        <w:footnoteRef/>
      </w:r>
      <w:r>
        <w:t xml:space="preserve"> Tadqiqot natijasida muallif tomonidan 3.3.2-jadvalda ko‘rsatilgan manbalar ma’lumotlari asosida hisoblandi.</w:t>
      </w:r>
    </w:p>
  </w:footnote>
  <w:footnote w:id="464">
    <w:p w:rsidR="00AB61AC" w:rsidRDefault="00AB61AC">
      <w:pPr>
        <w:pStyle w:val="aff9"/>
      </w:pPr>
      <w:r>
        <w:rPr>
          <w:rStyle w:val="aff8"/>
        </w:rPr>
        <w:footnoteRef/>
      </w:r>
      <w:r>
        <w:t xml:space="preserve"> Tadqiqot natijasida muallif tomonidan 3.3.2-jadvalda ko‘rsatilgan manbalar ma’lumotlari asosida hisoblandi.</w:t>
      </w:r>
    </w:p>
  </w:footnote>
  <w:footnote w:id="465">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68">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9">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0">
    <w:p w:rsidR="00AB61AC" w:rsidRDefault="00AB61AC">
      <w:pPr>
        <w:pStyle w:val="aff9"/>
      </w:pPr>
      <w:r>
        <w:rPr>
          <w:rStyle w:val="aff8"/>
        </w:rPr>
        <w:footnoteRef/>
      </w:r>
      <w:r>
        <w:t xml:space="preserve"> Tadqiqot natijasida muallif tomonidan 3.3.3–3.3.6-jadvallar ma’lumotlari asosida ishlab chiqildi.</w:t>
      </w:r>
    </w:p>
  </w:footnote>
  <w:footnote w:id="471">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2">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73">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4">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75">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7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7">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7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79">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1">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2">
    <w:p w:rsidR="00AB61AC" w:rsidRDefault="00AB61AC">
      <w:pPr>
        <w:pStyle w:val="aff9"/>
      </w:pPr>
      <w:r>
        <w:rPr>
          <w:rStyle w:val="aff8"/>
        </w:rPr>
        <w:footnoteRef/>
      </w:r>
      <w:r>
        <w:t xml:space="preserve"> Fawcett T. An introduction to ROC analysis // Pattern Recognition Letters. – 2006. – Vol. 27, No. 8. – P. 861–874.</w:t>
      </w:r>
    </w:p>
  </w:footnote>
  <w:footnote w:id="483">
    <w:p w:rsidR="00AB61AC" w:rsidRDefault="00AB61AC">
      <w:pPr>
        <w:pStyle w:val="aff9"/>
      </w:pPr>
      <w:r>
        <w:rPr>
          <w:rStyle w:val="aff8"/>
        </w:rPr>
        <w:footnoteRef/>
      </w:r>
      <w:r>
        <w:t xml:space="preserve"> Hosmer D.W., Lemeshow S., Sturdivant R.X. Applied Logistic Regression. – 3rd ed. – Hoboken, NJ: John Wiley &amp; Sons, 2013.</w:t>
      </w:r>
    </w:p>
  </w:footnote>
  <w:footnote w:id="484">
    <w:p w:rsidR="00AB61AC" w:rsidRDefault="00AB61AC">
      <w:pPr>
        <w:pStyle w:val="aff9"/>
      </w:pPr>
      <w:r>
        <w:rPr>
          <w:rStyle w:val="aff8"/>
        </w:rPr>
        <w:footnoteRef/>
      </w:r>
      <w:r>
        <w:t xml:space="preserve"> Tadqiqot natijasida muallif tomonidan 4.1.2-jadvalda ko‘rsatilgan manbalar ma’lumotlari asosida hisoblandi.</w:t>
      </w:r>
    </w:p>
  </w:footnote>
  <w:footnote w:id="485">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6">
    <w:p w:rsidR="00AB61AC" w:rsidRDefault="00AB61AC">
      <w:pPr>
        <w:pStyle w:val="aff9"/>
      </w:pPr>
      <w:r>
        <w:rPr>
          <w:rStyle w:val="aff8"/>
        </w:rPr>
        <w:footnoteRef/>
      </w:r>
      <w:r>
        <w:t xml:space="preserve"> Tadqiqot natijasida muallif tomonidan 4.1.2-jadvalda ko‘rsatilgan manbalar ma’lumotlari asosida hisoblandi.</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Hosmer D.W., Lemeshow S., Sturdivant R.X. Applied Logistic Regression. – 3rd ed. – Hoboken, NJ: John Wiley &amp; Sons, 2013.</w:t>
      </w:r>
    </w:p>
  </w:footnote>
  <w:footnote w:id="489">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0">
    <w:p w:rsidR="00AB61AC" w:rsidRDefault="00AB61AC">
      <w:pPr>
        <w:pStyle w:val="aff9"/>
      </w:pPr>
      <w:r>
        <w:rPr>
          <w:rStyle w:val="aff8"/>
        </w:rPr>
        <w:footnoteRef/>
      </w:r>
      <w:r>
        <w:t xml:space="preserve"> Tadqiqot natijasida muallif tomonidan 4.1.2-jadvalda ko‘rsatilgan manbalar ma’lumotlari asosida hisoblandi.</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5">
    <w:p w:rsidR="00AB61AC" w:rsidRDefault="00AB61AC">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6">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7">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498">
    <w:p w:rsidR="00AB61AC" w:rsidRDefault="00AB61AC">
      <w:pPr>
        <w:pStyle w:val="aff9"/>
      </w:pPr>
      <w:r>
        <w:rPr>
          <w:rStyle w:val="aff8"/>
        </w:rPr>
        <w:footnoteRef/>
      </w:r>
      <w:r>
        <w:t xml:space="preserve"> Tadqiqot natijasida muallif tomonidan 4.1.3–4.1.5-jadvallar ma’lumotlari asosida ishlab chiqildi.</w:t>
      </w:r>
    </w:p>
  </w:footnote>
  <w:footnote w:id="499">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0">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1">
    <w:p w:rsidR="00AB61AC" w:rsidRDefault="00AB61AC">
      <w:pPr>
        <w:pStyle w:val="aff9"/>
      </w:pPr>
      <w:r>
        <w:rPr>
          <w:rStyle w:val="aff8"/>
        </w:rPr>
        <w:footnoteRef/>
      </w:r>
      <w:r>
        <w:t xml:space="preserve"> Basel Committee on Banking Supervision. Stress testing principles. – Basel: BIS, October 2018.</w:t>
      </w:r>
    </w:p>
  </w:footnote>
  <w:footnote w:id="502">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03">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4">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5">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8">
    <w:p w:rsidR="00AB61AC" w:rsidRDefault="00AB61AC">
      <w:pPr>
        <w:pStyle w:val="aff9"/>
      </w:pPr>
      <w:r>
        <w:rPr>
          <w:rStyle w:val="aff8"/>
        </w:rPr>
        <w:footnoteRef/>
      </w:r>
      <w:r>
        <w:t xml:space="preserve"> Tadqiqot natijasida muallif tomonidan 4.2.2-jadvalda ko‘rsatilgan manbalar ma’lumotlari asosida hisoblandi.</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Tadqiqot natijasida muallif tomonidan 4.2.2-jadvalda ko‘rsatilgan manbalar ma’lumotlari asosida hisoblandi.</w:t>
      </w:r>
    </w:p>
  </w:footnote>
  <w:footnote w:id="511">
    <w:p w:rsidR="00AB61AC" w:rsidRDefault="00AB61AC">
      <w:pPr>
        <w:pStyle w:val="aff9"/>
      </w:pPr>
      <w:r>
        <w:rPr>
          <w:rStyle w:val="aff8"/>
        </w:rPr>
        <w:footnoteRef/>
      </w:r>
      <w:r>
        <w:t xml:space="preserve"> Tadqiqot natijasida muallif tomonidan 4.2.2-jadvalda ko‘rsatilgan manbalar ma’lumotlari asosida hisoblandi.</w:t>
      </w:r>
    </w:p>
  </w:footnote>
  <w:footnote w:id="512">
    <w:p w:rsidR="00AB61AC" w:rsidRDefault="00AB61AC">
      <w:pPr>
        <w:pStyle w:val="aff9"/>
      </w:pPr>
      <w:r>
        <w:rPr>
          <w:rStyle w:val="aff8"/>
        </w:rPr>
        <w:footnoteRef/>
      </w:r>
      <w:r>
        <w:t xml:space="preserve"> Tadqiqot natijasida muallif tomonidan 4.2.2-jadvalda ko‘rsatilgan manbalar ma’lumotlari asosida hisoblandi.</w:t>
      </w:r>
    </w:p>
  </w:footnote>
  <w:footnote w:id="513">
    <w:p w:rsidR="00AB61AC" w:rsidRDefault="00AB61AC">
      <w:pPr>
        <w:pStyle w:val="aff9"/>
      </w:pPr>
      <w:r>
        <w:rPr>
          <w:rStyle w:val="aff8"/>
        </w:rPr>
        <w:footnoteRef/>
      </w:r>
      <w:r>
        <w:t xml:space="preserve"> Tadqiqot natijasida muallif tomonidan 4.2.2-jadvalda ko‘rsatilgan manbalar ma’lumotlari asosida hisoblandi.</w:t>
      </w:r>
    </w:p>
  </w:footnote>
  <w:footnote w:id="51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15">
    <w:p w:rsidR="00AB61AC" w:rsidRDefault="00AB61AC">
      <w:pPr>
        <w:pStyle w:val="aff9"/>
      </w:pPr>
      <w:r>
        <w:rPr>
          <w:rStyle w:val="aff8"/>
        </w:rPr>
        <w:footnoteRef/>
      </w:r>
      <w:r>
        <w:t xml:space="preserve"> Tadqiqot natijasida muallif tomonidan 4.2.6-jadval ma’lumotlari asosida ishlab chiqildi.</w:t>
      </w:r>
    </w:p>
  </w:footnote>
  <w:footnote w:id="51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0">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4">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5">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6">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27">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1">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4">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5">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7">
    <w:p w:rsidR="00AB61AC" w:rsidRDefault="00AB61AC">
      <w:pPr>
        <w:pStyle w:val="aff9"/>
      </w:pPr>
      <w:r>
        <w:rPr>
          <w:rStyle w:val="aff8"/>
        </w:rPr>
        <w:footnoteRef/>
      </w:r>
      <w:r>
        <w:t xml:space="preserve"> Tadqiqot natijasida muallif tomonidan ishlab chiqildi.</w:t>
      </w:r>
    </w:p>
  </w:footnote>
  <w:footnote w:id="538">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