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bb33230dba9cc73d2a179f2e9c4e2d3e6d1ead"/>
    <w:p>
      <w:pPr>
        <w:pStyle w:val="Heading1"/>
        <w:keepNext/>
        <w:spacing w:line="360" w:lineRule="auto" w:before="240" w:after="120"/>
        <w:ind w:firstLine="0"/>
        <w:jc w:val="center"/>
      </w:pPr>
      <w:r>
        <w:rPr>
          <w:rFonts w:ascii="Times New Roman" w:hAnsi="Times New Roman" w:cs="Times New Roman" w:eastAsia="Times New Roman"/>
          <w:b/>
          <w:i w:val="0"/>
          <w:sz w:val="28"/>
        </w:rPr>
        <w:t xml:space="preserve">Mavzuga yaqin dissertatsiyalar va avtoreferatlar tahlili</w:t>
      </w:r>
    </w:p>
    <w:p>
      <w:pPr>
        <w:pStyle w:val="FirstParagraph"/>
        <w:spacing w:line="360" w:lineRule="auto" w:before="0" w:after="0"/>
        <w:ind w:firstLine="709"/>
        <w:jc w:val="both"/>
      </w:pPr>
      <w:r>
        <w:rPr>
          <w:rFonts w:ascii="Times New Roman" w:hAnsi="Times New Roman" w:cs="Times New Roman" w:eastAsia="Times New Roman"/>
          <w:sz w:val="28"/>
        </w:rPr>
        <w:t xml:space="preserve">Ushbu material «Tijorat banklari moliyaviy barqarorligini xalqaro standartlar asosida baholash metodologiyasini takomillashtirish» mavzusidagi DSc dissertatsiyasi uchun tayyorlandi. Unda mavzuga yaqin, O‘zbekistonda himoya qilingan yoki himoyaga taqdim etilgan dissertatsiyalarning mazmuni ko‘rib chiqildi, ularning bizning ish uchun foydali jihatlari va bizning ishning ulardan farqi ko‘rsatildi.</w:t>
      </w:r>
    </w:p>
    <w:bookmarkStart w:id="20" w:name="manbalar-va-qidiruv-natijalari"/>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1. Manbalar va qidiruv natijalari</w:t>
      </w:r>
    </w:p>
    <w:p>
      <w:pPr>
        <w:pStyle w:val="FirstParagraph"/>
        <w:spacing w:line="360" w:lineRule="auto" w:before="0" w:after="0"/>
        <w:ind w:firstLine="709"/>
        <w:jc w:val="both"/>
      </w:pPr>
      <w:r>
        <w:rPr>
          <w:rFonts w:ascii="Times New Roman" w:hAnsi="Times New Roman" w:cs="Times New Roman" w:eastAsia="Times New Roman"/>
          <w:sz w:val="28"/>
        </w:rPr>
        <w:t xml:space="preserve">Qidiruv uchta manba bo‘yicha amalga oshirildi. O‘zbekiston Milliy kutubxonasi elektron katalogida (natlib.uz) «bank» kalit so‘zi bo‘yicha 79 ta dissertatsiya va 387 ta avtoreferat mavjud, biroq ularning to‘liq matni faqat sayt ichidagi onlayn ko‘ruvchi orqali ochiladi. ZiyoNET kutubxonasining oliy o‘quv yurtidan keyingi ta’lim bo‘limida (library.ziyonet.uz) 2 986 ta avtoreferat mavjud bo‘lib, ularning barchasi ro‘yxati olindi va bank sohasiga oid 70 ga yaqin ish ajratildi. Toshkent davlat iqtisodiyot universiteti elektron kutubxonasida (ebook.tsue.uz) ayrim dissertatsiyalarning to‘liq matni yoki mundarijasi mavjud.</w:t>
      </w:r>
    </w:p>
    <w:p>
      <w:pPr>
        <w:pStyle w:val="BodyText"/>
        <w:spacing w:line="360" w:lineRule="auto" w:before="0" w:after="0"/>
        <w:ind w:firstLine="709"/>
        <w:jc w:val="both"/>
      </w:pPr>
      <w:r>
        <w:rPr>
          <w:rFonts w:ascii="Times New Roman" w:hAnsi="Times New Roman" w:cs="Times New Roman" w:eastAsia="Times New Roman"/>
          <w:sz w:val="28"/>
        </w:rPr>
        <w:t xml:space="preserve">Mavzuga eng yaqin 29 ta ishning to‘liq avtoreferati yoki dissertatsiyasi o‘qildi, yana 3 ta ishning faqat mundarijasi olindi. Ular yo‘nalishlar bo‘yicha quyidagi jadvalda umumlashtirildi.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Mavzuga yaqin dissertatsiyalar yo‘nalishlar bo‘yicha</w:t>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2041"/>
        <w:gridCol w:w="4139"/>
        <w:gridCol w:w="2664"/>
      </w:tblGrid>
      <w:tr>
        <w:trPr>
          <w:tblHeader w:val="true"/>
          <w:cantSplit/>
          <w:tblHeader/>
        </w:trPr>
        <w:tc>
          <w:tcPr>
            <w:tcW w:type="dxa" w:w="510"/>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Muallif, yil, daraja</w:t>
            </w:r>
          </w:p>
        </w:tc>
        <w:tc>
          <w:tcPr>
            <w:tcW w:type="dxa" w:w="413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Mavzu</w:t>
            </w:r>
          </w:p>
        </w:tc>
        <w:tc>
          <w:tcPr>
            <w:tcW w:type="dxa" w:w="266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Xalqaro standartlar qo‘llanilganmi</w:t>
            </w:r>
          </w:p>
        </w:tc>
      </w:tr>
      <w:tr>
        <w:trPr>
          <w:cantSplit/>
        </w:trPr>
        <w:tc>
          <w:tcPr>
            <w:tcW w:type="dxa" w:w="510"/>
          </w:tcPr>
          <w:p>
            <w:pPr>
              <w:pStyle w:val="Compact"/>
              <w:spacing w:line="240" w:lineRule="auto"/>
              <w:ind w:firstLine="0"/>
              <w:jc w:val="left"/>
            </w:pPr>
          </w:p>
        </w:tc>
        <w:tc>
          <w:tcPr>
            <w:tcW w:type="dxa" w:w="2041"/>
          </w:tcPr>
          <w:p>
            <w:pPr>
              <w:pStyle w:val="Compact"/>
              <w:spacing w:line="240" w:lineRule="auto"/>
              <w:ind w:firstLine="0"/>
              <w:jc w:val="left"/>
            </w:pPr>
            <w:r>
              <w:rPr>
                <w:bCs/>
                <w:rFonts w:ascii="Times New Roman" w:hAnsi="Times New Roman" w:cs="Times New Roman" w:eastAsia="Times New Roman"/>
                <w:b/>
                <w:sz w:val="22"/>
              </w:rPr>
              <w:t xml:space="preserve">Moliyaviy barqarorlik va uni baholash: umumiy va konseptual yondashuvlar</w:t>
            </w:r>
          </w:p>
        </w:tc>
        <w:tc>
          <w:tcPr>
            <w:tcW w:type="dxa" w:w="4139"/>
          </w:tcPr>
          <w:p>
            <w:pPr>
              <w:pStyle w:val="Compact"/>
              <w:spacing w:line="240" w:lineRule="auto"/>
              <w:ind w:firstLine="0"/>
              <w:jc w:val="left"/>
            </w:pPr>
          </w:p>
        </w:tc>
        <w:tc>
          <w:tcPr>
            <w:tcW w:type="dxa" w:w="2665"/>
          </w:tcPr>
          <w:p>
            <w:pPr>
              <w:pStyle w:val="Compact"/>
              <w:spacing w:line="240" w:lineRule="auto"/>
              <w:ind w:firstLine="0"/>
              <w:jc w:val="left"/>
            </w:pP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Sharipova N.H., 2026, DSc</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moliyaviy barqarorligini mustahkamlashning konseptual asoslarini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NSFR faqat natija sifatida</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Sattarov O.B., 2018, DSc</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O‘zbekiston Respublikasi bank tizimi barqarorligini ta’minlash metodologiyasini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II, CAMELS, RAROC</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3</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Madaminov B.A., 2026, DSc</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banklarida risk-menejment tizimini takomillashtirish asosida moliyaviy barqarorlikni ta’minlash metodologiyasi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Stress-test, erta ogohlantirish tizimi</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4</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Bozorov R.X., 2020,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moliyaviy barqarorligini ta’minlashni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5</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Djalilov G.K.,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Banklarning moliyaviy barqarorligini ta’minlashning ustuvor yo‘nalishlari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LCR, NSFR (milliy hisob), CCyB tajribasi</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6</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Sadikov I.G.,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Iqtisodiyotni transformatsiyalash jarayonida tijorat banklarining moliyaviy barqarorligini ta’minlash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CAMELS, NSFR qo‘shimcha ko‘rsatkich</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7</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Umarov D.Sh.,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daromadlarini oshirish asosida moliyaviy barqarorligini ta’minlash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8</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Abdishukurov Sh.Sh.,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banklarining moliyaviy barqarorligini ta’minlash yo‘nalishlari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CAMELS umumiy, stress-test</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9</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Ubaeva Sh.L., 2018,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barqarorligini samarali boshqarish mexanizmini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CAMEL, DEA</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10</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Xidirov M.A.,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kredit faoliyatini takomillashtirish orqali ularning moliyaviy barqarorligini ta’minlash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p>
        </w:tc>
        <w:tc>
          <w:tcPr>
            <w:tcW w:type="dxa" w:w="2041"/>
          </w:tcPr>
          <w:p>
            <w:pPr>
              <w:pStyle w:val="Compact"/>
              <w:spacing w:line="240" w:lineRule="auto"/>
              <w:ind w:firstLine="0"/>
              <w:jc w:val="left"/>
            </w:pPr>
            <w:r>
              <w:rPr>
                <w:bCs/>
                <w:rFonts w:ascii="Times New Roman" w:hAnsi="Times New Roman" w:cs="Times New Roman" w:eastAsia="Times New Roman"/>
                <w:b/>
                <w:sz w:val="22"/>
              </w:rPr>
              <w:t xml:space="preserve">Bank kapitali va kapitallashuv</w:t>
            </w:r>
          </w:p>
        </w:tc>
        <w:tc>
          <w:tcPr>
            <w:tcW w:type="dxa" w:w="4139"/>
          </w:tcPr>
          <w:p>
            <w:pPr>
              <w:pStyle w:val="Compact"/>
              <w:spacing w:line="240" w:lineRule="auto"/>
              <w:ind w:firstLine="0"/>
              <w:jc w:val="left"/>
            </w:pPr>
          </w:p>
        </w:tc>
        <w:tc>
          <w:tcPr>
            <w:tcW w:type="dxa" w:w="2665"/>
          </w:tcPr>
          <w:p>
            <w:pPr>
              <w:pStyle w:val="Compact"/>
              <w:spacing w:line="240" w:lineRule="auto"/>
              <w:ind w:firstLine="0"/>
              <w:jc w:val="left"/>
            </w:pP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11</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Egamova M.E., 2026, DSc</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kapitalini transformatsiya qilish uslubiyati va amaliyotini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umumiy (CET1, CoCo)</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12</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Yodgorov M.N.,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kapitali barqarorligini ta’minlash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III/IV, CCyB, stress-test</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13</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Olimjanova N.A., 2024,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kapitalida davlat ulushini kamaytirish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14</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Mirzayeva M.G‘.,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Xususiy banklarning kapitallashuv darajasini oshirish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p>
        </w:tc>
        <w:tc>
          <w:tcPr>
            <w:tcW w:type="dxa" w:w="2041"/>
          </w:tcPr>
          <w:p>
            <w:pPr>
              <w:pStyle w:val="Compact"/>
              <w:spacing w:line="240" w:lineRule="auto"/>
              <w:ind w:firstLine="0"/>
              <w:jc w:val="left"/>
            </w:pPr>
            <w:r>
              <w:rPr>
                <w:bCs/>
                <w:rFonts w:ascii="Times New Roman" w:hAnsi="Times New Roman" w:cs="Times New Roman" w:eastAsia="Times New Roman"/>
                <w:b/>
                <w:sz w:val="22"/>
              </w:rPr>
              <w:t xml:space="preserve">Likvidlilik va uni tartibga solish</w:t>
            </w:r>
          </w:p>
        </w:tc>
        <w:tc>
          <w:tcPr>
            <w:tcW w:type="dxa" w:w="4139"/>
          </w:tcPr>
          <w:p>
            <w:pPr>
              <w:pStyle w:val="Compact"/>
              <w:spacing w:line="240" w:lineRule="auto"/>
              <w:ind w:firstLine="0"/>
              <w:jc w:val="left"/>
            </w:pPr>
          </w:p>
        </w:tc>
        <w:tc>
          <w:tcPr>
            <w:tcW w:type="dxa" w:w="2665"/>
          </w:tcPr>
          <w:p>
            <w:pPr>
              <w:pStyle w:val="Compact"/>
              <w:spacing w:line="240" w:lineRule="auto"/>
              <w:ind w:firstLine="0"/>
              <w:jc w:val="left"/>
            </w:pP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15</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Abdullayev A.Ya., 2018, DSc</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banklarining likvidlilik darajasini oshirish metodologiyasini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tamoyillari, LCR/NSFR umumiy</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16</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Gadoyev S.J., 2020,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banklarida likvidlilik riskini boshqarishni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17</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Sulaymanov S.A.,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likvidliligini tartibga solishni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18</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Sattorova N.G‘.,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likvidliligini optimallashtirish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LCR, NSFR (Markaziy bank ma’lumotlari)</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19</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Izbosarov B.B., 2019,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Raqamli iqtisodiyotda tijorat banklari likvidliligini tartibga solish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p>
        </w:tc>
        <w:tc>
          <w:tcPr>
            <w:tcW w:type="dxa" w:w="2041"/>
          </w:tcPr>
          <w:p>
            <w:pPr>
              <w:pStyle w:val="Compact"/>
              <w:spacing w:line="240" w:lineRule="auto"/>
              <w:ind w:firstLine="0"/>
              <w:jc w:val="left"/>
            </w:pPr>
            <w:r>
              <w:rPr>
                <w:bCs/>
                <w:rFonts w:ascii="Times New Roman" w:hAnsi="Times New Roman" w:cs="Times New Roman" w:eastAsia="Times New Roman"/>
                <w:b/>
                <w:sz w:val="22"/>
              </w:rPr>
              <w:t xml:space="preserve">Aktivlar sifati va kredit riski</w:t>
            </w:r>
          </w:p>
        </w:tc>
        <w:tc>
          <w:tcPr>
            <w:tcW w:type="dxa" w:w="4139"/>
          </w:tcPr>
          <w:p>
            <w:pPr>
              <w:pStyle w:val="Compact"/>
              <w:spacing w:line="240" w:lineRule="auto"/>
              <w:ind w:firstLine="0"/>
              <w:jc w:val="left"/>
            </w:pPr>
          </w:p>
        </w:tc>
        <w:tc>
          <w:tcPr>
            <w:tcW w:type="dxa" w:w="2665"/>
          </w:tcPr>
          <w:p>
            <w:pPr>
              <w:pStyle w:val="Compact"/>
              <w:spacing w:line="240" w:lineRule="auto"/>
              <w:ind w:firstLine="0"/>
              <w:jc w:val="left"/>
            </w:pP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20</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Ismatov N.R., 2026, DSc</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Bank kredit portfeli riskini baholash va boshqarishning metodologik asoslarini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MHXS 9 (PD, LGD, EAD), EBA</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21</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Yusupov Sh.M.,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kredit portfeli sifatini oshirish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22</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Sabirova L.B.,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banklarida kredit portfeli sifatini oshirish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p>
        </w:tc>
        <w:tc>
          <w:tcPr>
            <w:tcW w:type="dxa" w:w="2041"/>
          </w:tcPr>
          <w:p>
            <w:pPr>
              <w:pStyle w:val="Compact"/>
              <w:spacing w:line="240" w:lineRule="auto"/>
              <w:ind w:firstLine="0"/>
              <w:jc w:val="left"/>
            </w:pPr>
            <w:r>
              <w:rPr>
                <w:bCs/>
                <w:rFonts w:ascii="Times New Roman" w:hAnsi="Times New Roman" w:cs="Times New Roman" w:eastAsia="Times New Roman"/>
                <w:b/>
                <w:sz w:val="22"/>
              </w:rPr>
              <w:t xml:space="preserve">Resurs bazasi barqarorligi</w:t>
            </w:r>
          </w:p>
        </w:tc>
        <w:tc>
          <w:tcPr>
            <w:tcW w:type="dxa" w:w="4139"/>
          </w:tcPr>
          <w:p>
            <w:pPr>
              <w:pStyle w:val="Compact"/>
              <w:spacing w:line="240" w:lineRule="auto"/>
              <w:ind w:firstLine="0"/>
              <w:jc w:val="left"/>
            </w:pPr>
          </w:p>
        </w:tc>
        <w:tc>
          <w:tcPr>
            <w:tcW w:type="dxa" w:w="2665"/>
          </w:tcPr>
          <w:p>
            <w:pPr>
              <w:pStyle w:val="Compact"/>
              <w:spacing w:line="240" w:lineRule="auto"/>
              <w:ind w:firstLine="0"/>
              <w:jc w:val="left"/>
            </w:pP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23</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Voxidov O.R., 2024,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O‘zbekiston Respublikasi tijorat banklari resurs bazasini mustahkamlash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24</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Sarimov Sh.S.,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banklarining resurs bazasi barqarorligini ta’minlash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Stress-test</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25</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Allaberganov S.S.,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resurs bazasining barqarorligini ta’minlash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p>
        </w:tc>
        <w:tc>
          <w:tcPr>
            <w:tcW w:type="dxa" w:w="2041"/>
          </w:tcPr>
          <w:p>
            <w:pPr>
              <w:pStyle w:val="Compact"/>
              <w:spacing w:line="240" w:lineRule="auto"/>
              <w:ind w:firstLine="0"/>
              <w:jc w:val="left"/>
            </w:pPr>
            <w:r>
              <w:rPr>
                <w:bCs/>
                <w:rFonts w:ascii="Times New Roman" w:hAnsi="Times New Roman" w:cs="Times New Roman" w:eastAsia="Times New Roman"/>
                <w:b/>
                <w:sz w:val="22"/>
              </w:rPr>
              <w:t xml:space="preserve">Reyting, nazorat, rentabellik va boshqaruv</w:t>
            </w:r>
          </w:p>
        </w:tc>
        <w:tc>
          <w:tcPr>
            <w:tcW w:type="dxa" w:w="4139"/>
          </w:tcPr>
          <w:p>
            <w:pPr>
              <w:pStyle w:val="Compact"/>
              <w:spacing w:line="240" w:lineRule="auto"/>
              <w:ind w:firstLine="0"/>
              <w:jc w:val="left"/>
            </w:pPr>
          </w:p>
        </w:tc>
        <w:tc>
          <w:tcPr>
            <w:tcW w:type="dxa" w:w="2665"/>
          </w:tcPr>
          <w:p>
            <w:pPr>
              <w:pStyle w:val="Compact"/>
              <w:spacing w:line="240" w:lineRule="auto"/>
              <w:ind w:firstLine="0"/>
              <w:jc w:val="left"/>
            </w:pP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26</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Karabayev N.A., 2018,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faoliyatini reyting tizimi asosida baholashni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III koeffitsiyentlari, NSFR reytingda</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27</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Jumanazarov M.J.,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Riskka asoslangan bank nazoratini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Bazel II/III, IFRS, CAMELS umumiy</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28</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Sheraliyev A.X., 2025,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banklarining rentabelligini ta’minlash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Riskka tortilgan aktivlar</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29</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Kadirov L.X., 2026,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moliyaviy boshqaruv tizimi samaradorligini oshirish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Yo‘q</w:t>
            </w:r>
          </w:p>
        </w:tc>
      </w:tr>
      <w:tr>
        <w:trPr>
          <w:cantSplit/>
        </w:trPr>
        <w:tc>
          <w:tcPr>
            <w:tcW w:type="dxa" w:w="510"/>
          </w:tcPr>
          <w:p>
            <w:pPr>
              <w:pStyle w:val="Compact"/>
              <w:spacing w:line="240" w:lineRule="auto"/>
              <w:ind w:firstLine="0"/>
              <w:jc w:val="left"/>
            </w:pPr>
          </w:p>
        </w:tc>
        <w:tc>
          <w:tcPr>
            <w:tcW w:type="dxa" w:w="2041"/>
          </w:tcPr>
          <w:p>
            <w:pPr>
              <w:pStyle w:val="Compact"/>
              <w:spacing w:line="240" w:lineRule="auto"/>
              <w:ind w:firstLine="0"/>
              <w:jc w:val="left"/>
            </w:pPr>
            <w:r>
              <w:rPr>
                <w:bCs/>
                <w:rFonts w:ascii="Times New Roman" w:hAnsi="Times New Roman" w:cs="Times New Roman" w:eastAsia="Times New Roman"/>
                <w:b/>
                <w:sz w:val="22"/>
              </w:rPr>
              <w:t xml:space="preserve">Faqat mundarijasi olingan ishlar</w:t>
            </w:r>
          </w:p>
        </w:tc>
        <w:tc>
          <w:tcPr>
            <w:tcW w:type="dxa" w:w="4139"/>
          </w:tcPr>
          <w:p>
            <w:pPr>
              <w:pStyle w:val="Compact"/>
              <w:spacing w:line="240" w:lineRule="auto"/>
              <w:ind w:firstLine="0"/>
              <w:jc w:val="left"/>
            </w:pPr>
          </w:p>
        </w:tc>
        <w:tc>
          <w:tcPr>
            <w:tcW w:type="dxa" w:w="2665"/>
          </w:tcPr>
          <w:p>
            <w:pPr>
              <w:pStyle w:val="Compact"/>
              <w:spacing w:line="240" w:lineRule="auto"/>
              <w:ind w:firstLine="0"/>
              <w:jc w:val="left"/>
            </w:pP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30</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Xolov N.Q., 2025, DSc</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barqarorligini mustahkamlash metodologiyasini takomillashtirish</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Aniqlanmadi</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31</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Togayev S.S., 2022,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banklarining moliyaviy barqarorligini ta’minlash yo‘llari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Aniqlanmadi</w:t>
            </w:r>
          </w:p>
        </w:tc>
      </w:tr>
      <w:tr>
        <w:trPr>
          <w:cantSplit/>
        </w:trPr>
        <w:tc>
          <w:tcPr>
            <w:tcW w:type="dxa" w:w="510"/>
          </w:tcPr>
          <w:p>
            <w:pPr>
              <w:pStyle w:val="Compact"/>
              <w:spacing w:line="240" w:lineRule="auto"/>
              <w:ind w:firstLine="0"/>
              <w:jc w:val="left"/>
            </w:pPr>
            <w:r>
              <w:rPr>
                <w:rFonts w:ascii="Times New Roman" w:hAnsi="Times New Roman" w:cs="Times New Roman" w:eastAsia="Times New Roman"/>
                <w:sz w:val="22"/>
              </w:rPr>
              <w:t xml:space="preserve">32</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Axmedov S.S., 2024, PhD</w:t>
            </w:r>
          </w:p>
        </w:tc>
        <w:tc>
          <w:tcPr>
            <w:tcW w:type="dxa" w:w="4139"/>
          </w:tcPr>
          <w:p>
            <w:pPr>
              <w:pStyle w:val="Compact"/>
              <w:spacing w:line="240" w:lineRule="auto"/>
              <w:ind w:firstLine="0"/>
              <w:jc w:val="left"/>
            </w:pPr>
            <w:r>
              <w:rPr>
                <w:rFonts w:ascii="Times New Roman" w:hAnsi="Times New Roman" w:cs="Times New Roman" w:eastAsia="Times New Roman"/>
                <w:sz w:val="22"/>
              </w:rPr>
              <w:t xml:space="preserve">Tijorat banklari barqarorligini ta’minlashning moliyaviy strategiyalari</w:t>
            </w:r>
          </w:p>
        </w:tc>
        <w:tc>
          <w:tcPr>
            <w:tcW w:type="dxa" w:w="2665"/>
          </w:tcPr>
          <w:p>
            <w:pPr>
              <w:pStyle w:val="Compact"/>
              <w:spacing w:line="240" w:lineRule="auto"/>
              <w:ind w:firstLine="0"/>
              <w:jc w:val="left"/>
            </w:pPr>
            <w:r>
              <w:rPr>
                <w:rFonts w:ascii="Times New Roman" w:hAnsi="Times New Roman" w:cs="Times New Roman" w:eastAsia="Times New Roman"/>
                <w:sz w:val="22"/>
              </w:rPr>
              <w:t xml:space="preserve">Aniqlanmadi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29 ta ishning 13 tasida xalqaro standartlar umuman qo‘llanilmagan, qolganlarida esa ular asosan umumiy tarzda yoki alohida ko‘rsatkich sifatida tilga olinadi. Bazel III likvidlik me’yorlari faqat Djalilov, Sattorova va Karabayev ishlarida hisob-kitob darajasida uchraydi, biroq ularning barchasida LCR va NSFR Markaziy bank metodikasi bo‘yicha tayyor qiymat sifatida olingan. MHXS 9 bosqichlari faqat Ismatov ishida kredit riskini modellashtirish nuqtai nazaridan ko‘rilgan. Milliy va xalqaro metodikalar o‘rtasidagi farqni miqdoriy aniqlash esa birorta ishda tadqiq etilmagan.</w:t>
      </w:r>
    </w:p>
    <w:bookmarkEnd w:id="20"/>
    <w:bookmarkStart w:id="59" w:name="ishlarning-mazmuni"/>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2. Ishlarning mazmuni</w:t>
      </w:r>
    </w:p>
    <w:bookmarkStart w:id="31" w:name="X743569e8c562c909aadb60d0a3f2364ec602e65"/>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Moliyaviy barqarorlik va uni baholash: umumiy va konseptual yondashuvlar</w:t>
      </w:r>
    </w:p>
    <w:bookmarkStart w:id="21" w:name="X06aed7af4b3bb0d13cf30a52ecb5f6a14b0331e"/>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Sharipova N.H. (2026, DSc) – «Tijorat banklari moliyaviy barqarorligini mustahkamlashning konseptual asoslarini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mustahkamlashning konseptual asoslarini takomillashtirishga qaratilgan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moliyaviy risklarni kamaytirish uchun tashqi muvofiqlashtiruvchi kengash – Moliyaviy barqarorlik kengashi faoliyatini yo‘lga qo‘yish taklif etilgan (keyinchalik 2025-yil 23-iyundagi O‘RQ-1070-son «Banklarni sanatsiya qilish va tugatish to‘g‘risida»gi Qonunning 7-moddasida foydalanilgan); kreditning asosiy ta’minoti sifatida kafolat, sug‘urta polisi yoki yuridik shaxs kafilligi qabul qilinganda ular jami ta’minotning 25 foizidan oshmasligi asoslangan; likvidlilik riskini boshqarish uchun qisqa muddatli majburiyatlarni jami aktivlarning 40 foizidan oshmagan miqdorda saqlash taklif qilingan; Markaziy bankka kiberxavfsizlik tahdidlarini aniqlash va shubhali operatsiyalar bo‘yicha kartalar va hisoblarni bloklash huquqini berish taklif etilgan; 1-darajali kapitalning 5% dan oshmagan miqdordagi kreditlar bank kredit qo‘mitasi qarori asosida berilishi taklif qilingan. Amaliy natijalarda tizimli ahamiyatga molik banklar va boshqa banklar uchun moliyaviy barqarorlik ko‘rsatkichlari bo‘yicha alohida majburiy talablar, barqarorlikni bir butun tizim sifatida baholovchi umumiy (integral) koeffitsiyent shakllantirilgan.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ekonometrik tahlil sof foizli marjaning aktivlarga nisbati hamda kreditlarning depozitlarga nisbati YaIMga kuchli ta’sir etishini ko‘rsatgan; sof foizli marja/aktivlar ko‘rsatkichiga umumiy kapital yetarliligi va lahzali likvidlik ko‘rsatkichi kuchli ijobiy ta’sir ko‘rsatishi isbotlangan. Joriy etish natijalari: «Xalq bank»da 2025-yilda muammoli kreditlar ulushi 3,1 foizni tashkil etib, bir yilda 1,1 foizga kamaygan; 2024-yilda sof barqaror moliyalashtirish me’yoriy koeffitsiyenti (NSFR) 137,3 foiz bo‘lib, 16,4 % ga o‘sgan; «Ipoteka-bank»da 2023-yilda kredit va lizing bo‘yicha foizli daromadlar 4 615 mlrd so‘m (korporativ 41% – 1 897,1 mlrd, chakana 59% – 2 717,9 mlrd so‘m).</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matnda Basel III ning NSFR ko‘rsatkichi faqat joriy etish natijasi sifatida (Xalq bank, 137,3%) tilga olinadi; LCR, IFRS 9/ECL, IMF FSI, CAMELS yoki stress-test metodologik asos sifatida qo‘llanilmagan (taqdim etilgan matnda yo‘q). Yondashuv asosan milliy prudensial limitlar va o‘z integral koeffitsiyentiga tayanadi.</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 da Moliyaviy barqarorlik kengashi (O‘RQ-1070, 7-modda) va integral koeffitsiyent g‘oyasi institutsional-konseptual asos sifatida; 2.1 da tizimli muhim banklar uchun alohida talablar g‘oyasi va Xalq bank NSFR 137,3% misoli milliy hisob-kitob natijasi sifatida keltirilishi mumkin. Farqimiz: Sharipova NSFR ni faqat natija sifatida keltiradi, biz esa 2709-son nizom va Basel metodikasi bo‘yicha NSFR/LCR ni 4 variantda (MB/Basel × milliy hisob/IFRS) qayta hisoblaymiz hamda NPL ni IFRS 9 Stage 3 bilan solishtiramiz – bu uning integral koeffitsiyentidan farqli xalqaro standartlarga asoslangan baholash metodologiyasidir.</w:t>
      </w:r>
    </w:p>
    <w:bookmarkEnd w:id="21"/>
    <w:bookmarkStart w:id="22" w:name="Xce68e062465903417aa58225bbc8d568e4b4150"/>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Sattarov O.B. (2018, DSc) – «O‘zbekiston Respublikasi bank tizimi barqarorligini ta’minlash metodologiyasini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 Respublikasi bank tizimi barqarorligini ta’minlash metodologiyasini takomillashtirishga oid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«bank tizimi barqarorligi» tushunchasiga tizimni tashkil etuvchi subyektlar faoliyatiga kengaytirilgan va barqarorlikning dinamik mazmuniga ustunlik bergan mualliflik ta’rifi taklif etilgan; tijorat banklari barqarorligini baholashda risklarni hisobga olgan kapital rentabelligi – RAROC (Risk-Adjusted Return on Capital) ko‘rsatkichidan foydalanish asoslangan; kapital yetarliligi, joriy likvidlilik, spred, aktiv va kapital rentabelligi ko‘rsatkichlari orqali O‘zbekiston bank tizimi barqarorligi indeksi ishlab chiqilgan; tizimli risklar va moliyaviy disbalanslarni boshqarish uchun makroprudensial siyosat va uning dastaklarini joriy etish asoslangan; barqarorlik indeksining 2018–2021-yillar uchun prognoz ko‘rsatkichlari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barqarorlik «statik holat emas, balki dinamik jarayon», ya’ni erishilgan darajani saqlagan holda rivojlanishga intilish deb ta’riflangan; «bank tizimi barqarorligi – Markaziy bank va tijorat banklari o‘z funksiyalarini to‘laqonli bajara olishini ta’minlaydigan darajani saqlagan holda rivojlanishga intilish»; bank tizimi barqarorligi va YaIM o‘rtasidagi bog‘liqlikning ekonometrik modellari ishlab chiqilgan; rating agentligi orqali kapital rentabelligini baholashda riskni hisobga olish metodologiyasi taklif qilingan. Basel standarti boshqa standartlarga nisbatan barqarorlikni baholash aniqligini oshirish afzalliklariga ega deb xulosa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qo‘mitasi ishlanmalari (Basel II), CAMELS, xalqaro rating agentliklari va xalqaro moliya tashkilotlari metodologiyalari nazariy-qiyosiy tahlil qilingan; RAROC qo‘llanilgan. LCR/NSFR, IFRS 9/ECL, IMF FSI va stress-test taqdim etilgan matnda ishlatilmagan.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 da «barqarorlik» va «bank tizimi barqarorligi» ta’riflari (Lavrushin, Fetisov sharhi bilan) hamda 1.2 da RAROC va kompozit barqarorlik indeksi metodologik o‘tmishdosh sifatida keltiriladi; 1.3 da Basel/CAMELS qiyosiga havola qilish mumkin. Farqimiz: Sattarov indeksi Basel II davri va milliy ko‘rsatkichlarga (joriy likvidlilik, spred) asoslangan, 2018 yilgacha bo‘lgan ma’lumotlar bilan; bizda Basel III LCR/NSFR, IFRS 9 bosqichlari va IMF FSI (2021–2025) asosida yangilangan baholash, davlat banklari ustunligi sharoitida.</w:t>
      </w:r>
    </w:p>
    <w:bookmarkEnd w:id="22"/>
    <w:bookmarkStart w:id="23" w:name="X5f21e4686c1cbd91d4b6571eaec199a93823cf1"/>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Madaminov B.A. (2026, DSc) – «Tijorat banklarida risk-menejment tizimini takomillashtirish asosida moliyaviy barqarorlikni ta’minlash metodologiyasi»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banklarida risk-menejment tizimini takomillashtirish asosida moliyaviy barqarorlikni ta’minlash metodologiyasini takomillashtirish bo‘yicha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risklarni identifikatsiya qilish, baholash, monitoring va boshqarish jarayonlarini aktiv-passivlarni boshqarish, kapital yetarliligi, likvidlik ko‘rsatkichlari va stress-test natijalari bilan integratsiyalashgan risk-menejmentning konseptual modeli taklif etilgan; risk-menejment sifatini baholash reytingining «past» (0–50), «o‘rtacha» (50–74), «yuqori» (75–100) shkalasi asoslangan; risklarni kompleks baholashga asoslangan Risk-based Early Warning System (EWS) – erta ogohlantirish tizimi modeli taklif etilgan; Fintech/Regtech, Big Data va Machine Learning asosida real vaqtda risklarni prognozlash va stress-test ssenariylarini avtomatlashtirish mexanizmi taklif etilgan; banklar rivojlanishining 2030-yilgacha prognoz ssenariylari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risk-menejment modellari samaradorligi faqat mustaqil risk funksiyasi foydasiga boshqaruv ta’sirining real qayta taqsimlanishi va uning korporativ madaniyatga chuqur integratsiyasi sharoitida ta’minlanadi; Buyuk Britaniya (RATE, 1998), Germaniya (BAKIS, 1997), Fransiya (ORAP, 1997 – 14 komponent, 1–5 shkala; SAABA, 1997 – kutilayotgan yo‘qotishlar modeli) metodikalari qiyoslangan; mijozlar so‘rovnomasi (N = 257, 30 savol, 6 blok, 5 ballik Laykert shkalasi, «O‘zsanoatqurilishbank», «Agrobank» va boshqalar) bo‘yicha barcha shkalalarda Kronbax α &gt; 0,70 (moliyaviy barqarorlik 0,842, mijozlar sodiqligi 0,881, integral baho 0,854).</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stress-test va erta ogohlantirish tizimi (EWS) asosiy vosita sifatida qo‘llanilgan; xorijiy nazorat reyting tizimlari (RATE, BAKIS, ORAP, SAABA) tahlil qilingan. Basel III LCR/NSFR, IFRS 9/ECL, IMF FSI va CAMELS taqdim etilgan matnda aniq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1.3 da RATE/BAKIS/ORAP/SAABA qiyosiy jadvali xorijiy baholash tajribasi sifatida, 3-bobda EWS va reyting shkalasi (0–50/50–74/75–100) o‘z modelimizni qurishda solishtirma sifatida keltiriladi; SQB mijozlari tanlamada borligi bizning keys-bankimiz bilan bog‘lanadi. Farqimiz: Madaminov barqarorlikni risk-menejment sifati va mijozlar so‘rovnomasi (persepsiya) orqali baholaydi, biz esa hisobot ma’lumotlari asosida prudensial ko‘rsatkichlarni (LCR/NSFR, NPL vs Stage 3) milliy va xalqaro metodika bo‘yicha miqdoriy qayta hisoblaymiz.</w:t>
      </w:r>
    </w:p>
    <w:bookmarkEnd w:id="23"/>
    <w:bookmarkStart w:id="24" w:name="X3efff5fcc7afda19a87dde81018db6492b95961"/>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Bozorov R.X. (2020, PhD) – «Tijorat banklari moliyaviy barqarorligini ta’minlashni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ta’minlashni takomillashtirishga oid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aktivlar sifatini oshirish, muammoli kreditlarni samarali boshqarish va samarasiz xarajatlarni kamaytirish orqali ROA ni oshirish asosida aktivlarning optimal tarkibini shakllantirish imkoniyatlari asoslangan; davlat ulushi mavjud banklar barqarorligi uchun ularning resurslarni mustaqil jalb etishi maqsadga muvofiqligi asoslangan; kreditlar bo‘yicha ehtimoliy yo‘qotishlar zaxirasining o‘rtacha aktivlarga nisbati, rentabellik ko‘rsatkichlari va sof foizli marja me’yoriy talablarini bajarish barqarorlikni mustahkamlashi asoslangan; investitsiya loyihalarini moliyalashtirishda NPV va kredit foiz stavkasining yuqori chegarasini ko‘rsatuvchi IRR ni hisoblash usuli takomillashtirilgan; kapital yetarlilik koeffitsiyenti, bir emitent qimmatli qog‘ozlariga investitsiyalar maksimal darajasi, 1-darajali kapital yetarliligi va umumiy investitsiyalar o‘rtasidagi korrelyatsion-regression ekonometrik model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Wells Fargo (AQSh), Sberbank (Rossiya) va ICBC (Xitoy) tajribasi asosida tavsiyalar berilgan; «aktivlarni joydan-joyga ko‘chirish nazariyasi» asosida qimmatli qog‘ozlar bilan operatsiyalarni ko‘paytirish orqali likvidlik va daromadlilikni oshirish mumkinligi ko‘rsatilgan; kredit/depozit nisbati tahlili asosida davlat ulushli banklarda resurslarni mustaqil jalb etish samaradorligi asoslangan; ehtimoliy yo‘qotishlar zaxirasining aktivlarga nisbatini xalqaro me’yorlarga yetkazish zarurligi qayd etilgan; AT «Turonbank» ma’lumotlari bo‘yicha kapital yetarliligini oshirishga qaratilgan ko‘p omilli regression model qurilgan.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II/III (LCR, NSFR, buferlar), IFRS 9/ECL, IMF FSI, CAMELS va stress-testlar matnda qo‘llanilmagan; faqat «xalqaro me’yorlar» umumiy tarzda (zaxiralar/aktivlar nisbati bo‘yicha) tilga olinadi, kapital yetarliligi milliy talablar doirasida tahlil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 da «tijorat banklari moliyaviy barqarorligi» muallif ta’riflari sharhida, 2.2 da davlat ulushli banklar resurs bazasi va zaxiralar/aktivlar nisbati muammosi bo‘yicha (davlat banklari dominantligi mavzusiga tarixiy asos sifatida) iqtibos qilish mumkin. Bozorovda ehtimoliy yo‘qotishlar zaxirasi milliy tasnif asosida ko‘riladi; bizning ishda u IFRS 9 bosqichlari (Stage 3) va ECL bilan solishtiriladi hamda likvidlik Basel III LCR/NSFR orqali baholanadi – bu asosiy farq va yangilikdir.</w:t>
      </w:r>
    </w:p>
    <w:bookmarkEnd w:id="24"/>
    <w:bookmarkStart w:id="25" w:name="X491b1282ee8a4d7f4f650e31ca6051301c02d7e"/>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Djalilov G.K. (2026, PhD) – «Banklarning moliyaviy barqarorligini ta’minlashning ustuvor yo‘nalishlari»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O‘zbekistonda banklarning moliyaviy barqarorligini ta’minlashga qaratilgan ustuvor yo‘nalishlarni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muddatli depozitlarning 1-darajali asosiy kapitalga uzoq muddatda to‘g‘ri, qisqa muddatda teskari proporsional ta’sirini hisobga olib bankning oylik moliyaviy barqarorligi va kapital yetarliligi bilan likvidlik muvozanatini saqlash taklifi ishlab chiqilgan; kredit va lizing operatsiyalarining leverej koeffitsiyentiga uzoq muddatda teskari ta’siri aniqlanib, moliyaviy ko‘rsatkichlarning qayta muvozanatga kelish darajasi bir oyda 72 foizga yetishi asoslangan; barqaror moliyalashtirish manbasiga qisqa muddatda daromad va depozitlar ta’sir ko‘rsatmasligini ta’minlovchi mexanizmlar orqali qisqa muddatli tebranishlarning oldini olish va manbaning 45–50 kunlik davrda bosqichma-bosqich tiklanishi taklif etilgan; barqaror moliyalashtirish hajmi qisqa muddatda likvidlikni qoplash koeffitsiyentini oshirishi orqali daromad keltiruvchi likvid aktivlarni ko‘paytirish taklif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uzoq muddatda barqaror moliyalashtirish zarur hajmining og‘ishi 49,07 foiz darajada qayta muvozanatga kelishi asoslangan; kredit va lizing operatsiyalari likvidlikni qoplash koeffitsiyentini tez oshirishi kreditlarning yaqin muddatda keladigan resurslarga tayanib moliyalashtirilayotganini ko‘rsatadi; xorijiy tajribadan Malayziya (ICAAP, kontrsiklik kapital buferi – RWA o‘sishi 20 foizdan oshganda taxminan 1 foizlik bufer, NSFR va LCR bo‘yicha shaffof ma’lumotlar bazasi), Janubiy Koreya, Turkiya va Polsha (Basel III, IFRS 9 ga moslashuv) xulosalari keltirilgan; bank moliyaviy barqarorligini ta’minlash ekotizimi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III likvidlik me’yorlari – LCR (likvidlikni qoplash koeffitsiyenti) va NSFR (barqaror moliyalashtirish) ekonometrik tahlil obyekti sifatida, kontrsiklik kapital buferi va ICAAP xorijiy tajriba sifatida qo‘llanilgan; IFRS 9 faqat Polsha tajribasida eslatiladi; IMF FSI, CAMELS va stress-testlar matnda ko‘rinmaydi.</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1.3 (xorijiy tajriba: Malayziya CCyB/ICAAP, Polsha Basel III–IFRS 9 moslashuvi) va 2.1 da LCR/NSFR ning bank balansi dinamikasi bilan bog‘liqligi (72 %, 49,07 %, 45–50 kun) bo‘yicha iqtibos qilish mumkin; 3-bobdagi o‘z modelimizda LCR/NSFR o‘zgaruvchilarini qurishda empirik taqqoslash manbai bo‘ladi. Farqimiz: Djalilov LCR/NSFR ni bir xil (milliy) hisoblash asosida dinamik tahlil qiladi, bizda esa MB 2709-son nizomi va Basel metodologiyasi o‘rtasidagi farq hamda NSFR ning 4 varianti (MB/Basel × milliy hisobot/IFRS) qiyoslanadi va IFRS 9 Stage 3 bilan milliy NPL farqi kiritiladi.</w:t>
      </w:r>
    </w:p>
    <w:bookmarkEnd w:id="25"/>
    <w:bookmarkStart w:id="26" w:name="Xd9b8ed26e1284ca8aad01e759a63f0d73bf805a"/>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Sadikov I.G. (2025, PhD) – «Iqtisodiyotni transformatsiyalash jarayonida tijorat banklarining moliyaviy barqarorligini ta’minlash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banklarining moliyaviy barqarorligini ta’minlash yo‘llari bo‘yicha ilmiy-uslubiy asoslangan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banklarining moliyaviy barqarorligi» tushunchasi bankning o‘z majburiyatlarini bajarish, muammosiz faoliyat yuritish va iqtisodiy o‘zgarishlar sharoitida barqaror qolish qobiliyatini ta’minlash jarayoni nuqtai nazaridan takomillashtirilgan; moliyaviy moslashuvchanlikni baholash asosida to‘lov qobiliyati, moliyaviy mustaqillik, pul oqimi balansi, foyda va rentabellik hamda sof aktivlarni o‘stirish orqali barqarorlikni ta’minlash taklif etilgan; AT «Turonbank»da moliyaviy resurslar sarf-xarajatlarini maqbul nisbatlarda (MBmb=0,35, MBmm=0,47; MBmr=0,18) differensatsiyalash taklif etilgan; integratsiyalashgan axborot oqimi asosida moliyaviy barqarorlik ko‘rsatkichlarining 2027-yilgacha prognozi ishlab chiqilgan; amaliy natija sifatida qo‘shimcha ko‘rsatkichlar – sof barqaror moliyalashtirish va sof aktivlarni asosiy kapital bilan himoya qilish koeffitsiyentlari hamda moliyaviy moslashuvchanlik va moliyaviy rentabellikka asoslangan yangi baholash modeli taklif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joriy etish natijasida «Turonbank» ATBning sof foydasi 52 867 484 mln. so‘mga oshgani (matnda shunday keltirilgan), resurslar xarajatlarini differensiatsiyalash orqali sof foyda 1,23 foizga oshgani, umumiy moliyaviy rentabellik koeffitsiyenti 2022-yildagi 1,15 dan 2023-yilda 1,37 ga (0,22 ga) oshgani qayd etilgan; muallif ta’rifi: moliyaviy barqarorlik – bankning foyda olish jarayonida ko‘rsatkichlarning ijobiy holatini ta’minlab, bozordagi mavqeini mustahkamlash orqali ichki va tashqi muhitning salbiy oqibatlariga qarshi tura olish qobiliyati; CAMELS reyting tizimi barqarorlikni baholashning standartlashtirilgan usuli sifatida tavsiflangan. (Avtoreferat matnida alohida «Xulosa» bo‘limi berilmagan, xulosalar joriy etish natijalaridan olindi.)</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CAMELS (6 komponent, 5 balli tizim) nazariy jihatdan yoritilgan; Basel III ga xos NSFR g‘oyasi «sof barqaror moliyalashtirish koeffitsiyenti» sifatida qo‘shimcha ko‘rsatkich tarzida taklif etilgan, ammo Basel metodologiyasi bilan qiyoslanmaydi; LCR, kapital buferlari, IFRS 9/ECL, IMF FSI va stress-testlar matnda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 da moliyaviy barqarorlik ta’riflari va CAMELS tavsifi, 1.2 da moliyaviy moslashuvchanlik/rentabellikka asoslangan baholash modeli misoli sifatida iqtibos qilish mumkin. Sadikov NSFR ni bank darajasidagi qo‘shimcha koeffitsiyent sifatida kiritadi, biz esa uni MB 2709-son nizomi va Basel III bo‘yicha to‘rt variantda (milliy hisobot/IFRS) hisoblab, metodologik farqlarni miqdoriy ko‘rsatamiz (2.1, 3-bob); shuningdek, IFRS 9 bosqichlari va IMF FSI tizim darajasida qo‘shiladi.</w:t>
      </w:r>
    </w:p>
    <w:bookmarkEnd w:id="26"/>
    <w:bookmarkStart w:id="27" w:name="Xbe8e689887fa7ff97ccf97210b971702821db9c"/>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Umarov D.Sh. (2025, PhD) – «Tijorat banklari daromadlarini oshirish asosida moliyaviy barqarorligini ta’minlash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O‘zbekistonda bank moliyaviy barqarorligini ta’minlashda daromadlilikni oshirish yuzasidan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mijozning kreditga layoqatliligini baholashga bank joylashgan mikrohudud omilini integratsiya qilib, kredit foiz stavkalarini differensiallash orqali foizli daromadlarning barqaror o‘sishi asoslangan; moliyaviy menejmentning vertikal tizimiga nomonetar omillarni gorizontal-vertikal integratsiya qilish orqali moliyaviy rentabellikni oshirish asoslangan; taqsimlanmagan foyda kapital rentabelligiga ijobiy ta’sir etuvchi omil ekanligi inobatga olinib, moliya bozoridagi daromadlilikni oshirish taklif etilgan; aktivlar rentabelligida foizsiz daromadlar roli kamayib borayotgani sababli operatsion xarajatlarni raqamlashtirish orqali daromadlilikni barqarorlik bilan uyg‘unlashtirish taklif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«O‘zsanoatqurilishbank» ATB (SQB) misolida joriy etish natijasida bank daromadlarida kreditlardan olingan foizlar ulushi 2024 yilda 11 foizga, bank daromadliligi 1,6 barobarga oshgan; foizli daromadlarning ROA ga statistik ta’sir etmasligi aniqlangan; 2024 yil avgustda SQB ning 901 nafar xodimi o‘rtasida o‘tkazilgan so‘rovnoma asosidagi tartiblangan (ordinal) regressiyada kredit skoringning (KAMI) ahamiyati barcha kesimlarda statistik ahamiyatli (koeffitsiyent 0,473; p=0,000) ekani ko‘rsatilgan; moliyaviy barqarorlikni baholashda yagona yondashuv yo‘qligi, ko‘rsatkichlarni boshqa bank sektorlari bilan solishtirib bo‘lmasligi va xalqaro tashkilotlar tavsiya etgan metodlarni qo‘llash zarurligi qayd etilgan; Fitch Ratings fikriga ko‘ra davlat banklarini xususiylashtirish uchun rentabellik zarurligi keltirilgan.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II/III (LCR, NSFR, buferlar), IFRS 9/ECL, IMF FSI, CAMELS va stress-testlar avtoreferat matnida qo‘llanilmagan; faqat «xalqaro tashkilotlar tavsiya etgan metodlar»ni qo‘llash zarurligi umumiy tarzda ta’kidlanadi.</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SQB bizning keys-bankimiz bo‘lgani uchun 2.2 da SQB daromadliligi dinamikasi va davlat banklarini xususiylashtirish konteksti, 1.2 da «baholashda yagona yondashuv yo‘qligi va ko‘rsatkichlarni xalqaro solishtirib bo‘lmasligi» haqidagi tezis (xalqaro standartlarga o‘tish zaruratini asoslash uchun) iqtibos qilinishi mumkin. Farqimiz: Umarov SQB ni daromadlilik nuqtai nazaridan va milliy ko‘rsatkichlarda tahlil qiladi; bizda SQB uchun milliy NPL (2,5 %) va IFRS 9 Stage 3 (7,5 %) farqi hamda LCR/NSFR ning MB va Basel bo‘yicha hisob-kitobi orqali barqarorlik baholanadi.</w:t>
      </w:r>
    </w:p>
    <w:bookmarkEnd w:id="27"/>
    <w:bookmarkStart w:id="28" w:name="X527159dd06e50b7672b86f5f2e35b0e0d777447"/>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Abdishukurov Sh.Sh. (2026, PhD) – «Tijorat banklarining moliyaviy barqarorligini ta’minlash yo‘nalishlari»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banklarining moliyaviy barqarorligini ta’minlash ko‘rsatkichlarini joriy etishga qaratilgan ustuvor yo‘nalishlarni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kapital yetarliligi, aktivlar sifati va likvidlik ko‘rsatkichlarini o‘zaro bog‘liq holda integrallashtiruvchi barqarorlik ko‘rsatkichlari tizimi orqali baholash uslubiyoti takomillashtirilgan; risk darajasi va daromadlar barqarorligini hisobga olib «past», «qoniqarli», «o‘rta» va «yuqori» barqarorlik toifalarini belgilovchi shkalali baholash mezonlari taklif etilgan; integral barqarorlik ko‘rsatkichlari dinamikasini doimiy baholashga asoslangan riskka yo‘naltirilgan monitoring modeli taklif qilingan; makroiqtisodiy omillar, kredit portfeli tuzilmasi va likvidlik holatini hisobga oluvchi o‘rta va uzoq muddatli ko‘p omilli prognozlash mexanizmi taklif etilgan; amaliy natija sifatida risk darajasiga mos kapital buferlarini shakllantirish modeli, dinamik likvidlik boshqaruvi va valyuta hamda foiz stavkasi risklari uchun ssenariyli tahlil va stress-test modellari takomillashtirilgan.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an’anaviy ko‘rsatkichlarga asoslangan fragmentar yondashuvlar bank faoliyatining tizimli mohiyatini to‘liq aks ettira olmasligi asoslangan; O‘zbekiston bank tizimida kapitallashuv va likvidlik ko‘rsatkichlari xalqaro me’yorlarga mos kelishi, ROA, ROE, CIR bo‘yicha banklararo farqlar mavjudligi aniqlangan; ekonometrik tahlilga ko‘ra operatsion samaradorlik (CIR) va kredit risklari (NPL) bank rentabelligiga statistik ahamiyatli ta’sir ko‘rsatadi; integral barqarorlik indeksi kompleks baholash va risklarni barvaqt aniqlashning samarali instrumenti ekanligi ko‘rsatilgan.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standartlari va CAMELS tizimi kompleks baholashning ustuvor yondashuvlari sifatida qayd etilgan; risk darajasiga mos kapital buferlari va stress-test (valyuta, foiz stavkasi) modellari qo‘llanilgan; LCR/NSFR alohida hisoblanmagan, IFRS 9/ECL va IMF FSI matnda ko‘rinmaydi.</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 da integral indeks va shkalali toifalash («past–yuqori») yondashuvi, 2.2 da CIR va NPL ning rentabellikka ta’siri haqidagi natija iqtibos qilinishi mumkin; 3-bobdagi o‘z modelimiz uchun integral indeks qurish metodikasi bo‘yicha qiyosiy asos bo‘ladi. Farqimiz: Abdishukurov «likvidlik va kapitallashuv xalqaro me’yorlarga mos» degan xulosaga keladi, biz esa milliy (2709-son) va Basel III metodologiyasi hamda milliy NPL va IFRS 9 Stage 3 o‘rtasidagi farqlar bu moslikni ortiqcha baholashi mumkinligini miqdoriy ko‘rsatamiz.</w:t>
      </w:r>
    </w:p>
    <w:bookmarkEnd w:id="28"/>
    <w:bookmarkStart w:id="29" w:name="Xdd01101d82a098f9cb174139c09aa89033eab3c"/>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Ubaeva Sh.L. (2018, PhD) – «Tijorat banklari barqarorligini samarali boshqarish mexanizmini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avtoreferat matnida maqsad alohida keltirilmagan; mavzudan kelib chiqib – tijorat banklari barqarorligini samarali boshqarish mexanizmini takomillashtirish (ixtisoslik 08.00.13 – Menejment).</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barqarorligini boshqarish mexanizmi, strategiyalari va huquqiy-me’yoriy asoslari takomillashtirilib, innovatsion xizmat turlarini joriy etish asoslangan; rivojlangan mamlakatlar tajribasi asosida «kontrakt banklar» rivoji va bank mahsulotlarini diversifikatsiyalash imkoniyatlari aniqlangan, risklarni baholash va samaradorlikni oshirish uchun DEA (Data Envelopment Analysis) va CAMEL usullari taklif etilgan; chiziqli va logarifmik-chiziqli iqtisodiy-matematik modellar yordamida barqarorlik omillari (kapitallashuv, aktivlar sifati, menejment sifati, sof daromad va likvidlik darajasi) aniqlanib, balansdan tashqari faoliyat daromadini oshirish mexanizmlari taklif etilgan; menejment sifatini reytinglash va optimal qarorlar qabul qilish metodologiyasi marjinal daromad va marjinal xarajatlarni hisoblash asosida takomillashtirilgan.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joriy etish natijasida 2017 yilda «Davr bank»ning tranzaksion xarajatlari 2016 yilga nisbatan 10,5 foizga, «Infinbank»niki 9,5 foizga kamaygan; «Davr bank» misolida bank rentabelligi o‘rtacha darajasining pasayish tendensiyasi isbotlangan; «seven es», «biznes g‘ildiragi» kabi boshqaruv tamoyillari, PEST va SWOT tahliliga asoslangan strategiya ishlab chiqish jarayoni taklif etilgan. (Avtoreferat matnida alohida «Xulosa» bo‘limi berilmagan.)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CAMEL reyting tizimi va DEA usuli taklif etilgan; Basel II/III, IFRS 9/ECL, IMF FSI va stress-testlar matnda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 da barqarorlikni baholash usullari sharhida (CAMEL va DEA ning mahalliy tadqiqotlarda qo‘llanilishi) va «muammoning o‘rganilganlik darajasi» qismida iqtibos qilish mumkin. Ish menejment yo‘nalishida bo‘lib, prudensial me’yorlar va xalqaro standartlarga asoslangan baholash metodologiyasini ko‘rmaydi; bizning ishimiz aynan Basel III, IFRS 9 va IMF FSI asosida baholash metodologiyasini takomillashtirishi bilan farqlanadi.</w:t>
      </w:r>
    </w:p>
    <w:bookmarkEnd w:id="29"/>
    <w:bookmarkStart w:id="30" w:name="Xecb5807497eefb18b9956b2d9dc1b7ca9e37e0f"/>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Xidirov M.A. (2026, PhD) – «Tijorat banklari kredit faoliyatini takomillashtirish orqali ularning moliyaviy barqarorligini ta’minlash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moliyaviy barqarorlikni ta’minlashga yo‘naltirilgan kredit faoliyatini takomillashtirish bo‘yicha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kredit portfelidagi «substandart» kreditlar miqdori va ulushini maqbul maksimal chegaradan oshirmasdan boshqarish orqali rentabellikni ta’minlash imkoni asoslangan; davlat ulushi mavjud banklarda tijorat kreditlari ulushini oshirish uchun depozitlarning aktivlarga nisbatini oshirish asoslangan; imtiyozli kreditlar ulushi va passivlardagi kredit majburiyatlari o‘rtasidagi mutanosiblik zarurligi asoslangan; mijoz va birgalikdagi qarz oluvchilarning kafillik majburiyatlarini hisobga olgan holda kredit yukini hisoblash taklif etilgan.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davlat ulushi mavjud banklarda substandart kreditlar ulushi va ular bo‘yicha zaxiralash normasini tartibga solish orqali ROA va ROE ni oshirish imkoni aniqlangan; kredit faoliyati samaradorligini «ehtimoliy zararlarni baholash xarajatlari / kreditlar bo‘yicha foizli daromadlar» ko‘rsatkichi bilan o‘lchash taklif etilgan; ICBC va Sberbank tajribasi tahlil qilingan; mehnat migrantlari uchun skoring tizimi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III, MHXS 9, XVJ moliyaviy barqarorlik ko‘rsatkichlari va stress-testlar baholash vositasi sifatida qo‘llanilmagan; aktivlar sifati milliy tasnif bo‘yicha ko‘rilgan.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 dagi substandart kreditlar ulushining o‘sishi (SQB da 6,2 foizdan 18,4 foizgacha) haqidagi xulosani boshqa muallif ham muammo sifatida qayd etganini ko‘rsatish mumkin. Farqimiz: Xidirov substandart kreditlarni rentabellik nuqtai nazaridan ko‘radi, bizning ishda esa ular MHXS 9 bo‘yicha 2-bosqich bilan solishtirilib, yashirin kredit riski sifatida baholanadi.</w:t>
      </w:r>
    </w:p>
    <w:bookmarkEnd w:id="30"/>
    <w:bookmarkEnd w:id="31"/>
    <w:bookmarkStart w:id="36" w:name="bank-kapitali-va-kapitallashuv"/>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Bank kapitali va kapitallashuv</w:t>
      </w:r>
    </w:p>
    <w:bookmarkStart w:id="32" w:name="Xfcce5e6a48efeb23c207b6c748551a1dceaf151"/>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Egamova M.E. (2026, DSc) – «Tijorat banklari kapitalini transformatsiya qilish uslubiyati va amaliyotini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kapitalini transformatsiya qilish uslubiyati va amaliyotini takomillashtirishga qaratilgan ilmiy-amaliy taklif va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davlat ulushi mavjud banklar kredit portfelida muddati o‘tgan kreditlarning yuqori chegaraviy darajasini 3,0 foizdan oshirmaslik orqali tavakkalchilik hisobga olingan aktivlar sifatini oshirish taklif etilgan; balansdan tashqari yuqori riskli majburiyatlarni qisqartirish hisobiga I darajali kapital yetarliligini oshirish taklif qilingan; davlat ulushini bank mijozlari bo‘lgan jismoniy shaxslarga sotish orqali aksiyalar bozor bahosini 5 karragacha oshirish taklif etilgan; aktivlarda bevosita davlatga tegishli aktivlar ulushini bosqichma-bosqich 30 foizgacha transformatsiya qilish hamda majburiyatlarda davlat mablag‘lari ulushini 35 foizgacha pasaytirish taklif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kapital transformatsiyasida aktivlar sifati muhim iqtisodiy omil ekanligi, barqaror dividend to‘lovlari aksiyalar bozor bahosiga ijobiy ta’sir qilishi, transformatsiya qilinayotgan banklarda NPL darajasini xalqaro talablar darajasida saqlash va muammoli kreditlar bo‘yicha zaxiralarni shakllantirish muhimligi asoslangan. Mualliflik ta’rifi: kapital transformatsiyasi – strategik maqsadlar, prudensial talablar va bozor kon’yunkturasidan kelib chiqib kapital elementlarining hajmi, tarkibi, sifati va shaklini maqsadli, tizimli va nazorat qilinadigan tarzda o‘zgartirish; 5 bosqichli evolyutsion model (CAR pastligi → CoCo bonds/subordinar qarz → qarzni aksiyaga aylantirish, CET1 oshirish → qo‘shimcha emissiya → strategik investor/IPO/xususiylashtirish).</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qo‘mitasi yondashuvi (kapitalni me’yoriy talablarga moslashtirish, 2-darajali kapitalni 1-darajaliga, CET1) va gibrid instrumentlar (CoCo bonds, perpetual bonds) nazariy jihatdan tilga olinadi; NPL «xalqaro talablar» darajasida deb umumiy aytiladi. LCR/NSFR, kapital buferlari, IFRS 9/ECL, IMF FSI, CAMELS, stress-test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 va xulosalarda davlat banklari ustunligi muammosini asoslashda (davlat aktivlari 30%, davlat resurslari 35% chegaralari, muddati o‘tgan kreditlar 3,0% chegarasi) va 1.1 da kapital transformatsiyasi bosqichlari bilan havola qilinadi. Farqimiz: Egamova kapital tuzilmasi va xususiylashtirishga e’tibor beradi, NPL ni milliy tasnifda oladi; biz davlat banklari (SQB, Mikrokreditbank) misolida milliy NPL va IFRS 9 Stage 3 o‘rtasidagi tafovutni (2,5% vs 7,5%; 4,4% vs 12,3%) ko‘rsatib, aktivlar sifati baholashining o‘zini qayta ko‘rib chiqamiz.</w:t>
      </w:r>
    </w:p>
    <w:bookmarkEnd w:id="32"/>
    <w:bookmarkStart w:id="33" w:name="Xa053f84dcfde026380ca17c1e52696198b709d4"/>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Yodgorov M.N. (2026, PhD) – «Tijorat banklari kapitali barqarorligini ta’minlash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Mamlakatimiz tijorat banklarini transformatsiyalash jarayonida kapital barqarorligini ta’minlash yo‘llariga qaratilgan ilmiy-nazariy, amaliy va uslubiy taklif va tavsiyalarni ishlab chiqish (tadqiqot obyekti – ATB O‘zsanoatqurilishbank).</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kapital yetarliligi koeffitsientining «o‘rtacha qiymatga qaytish» (mean-reverting) xususiyatiga ega ekanligi hamda inflyatsiya va valyuta kursining kapital barqarorligiga o‘rta muddatli differensial ta’sir mexanizmi asoslangan; pul massasining oshishi kapital yetarliligiga ikki bosqichli dinamik mexanizm orqali ta’sir qilishi (qisqa muddatda kredit ekspansiyasi va riskka tortilgan aktivlar o‘sishi hisobiga pasaytirishi, ikkinchi lag davrida daromadlar kapitallashuvi hisobiga tiklanishi) ko‘rsatilgan; yuqori likvidli aktivlar zaxirasining (HQLA) kapital barqarorligiga ta’siri «kechikish effekti» bilan namoyon bo‘lishi va kapital yetarliligining «inersion o‘z-o‘zini tuzatish» (mean-reverting oscillation) mexanizmi asoslangan; O‘zsanoatqurilishbank uchun eng yuqori aniqlikka ega Holt-Winters modeli (RMSE: aktivlar – 1,69; kredit portfeli – 3,59; kapital – 0,51) asosida 2025–2030 yillarga bazaviy, optimistik va pessimistik uch ssenariyli prognoz taklif etilgan. Amaliy natijalarda AT1 (Additional Tier 1) obligatsiyalari va subordinatsiyalangan qarz instrumentlarini joriy etish, Basel III/IV standartlarini mahalliy sharoitga moslashtirish (Modigliani–Miller, Diamond–Dybvig va agentlik nazariyasi sintezi asosida), makroiqtisodiy ssenariyli stress-test tizimi va kontrsiklik kapital buferi (CCyB)ni bosqichma-bosqich joriy etish taklif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Ekonometrik baholashda kapital yetarliligi ikki lag oldingi darajasidan −0,323 koeffitsienti bilan teskari yo‘nalishda harakat qiladi (p&lt;0,01), inflyatsiyaning 1 foizga oshishi ikkinchi lagda kapital yetarliligini 0,051 foizga oshiradi (p&lt;0,10); kredit portfeli o‘sishi qisqa muddatda kapital infuziyalari hisobiga kapital yetarliligini oshirsa, 6 oydan so‘ng riskka tortilgan aktivlar ortishi hisobiga uni qisqartiradi («ikki bosqichli paradoksal mexanizm»); ROA oshishi qisqa muddatda kapital yetarliligiga salbiy ta’sir qiladi («rentabellik paradoksi»); Markaziy bank asosiy stavkasining oshishi kapital buferlarini qisqa muddatda qisqartiradi, ta’sir uzoq muddatda inersiya bilan so‘nadi. (Ajratilgan matnda alohida «Xulosa» bo‘limi to‘liq berilmagan, xulosalar ilmiy yangilik va joriy etish natijalaridan olingan.)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III/IV (kapital yetarliligi, AT1 instrumentlari, kontrsiklik kapital buferi – CCyB), HQLA tushunchasi (LCR komponenti sifatida, lekin LCR/NSFR me’yorlari tahlil qilinmagan), makroiqtisodiy ssenariyli stress-testlar qo‘llangan; usullar – SVAR, ARIMA, SARIMA, Holt-Winters. IFRS 9/ECL, IMF FSI va CAMELS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Eng yaqin ish – xuddi shu SQB (O‘zsanoatqurilishbank) misolida; HQLA–kapital «kechikish effekti» va CCyB/stress-test takliflarini 1.3 (xorij tajribasi) va 2.2 (ko‘rsatkichlar dinamikasi)da iqtibos sifatida, Holt-Winters prognozini 3-bob modeli bilan solishtirish uchun ishlatish mumkin. Farqimiz: Yodgorov faqat kapital barqarorligi va makroomillarni o‘rganadi, bizning ish esa LCR/NSFR bo‘yicha 2709-son nizom va Basel metodikasini (NSFRning 4 varianti: MB/Basel × milliy hisob/IFRS) solishtirish hamda IFRS 9 Stage 3 va milliy NPL farqi (SQB 2025: 2,5% vs 7,5%) orqali barqarorlikni kompleks baholashni taklif etadi.</w:t>
      </w:r>
    </w:p>
    <w:bookmarkEnd w:id="33"/>
    <w:bookmarkStart w:id="34" w:name="X71db4caea9be1583aedcfca6a2d7ca4e0ea49dc"/>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Olimjanova N.A. (2024, PhD) – «Tijorat banklari kapitalida davlat ulushini kamaytirish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 tijorat banklari kapitali tarkibida davlat ulushini kamaytirish bo‘yicha taklif va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barqarorlik reytingida davlat ulushi 50 foiz va undan yuqori banklarga ustav kapitalidagi davlat ulushining 10 foizga kamayishi uchun 5 ball, 20 foizga – 10 ball, 30 foizga – 20 ball qo‘shimcha ball berish taklif etilgan; yangi chiqariladigan aksiyalarning kamida 25 foizdan ortig‘ini fond birjasida ommaviy joylashtirish maqsadga muvofiqligi asoslangan; davlat ulushidagi banklarni transformatsiya qilishda imtiyozli kreditlar hajmini kredit portfelining 8 foizidan oshirmaslik asoslangan; sof foydaning 20 foizini ustav kapitaliga yo‘naltirish orqali kapital buferini ta’minlash taklif etilgan; shuningdek, ustav kapitalini bosqichma-bosqich (1-yilda 100, 2-yilda 200, 3-yilda 300 foizga) oshirish va uzoq muddatli subordinar qarz chiqarish taklif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davlat ulushini 15–20 foizgacha tushirish va banklarning qimmatli qog‘ozlar bozoridagi faoliyatini 50 foizgacha oshirish asoslangan, 2030-yilgacha prognoz ko‘rsatkichlari ishlab chiqilgan. Ball tizimi taklifi Vazirlar Mahkamasining 2024-yil 30-yanvardagi 55-son qaroriga kiritilgan; 25 foiz ommaviy joylashtirish taklifi PQ-291 (2023) bilan tasdiqlangan yo‘l xaritasida foydalanilgan; SQB 2024–2026-yillar strategiyasiga kiritilgan takliflar natijasida 2023-yilda imtiyozli kreditlar ulushi 2022-yilga nisbatan 7,2 foizga kamaygan.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matnda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kapital buferi</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tushunchasi ishlatilgan, ammo u Bazel III kapital buferlari (konservatsiya, kontrsiklik) metodologiyasi asosida emas, sof foydani kapitallashtirish ma’nosida qo‘llangan; Bazel II/III ko‘rsatkichlari, IFRS 9, XVF FSI, CAMELS yoki stress-testlar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1.1-paragrafda bank kapitalining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himoya yostiqchasi</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sifatidagi ta’riflari (Usoskin, Korobova, Olxova, Abdullaeva va Omonov, Egamova) va 2.2-paragrafda davlat banklari ustunligi muammosini asoslash uchun iqtibos qilinadi; SQB bo‘yicha joriy etilgan takliflar (imtiyozli kreditlar ≤ 8 foiz, foydaning 20 foizi kapitalga) keys-bank tavsifida ishlatilishi mumkin. Farqimiz – davlat ulushi masalasini mulkchilik tuzilmasi nuqtai nazaridan emas, moliyaviy barqarorlikni Bazel III (kapital, LCR, NSFR) va IFRS 9 asosida baholash orqali ko‘rib chiqamiz; kapital buferini Bazel III talablari bilan taqqoslash bizning yangiligimiz bo‘ladi.</w:t>
      </w:r>
    </w:p>
    <w:bookmarkEnd w:id="34"/>
    <w:bookmarkStart w:id="35" w:name="Xda74853c92154c79c3cc9a57463b35f85c53ff1"/>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Mirzayeva M.G‘. (2025, PhD) – «Xususiy banklarning kapitallashuv darajasini oshirish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 Respublikasi xususiy banklari kapitallashuv darajasini oshirishga qaratilgan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qo‘shimcha kapitalning asosiy tarkibi bo‘lgan uzoq muddatli subordinar qarz chiqarishni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yashil subordinar obligatsiyalar</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fintex asosidagi tokenlashtirilgan subordinar moliyalashtirish vositalari</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hisobiga kengaytirib, xususiy banklar kapitallashuv darajasini (3%≤KDXB≤5%) oshirish asoslangan; aksiyalar bilan birga konvertatsiya qilinadigan obligatsiyalar va steyking (staked) aktivlar orqali emission daromadni oshirib, kapitallashuv darajasini 25 foizgacha oshirish imkoni aniqlangan; mustaqil balansga ega bo‘lmagan sho‘ba korxonalarga qo‘yilmalarni raqamli bank xizmatlari va fintex startaplar bilan integratsiyalash orqali kapitallashuv darajasini (5%≤KDXB≤10%) oshirish chegaralari asoslangan;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smart reinvestitsiya strategiyalari</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asosida joriy yil foydasining 30 foizini ustav kapitaliga yo‘naltirish taklif etilgan.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xususiy banklar kapitallashuv darajasini oshirishning mualliflik yondashuvi shakllantirilgan; subordinar qarz, oddiy aksiyalarni doimiy emissiya qilish va fond bozorida ishtirokni faollashtirish (emission daromad ulushini oshirish) kapitallashuvni oshirish yo‘llari sifatida asoslangan; xorij amaliyoti tahlili asosida tavsiyalar berilgan. (Avtoreferatning ajratilgan matnida yakuniy miqdoriy xulosalar keltirilmagan.)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II/III, IFRS 9, XVF FSI, CAMELS yoki stress-testlar matnda qo‘llanilmagan; subordinar qarz qo‘shimcha kapital elementi sifatida ko‘rilgan, lekin Bazel III Tier 2 mezonlari bilan bog‘lanmagan.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1.1-paragrafda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xususiy bank</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kapitallashuv</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tushunchalari (Klimov, Egamova, Usoskin) bo‘yicha va 1.3-paragrafda xorij tajribasi bo‘yicha qo‘shimcha manba sifatida foydalanish mumkin; xususiy banklar kapitallashuvi 2.2-paragrafda davlat va xususiy banklar o‘rtasidagi tafovutni ko‘rsatishda kontekst beradi. Farqimiz – kapital masalasi alohida emas, Bazel III kapital, likvidlik (LCR/NSFR) va IFRS 9 kredit sifati ko‘rsatkichlari bilan birgalikda yaxlit barqarorlik baholash metodologiyasi doirasida ko‘riladi.</w:t>
      </w:r>
    </w:p>
    <w:bookmarkEnd w:id="35"/>
    <w:bookmarkEnd w:id="36"/>
    <w:bookmarkStart w:id="42" w:name="likvidlilik-va-uni-tartibga-solish"/>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Likvidlilik va uni tartibga solish</w:t>
      </w:r>
    </w:p>
    <w:bookmarkStart w:id="37" w:name="X53d0961f16aae42dec1607176938c911c43868a"/>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Abdullayev A.Ya. (2018, DSc) – «Tijorat banklarining likvidlilik darajasini oshirish metodologiyasini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O‘zbekistonda tijorat banklari likvidlilik darajasini oshirishning metodologik asoslarini takomillashtirishga qaratilgan ilmiy-uslubiy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aktiv va passivlarning muddat va miqdor bo‘yicha mutanosibligi hamda bank resurslari tayanch modelini inobatga olgan likvidlilik darajasini baholash mexanizmi ishlab chiqilgan; Bazel qo‘mitasining tavsiyaviy me’yorlari bilan banklarning joriy balans ko‘rsatkichlarini qiyoslash asosida likvidlilikni moliyaviy tahlil qilish uslubi takomillashtirilgan; ko‘p omilli chiziqli regressiya asosida likvidlilikning o‘rta va uzoq muddatli prognoz ko‘rsatkichlari ishlab chiqilgan; likvidlilik ehtimollik qiymatini tabaqalashtirilgan mezonlar asosida baholashning konseptual modeli yaratilgan; likvidlilik pozitsiyalarini turli ssenariylar asosida stress-testdan o‘tkazish uslubi takomillashtirilgan.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mualliflik ta’rifi – bank likvidliligi zarur paytda moliya bozoridan likvid mablag‘larni arzon jalb qilish, aktivlar o‘sishini resurslar bilan ta’minlash, risklarni kamaytirish va barcha real va shartli majburiyatlarni o‘z vaqtida, yo‘qotishlarsiz bajarish imkoniyati; likvidlilikni tartibga solishning 9 ta tamoyili (muddat va miqdor mutanosibligi, uzluksizlik, markazlashgan boshqaruv va h.k.) shakllantirilgan; pul oqimlari usuli asosida joriy va kelgusi likvidlilikni baholash formulasi taklif etilgan; lahzali va joriy likvidlilikka ta’sir etuvchi omillar ekonometrik baholangan. Basel qo‘mitasining likvidlilikni boshqarish bo‘yicha 14 tamoyili va likvidlilik riski bo‘yicha 17 tamoyili tahlil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qo‘mitasi tavsiyalari (likvidlilikni boshqarishning 14 tamoyili, likvidlilik riskining 17 tamoyili) va Basel III likvidlilik islohoti (likvidlilikni qoplash va sof barqaror moliyalashtirish, ya’ni LCR va NSFR – matn shu joyda uzilgan) ko‘rib chiqilgan; likvidlilik stress-testi qo‘llanilgan. IFRS 9/ECL, IMF FSI, CAMELS ishlatilmagan.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 da likvidlilik ta’rifi va tamoyillari, 1.3 da Basel 14 va 17 tamoyillari, 2.1 da LCR/NSFR joriy etilishidan oldingi (2018) milliy likvidlilik me’yorlari (lahzali, joriy likvidlilik) tarixiy bosqich sifatida keltiriladi. Farqimiz: Abdullayev Basel tavsiyalarini umumiy qiyoslash va milliy ko‘rsatkichlar regressiyasi bilan cheklanadi; biz 2709-son nizom bo‘yicha LCR/NSFR va Basel III asl metodikasini koeffitsiyent darajasida taqqoslab, 4 variantli NSFR hisobini va IFRS hisoboti ta’sirini ko‘rsatamiz.</w:t>
      </w:r>
    </w:p>
    <w:bookmarkEnd w:id="37"/>
    <w:bookmarkStart w:id="38" w:name="Xbd4d4f1891d7324ca640554c16870c7fbab6fba"/>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Gadoyev S.J. (2020, PhD) – «Tijorat banklarida likvidlilik riskini boshqarishni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O‘zbekistonda tijorat banklari faoliyatidagi likvidlilik riskini boshqarish amaliyotini takomillashtirish bo‘yicha ilmiy taklif va amaliy tavsiyalar ishlab chiqish (obyekt – SQB, Asakabank, Qishloq qurilish bank va Turonbank).</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muddati o‘tgan kreditlarning chegaraviy darajasi, zaxira talablari, joriy likvidlilik me’yori va aktivlar rentabelligining mo‘tadil darajasiga erishgan holda aktiv va passivlar muddatlari mutanosibligini ta’minlash asoslangan; talab qilib olinadigan depozitlar barqaror qoldig‘ini yuqori likvidli qimmatli qog‘ozlarga yo‘naltirish orqali likvidlilikni oshirish asoslangan; tranzaksion depozitlar salmog‘ini kamaytirish va sof foizli marjaning me’yoriy darajasini ta’minlash zarurligi asoslangan; lahzali likvidlilik koeffitsiyentining 0,20 dan past bo‘lmasligi maqsadga muvofiqligi asoslangan.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inflyatsiyaning 1 foizga oshishi vakillik hisobraqamlaridagi mablag‘larning brutto aktivlardagi ulushini 8,6 foizga kamaytirishi, xorijiy valyutadagi depozitlar stavkasining 1 foizga oshishi esa bu ulushni 0,78 foizga oshirishi aniqlangan; kirish qismida O‘zbekistonda Bazel qo‘mitasining kapital va qarz majburiyatlari nisbati bo‘yicha talablari joriy etilmagani qayd etilgan; tahlil 2014–2018-yillarni qamrab olgan.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talablari faqat muammo sifatida tilga olinadi; LCR, NSFR, MHXS 9 va XVJ ko‘rsatkichlari qo‘llanilmagan; tahlil milliy joriy va lahzali likvidlilik me’yorlariga asoslangan.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 yoki 2.1-§ da likvidlilik masalasi milliy me’yorlar doirasida o‘rganilganini, LCR va NSFR ning milliy va xalqaro metodikalardagi farqlari esa tadqiq etilmaganini ko‘rsatish uchun foydalanish mumkin; SQB tadqiqot obyekti bo‘lgani uchun 2014–2018-yillar holati tarixiy fon bo‘ladi.</w:t>
      </w:r>
    </w:p>
    <w:bookmarkEnd w:id="38"/>
    <w:bookmarkStart w:id="39" w:name="X8c6bc312470310655e71c45ab98d83019e3fc36"/>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Sulaymanov S.A. (2025, PhD) – «Tijorat banklari likvidliligini tartibga solishni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likvidliligini tartibga solishni takomillashtirishga qaratilgan ilmiy takliflar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Yevroobligatsiyalar emissiyasi orqali tashqi resurslarni jalb qilish mexanizmi va likvidlilik uzluksizligini tartibga soluvchi moliyaviy model asosida likvid aktivlar ulushini kamida 18–20 % darajasida saqlash hamda normativ likvidlilik ko‘rsatkichlarini 1,2 barobarga yaxshilash taklif etilgan; resurslarning asosiy qismini qisqa muddatli daromadli aktivlarga yo‘naltirish, investitsion loyihalarni uzoq muddatli depozitlar va xorijiy kredit liniyalari hisobidan moliyalashtirish hamda bir yildan ortiq muddatli majburiyatlar ulushini 70 foizgacha yetkazish asoslangan; bank ish kuni davomida real vaqtda pul oqimlari monitoringi, normativga yaqinlashish signali va avtomatlashgan korrektiv harakatlar algoritmi orqali tezkor likvidlik koeffitsiyentining 1,0 dan pastga tushish xavfini 70 % gacha kamaytirish imkoni ko‘rsatilgan; o‘zgarmas effekt (fixed effects) modeli orqali «Agrobank» ATB likvid aktivlari o‘sishining 2029-yilgacha prognozi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Taklif asosida Agrobank ATBning dastlabki yevrobondlari London va Vena fond birjalarida emissiya qilingan; Agrobank xorijiy konsalting kompaniyasi bilan ALM (Asset Liability Management) tizimini joriy qilgan; filiallarda likvidlilik ko‘rsatkichlari va me’yorlarini kunlik bajarish talabi asoslangan. Muallif bank likvidligini «joriy va kelajakdagi majburiyatlarni zarar ko‘rmay, kerakli vaqtda va miqdorda likvid mablag‘ jalb qila olish qobiliyatlari yig‘indisi» sifatida ta’riflaydi. (Ajratilgan matnda «Xulosa» bo‘limi mavjud emas.)</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Ajratilgan matnda Basel III LCR/NSFR, IFRS 9/ECL, IMF FSI, CAMELS yoki stress-testlar aniq qo‘llanmagan; asosiy e’tibor milliy normativ likvidlilik koeffitsiyentlari (jumladan tezkor likvidlik ≥1,0), ALM va yevrobondlarga qaratilgan.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Likvidlik ta’riflari (Sinkey, Ivanov, Mishkin va muallif ta’rifi) 1.1 da, yevrobondlar va ALM tajribasi 1.3 da qisqa iqtibos qilinishi mumkin; 70 % uzoq muddatli majburiyatlar g‘oyasi NSFR (barqaror moliyalashtirish) mantiqiga yaqin bo‘lgani uchun 2.1 da milliy yondashuv misoli sifatida keltirilishi mumkin. Farqimiz: Sulaymanov milliy normativlar doirasida qoladi va Basel LCR/NSFR metodikasini 2709-son nizom bilan solishtirmaydi, bizning ish esa NSFRni 4 variantda hisoblab, metodologik tafovutni miqdoriy ko‘rsatadi.</w:t>
      </w:r>
    </w:p>
    <w:bookmarkEnd w:id="39"/>
    <w:bookmarkStart w:id="40" w:name="X25960138a00565ed9e5c78b245179821278c6fd"/>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Sattorova N.G‘. (2026, PhD) – «Tijorat banklari likvidliligini optimallashtirish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likvidliligini optimallashtirishga qaratilgan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likvidligini optimallashtirish» tushunchasi aktiv va majburiyatlar tuzilmasini real vaqtda qayta balanslash orqali likvidlik tavakkalchiligini minimallashtirish va filiallararo likvidlik disbalansini dinamik sinxronlashtiruvchi indekslar asosida prognoz qilish imkonini beruvchi ilmiy-amaliy kategoriya sifatida takomillashtirilgan; aktivlar diversifikatsiyasi, markazlashmagan resurs manbalari va likvid aktivlar tez aylanuvchanligi orqali yetmish kunlik rejalashtirish modelida minimal likvidlik talablariga moslik ko‘rsatkichini 95 % gacha oshirish asoslangan; Markaziy bankning qayta moliyalash, svop va qimmatli qog‘ozlar bilan operatsiyalarini diversifikatsiyalash orqali tizimdagi kunlik likvidlik ehtiyojini 15–20 % gacha qoplash va qisqa muddatli bozorda likvidlik disbalansini 30 % gacha kamaytirish taklif etilgan; filiallararo likvidlik disbalansini VAR modeli va stress-test ssenariylari asosida aniqlash orqali likvidlik taqchilligini 18–22 % gacha kamaytirish va filiallararo pul oqimlari balansini 0,9 korrelyatsiya koeffitsiyenti darajasida uyg‘unlashtirish asoslangan.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2021–2025-yillarda bank tizimida yuqori likvidli aktivlar ulushi 14,2 % dan 19,4 % gacha oshib, 2025-yilda 17,3 % ni tashkil etgan; LCR doimo me’yor (100 %)dan yuqori bo‘lib, 2021-yilda 224,5 % bilan maksimumga chiqqan; NSFR 109,9–115,6 % oralig‘ida nisbatan barqaror bo‘lgan, ammo dinamika notekis. «Agrobank» ATBda joriy likvidlik koeffitsiyenti 0,789/0,757/0,799 (min 0,300), LCR 1,628/1,217/1,232 (min 1,0), NSFR 1,159/1,103/1,040 (01.01.2022–01.01.2024) – NSFR pasayish tendensiyasida. (Ajratilgan matnda alohida «Xulosa» bo‘limi berilmagan.)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III LCR va NSFR (tizim va Agrobank darajasida, milliy hisobot asosidagi qiymatlar), Bazel qo‘mitasining likvidlilikni boshqarish bo‘yicha yangi talablarini qo‘llash tavsiyalari, VAR modeli va stress-test ssenariylari qo‘llangan. IFRS 9/ECL, IMF FSI va CAMELS qo‘llanmagan; LCR/NSFRning Basel va 2709-son nizom metodikasi bo‘yicha farqi tahlil qilinmagan.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Tizim bo‘yicha 2021–2025 LCR (2021-yil 224,5 %) va NSFR (109,9–115,6 %) dinamikasi hamda HQLA ulushi 2.2 (ko‘rsatkichlar dinamikasi) da bevosita iqtibos va o‘z hisob-kitoblarimiz bilan solishtirish uchun ishlatilishi mumkin; Agrobank misoli 2.1 da milliy normativlar bajarilishiga misol sifatida keltirilishi mumkin. Farqimiz: Sattorova LCR/NSFRni Markaziy bank ma’lumotlari bo‘yicha tayyor holda oladi, biz esa ularni Basel metodikasi bo‘yicha qayta hisoblab (NSFRning 4 varianti), rasmiy milliy qiymatlar barqarorlikni ortiqcha baholashi mumkinligini ko‘rsatamiz va buni IFRS 9 bosqichlari bilan bog‘laymiz.</w:t>
      </w:r>
    </w:p>
    <w:bookmarkEnd w:id="40"/>
    <w:bookmarkStart w:id="41" w:name="X783843390220f8feb5c9f2eb763a460bd75b9d2"/>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Izbosarov B.B. (2019, PhD) – «Raqamli iqtisodiyotda tijorat banklari likvidliligini tartibga solish»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Raqamli iqtisodiyotda tijorat banklari likvidliligini tartibga solishga qaratilgan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banklarida oddiy aksiyalarni birlamchi va ikkilamchi qimmatli qog‘ozlar bozorida joylashtirish orqali joriy va lahzalik likvidlilik uzluksizligini ta’minlash taklif etilgan; resurslarning asosiy qismini qisqa muddatli daromadli aktivlarga joylashtirib, uzoq muddatli investitsion loyihalarni xorijiy kredit liniyalari hisobidan moliyalashtirish taklif qilingan; resurslar tarkibida bir yildan yuqori muddatli depozitlar va kredit liniyalari ulushini bosqichma-bosqich (70 foizgacha) oshirish taklif etilgan; tijorat banki filiallariga likvidlilikni baholash bo‘yicha kunlik me’yorlarni mustaqil belgilash asoslangan.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Aksiya emissiyasi taklifi «Aloqabank» AT va «Mikrokreditbank» ATBda qo‘llanib, yuqori likvidli aktivlar ulushi 2019-yil 1-aprel holatiga o‘tgan yilga nisbatan 10–15 foizga oshgan, joriy va lahzali likvidlilik talabi mos ravishda 1,2 va 1,3 koeffitsientda ta’minlangan; Aloqabankda qisqa muddatli kreditlar qoldig‘i 44,1 mlrd. so‘mdan 255,6 mlrd. so‘mga (4,7 marta) oshgan; Mikrokreditbankda uzoq muddatli depozitlar ulushi 2019-yil 1-iyun holatiga 90 mlrd. so‘mga yoki 8,5 foizga ortgan. (Ajratilgan matnda alohida «Xulosa» bo‘limi berilmagan, natijalar joriy etish qismidan olingan.)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Ajratilgan matnda Basel III (LCR, NSFR), IFRS 9/ECL, IMF FSI, CAMELS yoki stress-testlar qo‘llanmagan; tahlil milliy joriy va lahzali likvidlilik koeffitsientlariga asoslangan.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Mikrokreditbank bo‘yicha 2019-yilgi likvidlik va depozit tuzilmasi natijalari 2.2 da case-bankning oldingi davrdagi holati (Basel III me’yorlari joriy etilishidan oldingi milliy yondashuv) sifatida qisqa iqtibos qilinishi mumkin; 1.2 da milliy koeffitsientlar (joriy/lahzali likvidlik) asosidagi eski metodologiyaga misol bo‘ladi. Farqimiz: bu ish xalqaro standartlarni umuman qo‘llamaydi, biz esa Mikrokreditbankni LCR/NSFR (Basel vs 2709) va IFRS 9 Stage 3 (12,3 %) vs milliy NPL (4,4 %) farqi orqali baholaymiz.</w:t>
      </w:r>
    </w:p>
    <w:bookmarkEnd w:id="41"/>
    <w:bookmarkEnd w:id="42"/>
    <w:bookmarkStart w:id="46" w:name="aktivlar-sifati-va-kredit-riski"/>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Aktivlar sifati va kredit riski</w:t>
      </w:r>
    </w:p>
    <w:bookmarkStart w:id="43" w:name="X465f820d34c3e5d5a4ee045f2b6cbec0d6c0ce5"/>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Ismatov N.R. (2026, DSc) – «Bank kredit portfeli riskini baholash va boshqarishning metodologik asoslarini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bank kredit portfeli riskini baholash va boshqarishning metodologik asoslarini takomillashtirish (maqsadning aniq matni taqdim etilgan faylda ajratib olinmagan; mavzudan kelib chiqib berildi).</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taqdim etilgan faylda ilmiy yangilik bandlari mavjud emas (ajratib olishda faqat 1-bob matni tushgan). Matndan ko‘rinadigan metodologik yo‘nalishlar: kredit riskini PD, LGD, EAD parametrlari orqali modellashtirish; PD ni baholashda logistik regressiyadan «survival analysis» va Cox proporsional hazard modellariga o‘tish; IFRS 9 maqsadlari uchun Point-in-Time (PiT) va Through-the-Cycle (TTC) yondashuvlarini Z-shift algoritmlari orqali integratsiyalash; Downturn LGD ga garovning hududiy joylashuvi, reallashuv muddati (time-to-liquidation) va sud xarajatlari diskontini kiritish (garovni majburiy sotishda qiymat 30–50% gacha pasayishi – haircut effekti).</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xulosalar bo‘limi faylda mavjud emas. Matndagi asosiy fikrlar: TTC modellarining barqarorligi Basel bo‘yicha kapital hisobi uchun qulay, ammo IFRS 9 kutilayotgan zararlarini aniq e’tirof etish uchun makro-dinamik PiT yondashuvi muqarrar; BCBS, IFRS 9, ECB/EBA, IMF/Jahon banki yondashuvlarining qiyosiy jadvali (1-jadval) tuzilgan.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(SA va IRB yondashuvlari, LCR va NSFR, «Basel IV» talablari), IFRS 9 (ECL, Stage 1/2/3, Base/Adverse/Optimistic ssenariylar), ECB/EBA (NPL kalendar provisioning, UTP, EWI, iqlim stress-testlari), IMF/Jahon banki FSAP, makro-stress-testlar va makroprudensial chegaralar (LTV, DSTI) qiyosiy tahlilda ko‘rib chiqilgan. IMF FSI va CAMELS tilga olinmagan.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1.3 da BCBS–IFRS 9–ECB/EBA–IMF yondashuvlari qiyosiy jadvali va 1.2 da PiT/TTC, Stage 1–3, Downturn LGD bo‘yicha nazariy munozara IFRS 9 bosqichlari va milliy NPL farqini tushuntirishda keltiriladi. Farqimiz: Ismatov kredit portfeli riskini mikro-darajada (PD/LGD/EAD) modellashtiradi; biz IFRS 9 Stage 3 va milliy NPL tafovutini moliyaviy barqarorlikning umumiy baholash tizimiga (LCR/NSFR, FSI bilan birga) kiritamiz. Ilmiy yangilik bandlari faylda yo‘qligi sababli avtoreferatning to‘liq matnini tekshirish tavsiya etiladi.</w:t>
      </w:r>
    </w:p>
    <w:bookmarkEnd w:id="43"/>
    <w:bookmarkStart w:id="44" w:name="X40e247129330c33004e22688ebdd6c2617e3a32"/>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Yusupov Sh.M. (2026, PhD) – «Tijorat banklari kredit portfeli sifatini oshirish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banklarida kredit portfelini samarali boshqarishning bozor mexanizmlarini takomillashtirish bo‘yicha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investitsion loyihalarga ajratiladigan kreditlar bo‘yicha risklarni pasaytirish uchun kredit ta’minoti miqdorini 125 foizga oshirish, uning tarkibida ko‘chmas mulk ulushini 70 foizga yetkazish va texnologik uskunalar ulushini 55 foiz darajasida cheklash taklif etilgan; jamoaviy asosda qadrsizlanadigan kreditlar bo‘yicha ehtimoliy yo‘qotishlar va zaxira xarajatlarini kamaytirish uchun, davlat dasturlaridan qat’i nazar, aktivlar sifati bo‘yicha moliyaviy beqaror va «qoniqarsiz», «shubhali», «umidsiz» toifadagi qarzdorlarga kredit ajratish yoki shartlarni qayta ko‘rib chiqishni to‘xtatish taklif qilingan; investitsion kreditlar bo‘yicha asosiy qarzga imtiyozli davrni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investitsion davr + 6 oy</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muddatgacha cheklash taklif etilgan; kredit portfelini dinamik diversifikatsiya qilish algoritmi asosida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Risk – daromad</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qonuniyati doirasida portfel hajmining 2025–2030-yillar uchun prognoz ssenariylari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davlat ulushi yuqori bo‘lgan va xususiy banklar kredit portfelining strukturasi va diversifikatsiyalanish darajasi alohida tahlil qilinib, ularga ta’sir etuvchi omillar aniqlangan; kredit portfeli sifatiga ta’sir etuvchi risklar tasniflangan; kredit portfelini boshqarish omillarining ekonometrik tahlili va diversifikatsiya modeli asosida 2025–2030-yillar uchun prognoz ko‘rsatkichlari ishlab chiqilgan. (Avtoreferatning ajratilgan matnida aniq miqdoriy xulosalar keltirilmagan.)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II/III, IFRS 9 bosqichlari/ECL, XVF FSI, CAMELS yoki stress-testlar matnda ishlatilmagan;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jamoaviy asosda qadrsizlanish</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ehtimoliy yo‘qotishlar</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tushunchalari tilga olinsa-da, aktivlar sifati milliy tasnif («qoniqarsiz», «shubhali», «umidsiz») bo‘yicha ko‘rib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1.1-paragrafda kredit portfeli ta’riflari sharhi (Lavrushin, Korobova, Abdullaeva, Umarov va boshqalar) uchun ikkilamchi manba sifatida, 2.2-paragrafda esa davlat ulushi yuqori banklar va xususiy banklar portfeli strukturasidagi farq bo‘yicha iqtibos qilish mumkin. Uning milliy toifalarga («qoniqarsiz», «shubhali», «umidsiz») tayangan yondashuvi bizning 2.1/2.2-paragraflardagi milliy NPL va IFRS 9 3-bosqich o‘rtasidagi tafovut (masalan, SQB 2025: 2,5% va 7,5%; Mikrokreditbank 2025: 4,4% va 12,3%) tahlili uchun qarama-qarshi misol bo‘ladi. Farqimiz – kredit sifati milliy tasnif bilan cheklanmay, IFRS 9 ECL bosqichlari va XVF FSI bilan taqqoslanadi.</w:t>
      </w:r>
    </w:p>
    <w:bookmarkEnd w:id="44"/>
    <w:bookmarkStart w:id="45" w:name="Xdc614c1b8eb96dfd8546d920cbc16fe5a536ad2"/>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Sabirova L.B. (2025, PhD) – «Tijorat banklarida kredit portfeli sifatini oshirish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mamlakatimiz tijorat banklari kredit portfeli sifatini oshirishga qaratilgan ilmiy-nazariy, amaliy va uslubiy taklif va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diversifikatsiya, barqaror to‘lov intizomi va ichki talabni rag‘batlantirish asosida brutto kreditlar tarkibida jismoniy shaxslarga ajratilgan kreditlar ulushini oshirish asoslangan; pul bozori instrumentlari ta’sirchanligini ta’minlash orqali kredit va foiz siyosatini samarali yuritib, kredit portfelini optimallashtirish asoslangan; transformatsiya jarayonida kredit portfelida davlat tashkilotlariga kreditlarni kamaytirib, xususiy sektor ulushini oshirish taklif etilgan; kredit portfeli va muammoli kreditlarni inflyatsiya bilan bog‘liq ekonometrik model asosida 2028-yil martgacha prognoz ssenariylari taklif etilgan; davlat ulushi yuqori banklarda portfel konsentratsiyasini Herfindahl-Hirschman indeksi (HHI) bilan o‘lchash muhimligi ko‘rsatilgan.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O‘zsanoatqurilishbank (SQB) misolida inflyatsiyaning oylik 1 foizga oshishi bir oylik kechikish bilan kredit foizini -0,11 foizga pasaytiradi, pul bozori stavkasining 1 foizga oshishi bir oylik lag bilan uni 0,65 foizga oshiradi, pul massasining 1 foizga oshishi uch oylik kechikish bilan -0,36 foizga pasaytiradi. SQBda jismoniy shaxslar kreditlari ulushi 2023-yildagi 13,7 foizdan 2024-yilda 15,1 foizga oshgan; davlat tashkilotlari kreditlari 2021-yildagi 30 foizdan 2024-yilda 22 foizga pasaygan, xususiy sektor ulushi 60 foizdan 64 foizga oshgan. Seasonal ARIMA prognoziga ko‘ra (95 foiz ehtimollik) 2028-yil martga kelib 2024-yil dekabrga nisbatan kredit portfeli 36,7 foizga, muammoli kreditlar esa 78,9 foizga oshishi kutiladi.</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II/III, IFRS 9/ECL, XVF FSI, CAMELS yoki stress-testlar qo‘llanilmagan; konsentratsiya o‘lchovi sifatida faqat HHI tilga olingan, muammoli kreditlar milliy hisobot ma’lumotlari bo‘yicha prognoz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ish bizning keys-banklarimizdan biri – SQB bo‘yicha bevosita ma’lumot beradi: 2.2-paragrafda SQB portfelidagi davlat sektori ulushining pasayishi (30% → 22%) va muammoli kreditlarning 78,9 foizga o‘sish prognozi davlat banklari ustunligi va substandart/muammoli kreditlar o‘sishi tezisini mustahkamlash uchun iqtibos qilinadi; HHI esa 3-bob modelida konsentratsiya indikatori sifatida qo‘llanishi mumkin. Farqimiz – SQB kredit sifatini milliy NPL bilan cheklanmay, IFRS 9 3-bosqich (2025: 2,5% va 7,5%) bilan taqqoslab, milliy ko‘rsatkich riskni past ko‘rsatishini isbotlaymiz.</w:t>
      </w:r>
    </w:p>
    <w:bookmarkEnd w:id="45"/>
    <w:bookmarkEnd w:id="46"/>
    <w:bookmarkStart w:id="50" w:name="resurs-bazasi-barqarorligi"/>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Resurs bazasi barqarorligi</w:t>
      </w:r>
    </w:p>
    <w:bookmarkStart w:id="47" w:name="Xa049163d594bbe00a6af9aefffb7c195ccfc2b1"/>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Voxidov O.R. (2024, PhD) – «O‘zbekiston Respublikasi tijorat banklari resurs bazasini mustahkamlash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resurs bazasini mustahkamlash bo‘yicha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depozit foiz instrumenti ta’sirchanligi orqali resurs bazasida barqaror mablag‘lar hissasini oshirish asoslangan; «yashil obligatsiya» chiqarish taklif etilgan; muddatli depozitlar foiziga moliya bozori instrumentlari ta’sirini strukturaviy vektorli avtoregressiya modeli orqali baholash asoslangan; SQB depozitlari bo‘yicha 2027-yilgacha prognoz ssenariylari taklif etilgan.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Markaziy bank qayta moliyalash stavkasining 1 foizga oshishi keyingi oyda SQB qisqa muddatli depozitlari foizini 0,42 foizga, pul bozori stavkasining 1 foizga oshishi esa 0,22 foizga oshiradi.</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III, MHXS 9 va XVJ ko‘rsatkichlari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SQB bo‘yicha boshqa tadqiqot natijasi sifatida, ayniqsa bankning kreditlari depozitlardan ancha yuqoriligi (206,5 foiz) va tashqi qarzlarga bog‘liqligi haqidagi xulosaga qo‘shimcha dalil sifatida keltirish mumkin.</w:t>
      </w:r>
    </w:p>
    <w:bookmarkEnd w:id="47"/>
    <w:bookmarkStart w:id="48" w:name="X61b2aec25c49cdd8bd78f19e08ece05637623d3"/>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Sarimov Sh.S. (2025, PhD) – «Tijorat banklarining resurs bazasi barqarorligini ta’minlash»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resurs bazasi barqarorligini ta’minlash bo‘yicha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resurs bazasi stress-testida boshqa banklarga joylashtirilgan depozitlarning 20 foizi (pessimistik), 25 foizi (kritik) va 30 foizi (katastrofik) qaytarib olinishi ssenariylari taklif etilgan; uchta yirik mijoz mablag‘lari 6 oy ichida olib chiqilishi, kreditlar hajmining 50 foizga va qaytishining 0,5 foizga kamayishi bir omilli ssenariy parametri sifatida taklif etilgan; joylashtirilgan mablag‘lar stavkasi o‘sishi jalb qilingan mablag‘lar stavkasi o‘sishidan kamida 20 foiz yuqori bo‘lishi asoslangan.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amaliyotga joriy etilgan takliflar: birinchi darajali kapital koeffitsiyenti 12,5 foizdan, asosiy kapital koeffitsiyenti 9 foizdan pasayganda risk-appetitning «ogohlantirish» toifasiga kiritish; likvidlilik me’yoriga 5 foiz punktga yaqinlashganda 3 oylik dinamikani tahlil qilish; mijozning oylik kredit to‘lovlari va pul tushumlari nisbati bo‘yicha besh toifali tasnif.</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stress-test ssenariylari qo‘llanilgan; LCR va NSFR ning Bazel metodikasi, MHXS 9 va XVJ ko‘rsatkichlari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Sarimov boshqa banklardagi depozitlarni stress ssenariysiga kiritgan, bizning ishda esa 2709-son nizomda boshqa banklardagi depozitlar yuqori likvidli aktivlarga qo‘shilishi (SQB da yuqori likvidli aktivlarning 30,9 foizi) Bazel III dan asosiy farq sifatida aniqlangan – bu ikki xulosa bir-birini to‘ldiradi. Risk-appetit chegaralari (12,5 va 9 foiz) SQB da 2025-yilda asosiy kapital koeffitsiyenti 10,2 foiz bo‘lganini baholashda foydali.</w:t>
      </w:r>
    </w:p>
    <w:bookmarkEnd w:id="48"/>
    <w:bookmarkStart w:id="49" w:name="X181456017090300bc89cc262b91dd920ae05474"/>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Allaberganov S.S. (2025, PhD) – «Tijorat banklari resurs bazasining barqarorligini ta’minlash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banklarini transformatsiyalash jarayonida resurs bazasining barqarorligini ta’minlash yo‘llariga qaratilgan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bank tizimi barqarorligini ta’minlash va transformatsiya riskini kamaytirish maqsadida bank depozitlarining ajratilgan kreditlardagi salmog‘ining minimal chegarasini 40 foiz qilib belgilash ilmiy asoslangan; moliya bozori instrumentlari ta’sirchanligini ta’minlash orqali bankdan tashqari pul aylanmasini qisqartirib, resurs bazasida barqaror moliyaviy resurslar salmog‘ini oshirish asoslangan; omonat va kredit mahsulotlarini lokal shart-sharoitlarga moslashtiruvchi innovatsion strategiyalar orqali hududiy resurslarni jalb qilish taklif etilgan; ATB Turonbank depozitlari hajmini inflyatsiya bilan bog‘liq ekonometrik model asosida 2028-yilgacha prognoz ssenariylari taklif etilgan; chakana kreditlarning umumiy kredit portfelidagi ulushini 20 foizdan oshirish taklif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strukturaviy vektorli avtoregressiya (SVAR) modeli bo‘yicha Markaziy bank asosiy stavkasining 1 foizga oshishi bir oylik kechikish bilan Turonbank depozitlarini 3,23 foizga qisqartiradi, pul bozori stavkasining 1 foizga oshishi ikki oylik kechikish bilan ularni 0,78 foizga, qisqa muddatli depozit foizining 1 foizga oshishi esa 0,62 foizga oshiradi; inflyatsiya va pul massasi depozitlar hajmiga ta’sir ko‘rsatmagan. Turonbankda depozitlarning kreditlardagi salmog‘i 2023-yil yanvardagi 35,5 foizdan 2024-yil yanvarda 41,3 foizga oshgan. Seasonal ARIMA va Holt-Winters modellari bo‘yicha (95 foiz ehtimollik) depozitlarning real hajmi 2028-yilda 2024-yilga nisbatan 51 foizga oshishi prognoz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avtoreferat matnida Bazel II/III (LCR, NSFR, kapital buferlari), IFRS 9/ECL, XVF FSI, CAMELS yoki stress-testlar qo‘llanilmagan; barqarorlik depozit/kredit nisbati (40 foiz chegara) orqali milliy yondashuvda baholangan.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1.1-paragrafda resurs bazasi va depozit bazasining moliyaviy barqarorlikdagi o‘rni bo‘yicha ta’riflar sifatida, 2.2-paragrafda esa depozitlarning kreditlardagi ulushi (40 foiz chegara) va SVAR natijalari funding barqarorligi indikatori sifatida iqtibos qilinishi mumkin. Taklif etilgan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depozit/kredit ≥ 40 foiz</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ko‘rsatkichi Bazel III NSFR (barqaror moliyalashtirish) mantig‘ining soddalashtirilgan milliy analogi bo‘lib, 2.1-paragrafda NSFR (MB 2709-son nizomi va Bazel varianti) bilan solishtirish uchun qulay. Bizning ishimizning farqi – funding barqarorligi bitta nisbat bilan emas, balki NSFR ning to‘rt varianti (MB/Bazel × milliy hisobot/MHXS) va LCR orqali xalqaro standartlarga muvofiq baholanadi.</w:t>
      </w:r>
    </w:p>
    <w:bookmarkEnd w:id="49"/>
    <w:bookmarkEnd w:id="50"/>
    <w:bookmarkStart w:id="55" w:name="reyting-nazorat-rentabellik-va-boshqaruv"/>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Reyting, nazorat, rentabellik va boshqaruv</w:t>
      </w:r>
    </w:p>
    <w:bookmarkStart w:id="51" w:name="X091c6223292b1a2ae1c768d9652c49e505b5058"/>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Karabayev N.A. (2018, PhD) – «Tijorat banklari faoliyatini reyting tizimi asosida baholashni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faoliyatini reyting tizimi asosida baholashni takomillashtirish yuzasidan ilmiy-uslubiy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faoliyatini reyting tizimi asosida baholash tartibi sof barqaror moliyalashtirish me’yori (NSFR)ni kiritish orqali takomillashtirilgan – V.Kramonov usuli formulasiga yangi k7 koeffitsienti (NSFR) qo‘shilib, model k1 – kapital yetarliligi, k2 – birinchi darajali kapital yetarliligi, k3 – leveraj, k4 – bitta emitent qimmatli qog‘ozlariga maksimal investitsiya, k5 – joriy likvidlik, k6 – likvidlikni qoplash (LCR), k7 – NSFR koeffitsientlaridan iborat qilingan; reyting o‘zgarishi ehtimolini aniqlash va prognozlash amaliyoti kapitallashuvni oshirishning muqobil mezonlari asosida (xalqaro Early Warning Systems – EWS modeliga tayangan holda) takomillashtirilgan; majburiyatlar bo‘yicha renkingni oshirishda «marketing–aholi–omonat» mexanizmi va kapital bo‘yicha renkingni oshirishda interaktiv bank xizmatlarini joriy etish tartibi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Asl Kramonov usuli (6 koeffitsient, optimal N=100) bo‘yicha 2012–2016 yillarda Milliy bank eng optimal reytingga erishgan, Ipotekabankda 2016-yilda pasayish kuzatilgan (hisob-kitobda O‘zsanoatqurilishbank va Mikrokreditbank ham bor); NSFR kiritilgan modelda 2015-yilda Mikrokreditbank reytingi 21,252 bo‘lib Agrobankdan (24,874) past bo‘lgan, 2016-yilda esa 32,943 ga yetib Agrobankdan (26,751) oshgan, Ipotekabankniki 35,246 – ya’ni NSFR kiritilishi bozordagi holatni to‘g‘riroq baholash imkonini bergan; NSFR taklifi Aloqabankda joriy etilib, Moody’s tomonidan «Barqaror» prognoz (B1/NP, B2/NP) berilgan, «Ahbor-Reyting» «UzA+» reytingini qayta tasdiqlagan.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III koeffitsientlari (kapital yetarliligi, Tier 1, leveraj, LCR, NSFR) reyting modeliga kiritilgan, Basel III talablariga bosqichma-bosqich moslashish ilmiy ahamiyat sifatida ko‘rsatilgan; EWS modeli qo‘llangan. IFRS 9/ECL, IMF FSI, CAMELS va stress-testlar ajratilgan matnda qo‘llanmagan; NSFR milliy metodika bo‘yicha olinib, Basel bilan farqi tahlil qilinmagan.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NSFRni bank barqarorligi reytingiga kiritishning ilk milliy urinishi sifatida 1.2 (baholash metodologiyasi) da va 3-bobdagi integral model uchun salaf (oldingi model) sifatida iqtibos qilinishi kerak; Mikrokreditbank va SQBning 2012–2016 reyting qiymatlari 2.2 da tarixiy fon bo‘lishi mumkin. Farqimiz: Karabayev NSFRni yagona milliy qiymat sifatida reytingga qo‘shadi, biz esa NSFRni 4 variantda (MB/Basel × milliy hisob/IFRS) hisoblab metodologik sezgirlikni ko‘rsatamiz, aktivlar sifatini IFRS 9 bosqichlari bilan va tizim darajasini IMF FSI bilan baholaymiz.</w:t>
      </w:r>
    </w:p>
    <w:bookmarkEnd w:id="51"/>
    <w:bookmarkStart w:id="52" w:name="X8d7aa3a4622c4a1b0b4c69100f6c5dbbece8dfb"/>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Jumanazarov M.J. (2026, PhD) – «Riskka asoslangan bank nazoratini takomillashtirish»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Riskka asoslangan bank nazorati samaradorligini oshirishga qaratilgan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Kapital yetarliligi, aktivlar sifati, likvidlik holati va konsentratsiya darajasi kabi asosiy risk-indikatorlarni real vaqt rejimida avtomatlashtirilgan kuzatish asosida bank faoliyatini dinamik baholash mexanizmi taklif etilgan; bank inspeksiyasida yuqori riskli obyektlarni aniqlashda prudensial me’yorlar va individual risk profiliga mos ravishda bank tizimining o‘rtacha ko‘rsatkichlariga nisbatan ±10 foiz chetlanish darajasini erta ogohlantirish signallari sifatida belgilash taklif qilingan; Markaziy bank talab va tavsiyalarining bajarilishini «yashil», «sariq» va «qizil» reytinglar asosida baholash tizimi asoslangan; inspeksiyada aniqlangan jiddiy kamchiliklarni bank yoki shaxs nomini oshkor etmagan holda anonim shaklda umumlashtirib, barcha tijorat banklariga tarqatish amaliyoti taklif etilgan. Amaliy natijalarda Basel II/III, COSO va IFRS standartlarini yagona tizimda uyg‘unlashtiruvchi integral nazorat modeli joriy qilingan, 2024-yilda Markaziy bank Inspeksiya departamentining 10 nafar xodimi xalqaro treninglarda malaka oshirgan.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Yevropa mamlakatlarida nazorat asosan masofaviy (distansion) shaklda, AQShda esa joyiga chiqib inspeksiya qilish (CAMELS) tizimi ustun bo‘lib, O‘zbekiston uchun ikki usulni uyg‘unlashtirgan aralash nazorat modeli maqsadga muvofiq; banklarning individual risk profiliga mos erta ogohlantirish signallari (EWS) tizimi va risk darajasi bo‘yicha toifalash hamda differensial tekshiruv intervallari nazorat resurslaridan samarali foydalanishga imkon beradi; Basel II/III, COSO va IFRS talablarini uyg‘unlashtiruvchi integral nazorat modeli hamda moliyaviy jarimalar va rahbariyatning shaxsiy javobgarligini kuchaytirish zarur.</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Basel II/III, COSO va IFRS umumiy integral nazorat modeli doirasida tilga olingan; CAMELS (AQSh tajribasi) va EWS qiyosiy tahlil qilingan. LCR/NSFR, IFRS 9/ECL bosqichlari, IMF FSI va stress-testlar bo‘yicha aniq hisob-kitoblar ajratilgan matnda keltirilmagan.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Riskka asoslangan nazorat, CAMELS va masofaviy nazorat qiyosi 1.3 (xorij tajribasi) va 1.1 (barqarorlikni nazorat qilish konsepsiyalari)da iqtibos qilinishi mumkin; ±10 foizlik chetlanish EWS chegarasi 3-bobdagi o‘z baholash modelimizda signal chegaralarini belgilashda qiyos sifatida ishlatilishi mumkin. Farqimiz: ish nazorat jarayoni (inspeksiya tashkiloti)ga qaratilgan, biz esa barqarorlik ko‘rsatkichlarining o‘zini metodologik jihatdan qayta hisoblaymiz (2709 vs Basel LCR/NSFR, IFRS 9 vs milliy NPL, IMF FSI 2021–2025).</w:t>
      </w:r>
    </w:p>
    <w:bookmarkEnd w:id="52"/>
    <w:bookmarkStart w:id="53" w:name="Xb65a36313e9c47d5df92d706c38d5cdcd832ac2"/>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Sheraliyev A.X. (2025, PhD) – «Tijorat banklarining rentabelligini ta’minlash yo‘llari»</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rentabelligini ta’minlash bo‘yicha ilmiy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bank biznes-modeli, risk-appetiti va kapital talablarini regulyator talablari va bozor rentabelligi bilan solishtirib, sof foydaning riskka tortilgan aktivlarga nisbatining «maqsad qiymati»ni belgilash taklif etilgan; erta ogohlantirish tizimlari orqali kredit tannarxini kamaytirish taklif qilingan; sof foizli daromad va brutto aktivlar o‘sish sur’atlari mutanosibligi orqali sof foizli marjani oshirish asoslangan; qo‘shimcha aksiyalar emissiyasi, strategik investorlar va qarzni kapitalga konvertatsiya qilish orqali birinchi darajali kapitalni oshirish asoslangan.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xarajatlar/daromadlar koeffitsiyentining me’yoriy darajasi 0,45 deb asoslangan; qimmatli qog‘ozlardan olinadigan foizli daromadlar ulushini oshirish zarurligi ko‘rsatilgan; aktivlar rentabelligiga ta’sir qiluvchi omillar baholangan.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riskka tortilgan aktivlar va birinchi darajali kapital tushunchalari ishlatilgan, ammo Bazel III likvidlik me’yorlari, MHXS 9 va XVJ ko‘rsatkichlari qo‘llanilmagan.</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 da daromadlilik tahlilida solishtirma mezon sifatida foydalanish mumkin: bank tizimida foizsiz xarajatlarning yalpi daromaddagi ulushi 2025-yilda 52,3 foiz bo‘lganini 0,45 lik xarajatlar/daromadlar me’yori bilan taqqoslash mumkin (ko‘rsatkichlar ta’rifi bir xil emasligini izohda ko‘rsatgan holda).</w:t>
      </w:r>
    </w:p>
    <w:bookmarkEnd w:id="53"/>
    <w:bookmarkStart w:id="54" w:name="Xb5fde5340db51fa3d103f95c6d86563e1cdc0bd"/>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Kadirov L.X. (2026, PhD) – «Tijorat banklari moliyaviy boshqaruv tizimi samaradorligini oshirish»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Maqsad: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O‘zbekistonda tijorat banklari moliyaviy boshqaruv tizimi samaradorligini oshirishga doir ilmiy asoslangan taklif va amaliy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Ilmiy yangiligi: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kredit resurslarining bozor qiymati va aktivlar rentabelligiga muvofiqligini belgilash hisobiga ko‘chmas mulk bozor qiymatining o‘zgarishiga asoslangan kredit portfelini shakllantirish orqali korporativ mijozlar qarzdorligini bajarish muddatini qisqartirish asoslangan; kredit riskini baholash modeli bo‘yicha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past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(0≤X≤10),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o‘rta</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(10≤X≤25),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yuqori</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(25≤X≤40) xavf chegaralarida qarz oluvchilarning defolt ehtimolini baholab, moliyaviy boshqaruv samaradorligini oldindan bashorat qilish taklif etilgan; moliyaviy tahdidlarni ifodalovchi risk ko‘rsatkichlarini guruhlash va tasniflashning boshqaruv mexanizmi taklif qilingan; ekonometrik modellar asosida yalpi daromad va unga ta’sir etuvchi omillarning 2028-yilgacha prognozlari ishlab chiqilgan.</w:t>
      </w:r>
    </w:p>
    <w:p>
      <w:pPr>
        <w:pStyle w:val="BodyText"/>
        <w:spacing w:line="360" w:lineRule="auto" w:before="0" w:after="0"/>
        <w:ind w:firstLine="709"/>
        <w:jc w:val="both"/>
      </w:pPr>
      <w:r>
        <w:rPr>
          <w:bCs/>
          <w:rFonts w:ascii="Times New Roman" w:hAnsi="Times New Roman" w:cs="Times New Roman" w:eastAsia="Times New Roman"/>
          <w:b/>
          <w:sz w:val="28"/>
        </w:rPr>
        <w:t xml:space="preserve">Asosiy xulosalar: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2021–2024-yillarda O‘zbekiston tijorat banklarining kredit riski darajasi model bo‘yicha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past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xavf oralig‘ida ekanligi ko‘rsatilgan (model manbasi sifatida Chesser va Zmijewski modellari sahifasiga havola berilgan). 2024-yil ma’lumotlari bo‘yicha banklar aktivlar hajmiga ko‘ra guruhlangan: 3–10 trln so‘m – 2 ta, 10–30 trln so‘m – 6 ta, 30 trln so‘mdan yuqori – 6 ta bank; aktivlar o‘sishi bo‘yicha Milliy bank, SQB, Agrobank, Asaka bank, Xalq banki, Kapitalbank yetakchi, Mikrokreditbank esa 10–30 trln so‘m guruhida. Xorij tajribasi sifatida Germaniya (Deutsche Bank qimmatli qog‘ozlari 2021–2024) tahlil qilingan.</w:t>
      </w:r>
    </w:p>
    <w:p>
      <w:pPr>
        <w:pStyle w:val="BodyText"/>
        <w:spacing w:line="360" w:lineRule="auto" w:before="0" w:after="0"/>
        <w:ind w:firstLine="709"/>
        <w:jc w:val="both"/>
      </w:pPr>
      <w:r>
        <w:rPr>
          <w:bCs/>
          <w:rFonts w:ascii="Times New Roman" w:hAnsi="Times New Roman" w:cs="Times New Roman" w:eastAsia="Times New Roman"/>
          <w:b/>
          <w:sz w:val="28"/>
        </w:rPr>
        <w:t xml:space="preserve">Xalqaro standartlar: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Bazel II/III (LCR, NSFR, kapital buferlari), IFRS 9/ECL, XVF FSI, CAMELS yoki stress-testlar qo‘llanilmagan; kredit riski skoring (defolt ehtimoli) modeli asosida baholangan. Ixtisoslik 08.00.13 – Menejment.</w:t>
      </w:r>
    </w:p>
    <w:p>
      <w:pPr>
        <w:pStyle w:val="BodyText"/>
        <w:spacing w:line="360" w:lineRule="auto" w:before="0" w:after="0"/>
        <w:ind w:firstLine="709"/>
        <w:jc w:val="both"/>
      </w:pPr>
      <w:r>
        <w:rPr>
          <w:bCs/>
          <w:rFonts w:ascii="Times New Roman" w:hAnsi="Times New Roman" w:cs="Times New Roman" w:eastAsia="Times New Roman"/>
          <w:b/>
          <w:sz w:val="28"/>
        </w:rPr>
        <w:t xml:space="preserve">Bizning dissertatsiya uchun: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1.2-paragrafda barqarorlikni baholashning skoring/defolt ehtimoli modellari (Chesser, Zmijewski) misoli sifatida va bizning xalqaro standartlarga asoslangan metodologiyamizga qarama-qarshi yondashuv sifatida keltirilishi mumkin; 2.2-paragrafda 2024-yil aktivlar bo‘yicha guruhlash (SQB va Mikrokreditbankning o‘rni) tizim tuzilmasini tavsiflashda iqtibos qilinadi. Uning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kredit riski past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degan xulosasi bizning IFRS 9 3-bosqich ma’lumotlari (Mikrokreditbank 2025: milliy NPL 4,4% va IFRS 12,3%) bilan tanqidiy taqqoslanishi mumkin – bu milliy hisobot ma’lumotlari riskni kam ko‘rsatishini va bizning yangiligimizni asoslaydi.</w:t>
      </w:r>
    </w:p>
    <w:bookmarkEnd w:id="54"/>
    <w:bookmarkEnd w:id="55"/>
    <w:bookmarkStart w:id="58" w:name="faqat-mundarijasi-olingan-ishlar"/>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Faqat mundarijasi olingan ishlar</w:t>
      </w:r>
    </w:p>
    <w:bookmarkStart w:id="56" w:name="X6f3baf80e46b3382b10333e34224f1214d23892"/>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Xolov N.Q. (2025, DSc) – «Tijorat banklari barqarorligini mustahkamlash metodologiyasini takomillashtirish»</w:t>
      </w:r>
    </w:p>
    <w:p>
      <w:pPr>
        <w:pStyle w:val="FirstParagraph"/>
        <w:spacing w:line="360" w:lineRule="auto" w:before="0" w:after="0"/>
        <w:ind w:firstLine="709"/>
        <w:jc w:val="both"/>
      </w:pPr>
      <w:r>
        <w:rPr>
          <w:rFonts w:ascii="Times New Roman" w:hAnsi="Times New Roman" w:cs="Times New Roman" w:eastAsia="Times New Roman"/>
          <w:sz w:val="28"/>
        </w:rPr>
        <w:t xml:space="preserve">Mundarijasiga ko‘ra ish to‘rt bobdan iborat: tijorat banklari tizimi barqarorligining nazariy asoslari; barqarorlikni reyting tizimi asosida baholash usullari va xorij tajribasi; barqarorlik reytingiga ta’sir qiluvchi moliyaviy ko‘rsatkichlar va ekonometrik tahlil; Yevropa mamlakatlari tajribasi; reyting tizimi asosida baholashni va bank tizimi barqarorligini ta’minlash metodologiyasini takomillashtirish. Nomi jihatidan bizning ishga eng yaqin DSc ishi bo‘lgani uchun uning to‘liq matnini TDIU axborot-resurs markazidan yoki Milliy kutubxonadan olib ko‘rish va metodologik farqni kirish qismida aniq yozish zarur: Xolov ishining asosi reyting tizimi va ekonometrik baholash, bizning ishniki esa xalqaro standartlar asosida milliy va xalqaro metodikalar farqini miqdoriy aniqlash.</w:t>
      </w:r>
    </w:p>
    <w:bookmarkEnd w:id="56"/>
    <w:bookmarkStart w:id="57" w:name="Xb7dfa031d044d526d49d4159988ceefad4dd73f"/>
    <w:p>
      <w:pPr>
        <w:pStyle w:val="Heading4"/>
        <w:keepNext/>
        <w:spacing w:line="360" w:lineRule="auto" w:before="240" w:after="120"/>
        <w:ind w:firstLine="709"/>
        <w:jc w:val="both"/>
      </w:pPr>
      <w:r>
        <w:rPr>
          <w:rFonts w:ascii="Times New Roman" w:hAnsi="Times New Roman" w:cs="Times New Roman" w:eastAsia="Times New Roman"/>
          <w:b/>
          <w:i w:val="0"/>
          <w:sz w:val="28"/>
        </w:rPr>
        <w:t xml:space="preserve">Togayev S.S. (2022, PhD) va Axmedov S.S. (2024, PhD)</w:t>
      </w:r>
    </w:p>
    <w:p>
      <w:pPr>
        <w:pStyle w:val="FirstParagraph"/>
        <w:spacing w:line="360" w:lineRule="auto" w:before="0" w:after="0"/>
        <w:ind w:firstLine="709"/>
        <w:jc w:val="both"/>
      </w:pPr>
      <w:r>
        <w:rPr>
          <w:rFonts w:ascii="Times New Roman" w:hAnsi="Times New Roman" w:cs="Times New Roman" w:eastAsia="Times New Roman"/>
          <w:sz w:val="28"/>
        </w:rPr>
        <w:t xml:space="preserve">Togayev ishida moliyaviy barqarorlikning nazariy va metodologik asoslari, xorij tajribasi, me’yoriy-huquqiy asoslar, ko‘rsatkichlar holati va ekonometrik tahlil o‘rganilgan. Axmedov ishi barqarorlikni ta’minlashning moliyaviy strategiyalariga bag‘ishlangan. Ikkala ishning mundarijasida xalqaro standartlar alohida yo‘nalish sifatida ajratilmagan.</w:t>
      </w:r>
    </w:p>
    <w:bookmarkEnd w:id="57"/>
    <w:bookmarkEnd w:id="58"/>
    <w:bookmarkEnd w:id="59"/>
    <w:bookmarkStart w:id="60" w:name="dissertatsiya-uchun-xulosalar"/>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3. Dissertatsiya uchun xulosalar</w:t>
      </w:r>
    </w:p>
    <w:p>
      <w:pPr>
        <w:pStyle w:val="FirstParagraph"/>
        <w:spacing w:line="360" w:lineRule="auto" w:before="0" w:after="0"/>
        <w:ind w:firstLine="709"/>
        <w:jc w:val="both"/>
      </w:pPr>
      <w:r>
        <w:rPr>
          <w:rFonts w:ascii="Times New Roman" w:hAnsi="Times New Roman" w:cs="Times New Roman" w:eastAsia="Times New Roman"/>
          <w:sz w:val="28"/>
        </w:rPr>
        <w:t xml:space="preserve">Birinchidan, O‘zbekistonda tijorat banklari moliyaviy barqarorligi bo‘yicha himoya qilingan ishlarning aksariyati barqarorlikni ta’minlash yo‘llari (kredit, depozit, resurs bazasi, kapital, rentabellik, likvidlilik) yoki reyting va integral indeks asosida baholash nuqtai nazaridan o‘rganadi. Barqarorlikni xalqaro standartlar asosida baholash, ya’ni milliy hisobot va MHXS, Markaziy bank va Bazel III metodikalari o‘rtasidagi farqni miqdoriy aniqlash masalasi alohida tadqiq etilmagan. Bu bizning ishning ilmiy yangiligini asoslashda asosiy dalil bo‘ladi va «Muammoning o‘rganilganlik darajasi» bo‘limida aynan shu shaklda yozilishi kerak.</w:t>
      </w:r>
    </w:p>
    <w:p>
      <w:pPr>
        <w:pStyle w:val="BodyText"/>
        <w:spacing w:line="360" w:lineRule="auto" w:before="0" w:after="0"/>
        <w:ind w:firstLine="709"/>
        <w:jc w:val="both"/>
      </w:pPr>
      <w:r>
        <w:rPr>
          <w:rFonts w:ascii="Times New Roman" w:hAnsi="Times New Roman" w:cs="Times New Roman" w:eastAsia="Times New Roman"/>
          <w:sz w:val="28"/>
        </w:rPr>
        <w:t xml:space="preserve">Ikkinchidan, 1.1-§ da milliy olimlar qarashlarini uch guruhga ajratib keltirish maqsadga muvofiq: barqarorlikni ta’minlash yo‘llarini o‘rganganlar (Bozorov, Sadikov, Umarov, Xidirov, Djalilov), integral indeks va reyting asosida baholaganlar (Sattarov, Karabayev, Abdishukurov, Sharipova, Xolov) hamda risk-menejment va nazorat nuqtai nazaridan yondashganlar (Madaminov, Jumanazarov). Sattarovning «barqarorlik statik holat emas, balki dinamik jarayon» degan ta’rifi va Sadikov ta’rifi bizning mualliflik ta’rifimiz bilan solishtirish uchun qulay.</w:t>
      </w:r>
    </w:p>
    <w:p>
      <w:pPr>
        <w:pStyle w:val="BodyText"/>
        <w:spacing w:line="360" w:lineRule="auto" w:before="0" w:after="0"/>
        <w:ind w:firstLine="709"/>
        <w:jc w:val="both"/>
      </w:pPr>
      <w:r>
        <w:rPr>
          <w:rFonts w:ascii="Times New Roman" w:hAnsi="Times New Roman" w:cs="Times New Roman" w:eastAsia="Times New Roman"/>
          <w:sz w:val="28"/>
        </w:rPr>
        <w:t xml:space="preserve">Uchinchidan, 2.1-§ da LCR va NSFR bo‘yicha boshqa mualliflar Markaziy bank ma’lumotlarini tayyor holda olganini (Djalilov, Sattorova, Karabayev) va bizning ishda ular Bazel metodikasi bo‘yicha qayta hisoblanganini ko‘rsatish lozim. Shu bilan birga, Sattorova ishida bank tizimi bo‘yicha LCR 2021-yilda 224,5 foiz, NSFR 109,9–115,6 foiz deb keltirilgan, bizning 2.2-§ da Markaziy bank statistik byulleteni bo‘yicha LCR 2021-yilda 189,6 foiz, NSFR 111,8–119,9 foiz. Farq davr (yil oxiri yoki yil boshi) yoki ma’lumot manbai bilan bog‘liq bo‘lishi mumkin, uni iqtibos keltirishda izohlash kerak.</w:t>
      </w:r>
    </w:p>
    <w:p>
      <w:pPr>
        <w:pStyle w:val="BodyText"/>
        <w:spacing w:line="360" w:lineRule="auto" w:before="0" w:after="0"/>
        <w:ind w:firstLine="709"/>
        <w:jc w:val="both"/>
      </w:pPr>
      <w:r>
        <w:rPr>
          <w:rFonts w:ascii="Times New Roman" w:hAnsi="Times New Roman" w:cs="Times New Roman" w:eastAsia="Times New Roman"/>
          <w:sz w:val="28"/>
        </w:rPr>
        <w:t xml:space="preserve">To‘rtinchidan, 2.2-§ da quyidagi mosliklarni ko‘rsatish mumkin: substandart kreditlar muammosi (Xidirov, Sabirova), SQB kredit portfeli va davlat sektori ulushining pasayishi (Sabirova: 30 foizdan 22 foizga), SQB kapital barqarorligi (Yodgorov), SQB depozit bazasi (Voxidov), davlat banklari kapitalidagi davlat ulushi (Olimjanova, Egamova), xarajatlar/daromadlar me’yori (Sheraliyev), boshqa banklardagi depozitlar riski (Sarimov). Kadirovning 2021–2024-yillarda kredit riski «past» degan xulosasini MHXS 9 bo‘yicha 3-bosqich ma’lumotlari bilan tanqidiy solishtirish bizning yangiligimizni yaqqol ko‘rsatadi.</w:t>
      </w:r>
    </w:p>
    <w:p>
      <w:pPr>
        <w:pStyle w:val="BodyText"/>
        <w:spacing w:line="360" w:lineRule="auto" w:before="0" w:after="0"/>
        <w:ind w:firstLine="709"/>
        <w:jc w:val="both"/>
      </w:pPr>
      <w:r>
        <w:rPr>
          <w:rFonts w:ascii="Times New Roman" w:hAnsi="Times New Roman" w:cs="Times New Roman" w:eastAsia="Times New Roman"/>
          <w:sz w:val="28"/>
        </w:rPr>
        <w:t xml:space="preserve">Beshinchidan, 3-bobdagi mualliflik modeli uchun quyidagi ishlar qiyosiy asos bo‘ladi: Sattarovning barqarorlik indeksi, Karabayevning NSFR kiritilgan reyting modeli, Abdishukurovning integral indeksi va shkalali toifalari, Madaminovning erta ogohlantirish tizimi va reyting shkalasi, Jumanazarovning ±10 foizlik chetlanish signallari.</w:t>
      </w:r>
    </w:p>
    <w:p>
      <w:pPr>
        <w:pStyle w:val="BodyText"/>
        <w:spacing w:line="360" w:lineRule="auto" w:before="0" w:after="0"/>
        <w:ind w:firstLine="709"/>
        <w:jc w:val="both"/>
      </w:pPr>
      <w:r>
        <w:rPr>
          <w:rFonts w:ascii="Times New Roman" w:hAnsi="Times New Roman" w:cs="Times New Roman" w:eastAsia="Times New Roman"/>
          <w:sz w:val="28"/>
        </w:rPr>
        <w:t xml:space="preserve">Oltinchidan, ayrim manbalardan foydalanishda ehtiyot bo‘lish kerak: Ismatov avtoreferatining ilmiy yangilik qismi ajratib olingan matnda bo‘lmagani uchun uni to‘liq matndan tekshirish, Sadikov ishidagi «sof foyda 52 867 484 mln so‘mga oshgan» degan raqamni esa asl matn bilan solishtirish lozim.</w:t>
      </w:r>
    </w:p>
    <w:bookmarkEnd w:id="60"/>
    <w:bookmarkEnd w:id="61"/>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2026-10-11T07:15:41Z</dcterms:created>
  <dcterms:modified xsi:type="dcterms:W3CDTF">2026-10-11T07:15:41Z</dcterms:modified>
</cp:coreProperties>
</file>

<file path=docProps/custom.xml><?xml version="1.0" encoding="utf-8"?>
<Properties xmlns="http://schemas.openxmlformats.org/officeDocument/2006/custom-properties" xmlns:vt="http://schemas.openxmlformats.org/officeDocument/2006/docPropsVTypes"/>
</file>