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2880000"/>
            <wp:effectExtent l="0" t="0" r="0" b="0"/>
            <wp:docPr id="1001" name="2.1.3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</w:rPr>
        <w:t>2.1.3-rasm. O‘zbekiston bank tizimida kapital monandligi ko‘rsatkichlari dinamikasi, %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Jami kapital monandligi</c:v>
                </c:pt>
              </c:strCache>
            </c:strRef>
          </c:tx>
          <c:spPr>
            <a:ln w="31750">
              <a:solidFill>
                <a:srgbClr val="2A78D6"/>
              </a:solidFill>
            </a:ln>
          </c:spPr>
          <c:marker>
            <c:symbol val="circle"/>
            <c:size val="7"/>
            <c:spPr>
              <a:solidFill>
                <a:srgbClr val="2A78D6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2A78D6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</c:formatCode>
                <c:ptCount val="5"/>
                <c:pt idx="0">
                  <c:v>17.5</c:v>
                </c:pt>
                <c:pt idx="1">
                  <c:v>17.8</c:v>
                </c:pt>
                <c:pt idx="2">
                  <c:v>17.5</c:v>
                </c:pt>
                <c:pt idx="3">
                  <c:v>17.4</c:v>
                </c:pt>
                <c:pt idx="4">
                  <c:v>18.3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Asosiy kapital (CET1) monandligi</c:v>
                </c:pt>
              </c:strCache>
            </c:strRef>
          </c:tx>
          <c:spPr>
            <a:ln w="31750">
              <a:solidFill>
                <a:srgbClr val="EB6834"/>
              </a:solidFill>
            </a:ln>
          </c:spPr>
          <c:marker>
            <c:symbol val="circle"/>
            <c:size val="7"/>
            <c:spPr>
              <a:solidFill>
                <a:srgbClr val="EB6834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EB6834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</c:formatCode>
                <c:ptCount val="5"/>
                <c:pt idx="0">
                  <c:v>14.6</c:v>
                </c:pt>
                <c:pt idx="1">
                  <c:v>14.4</c:v>
                </c:pt>
                <c:pt idx="2">
                  <c:v>14.1</c:v>
                </c:pt>
                <c:pt idx="3">
                  <c:v>14.3</c:v>
                </c:pt>
                <c:pt idx="4">
                  <c:v>14.7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0"/>
          <c:min val="1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Risk bo‘yicha tortilgan aktivlarga nisbatan,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2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