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4.1.1-rasm – tuzatilgan ko‘rinish (namuna)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420000"/>
            <wp:effectExtent l="0" t="0" r="0" b="0"/>
            <wp:docPr id="1001" name="4.1.1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</w:rPr>
        <w:t>4.1.1-rasm. Integral indeks, muammoli kreditlar ulushi va Z-score bo‘yicha ROC egri chiziqlari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>
        <c:manualLayout>
          <c:layoutTarget val="inner"/>
          <c:xMode val="edge"/>
          <c:yMode val="edge"/>
          <c:x val="0.085"/>
          <c:y val="0.03"/>
          <c:w val="0.895"/>
          <c:h val="0.8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MBII-8 (AUC = 0,86)</c:v>
                </c:pt>
              </c:strCache>
            </c:strRef>
          </c:tx>
          <c:spPr>
            <a:ln w="28575">
              <a:solidFill>
                <a:srgbClr val="2A78D6"/>
              </a:solidFill>
            </a:ln>
          </c:spPr>
          <c:marker>
            <c:symbol val="none"/>
          </c:marker>
          <c:xVal>
            <c:numRef>
              <c:f>Sheet1!$A$2:$A$33</c:f>
              <c:numCache>
                <c:formatCode>General</c:formatCode>
                <c:ptCount val="32"/>
                <c:pt idx="0">
                  <c:v>0.0</c:v>
                </c:pt>
                <c:pt idx="1">
                  <c:v>0.0</c:v>
                </c:pt>
                <c:pt idx="2">
                  <c:v>0.35</c:v>
                </c:pt>
                <c:pt idx="3">
                  <c:v>0.35</c:v>
                </c:pt>
                <c:pt idx="4">
                  <c:v>0.71</c:v>
                </c:pt>
                <c:pt idx="5">
                  <c:v>0.71</c:v>
                </c:pt>
                <c:pt idx="6">
                  <c:v>1.77</c:v>
                </c:pt>
                <c:pt idx="7">
                  <c:v>1.77</c:v>
                </c:pt>
                <c:pt idx="8">
                  <c:v>3.9</c:v>
                </c:pt>
                <c:pt idx="9">
                  <c:v>3.9</c:v>
                </c:pt>
                <c:pt idx="10">
                  <c:v>5.67</c:v>
                </c:pt>
                <c:pt idx="11">
                  <c:v>5.67</c:v>
                </c:pt>
                <c:pt idx="12">
                  <c:v>7.8</c:v>
                </c:pt>
                <c:pt idx="13">
                  <c:v>7.8</c:v>
                </c:pt>
                <c:pt idx="14">
                  <c:v>8.16</c:v>
                </c:pt>
                <c:pt idx="15">
                  <c:v>8.16</c:v>
                </c:pt>
                <c:pt idx="16">
                  <c:v>16.67</c:v>
                </c:pt>
                <c:pt idx="17">
                  <c:v>16.67</c:v>
                </c:pt>
                <c:pt idx="18">
                  <c:v>21.28</c:v>
                </c:pt>
                <c:pt idx="19">
                  <c:v>21.28</c:v>
                </c:pt>
                <c:pt idx="20">
                  <c:v>24.11</c:v>
                </c:pt>
                <c:pt idx="21">
                  <c:v>24.11</c:v>
                </c:pt>
                <c:pt idx="22">
                  <c:v>52.13</c:v>
                </c:pt>
                <c:pt idx="23">
                  <c:v>52.13</c:v>
                </c:pt>
                <c:pt idx="24">
                  <c:v>63.48</c:v>
                </c:pt>
                <c:pt idx="25">
                  <c:v>63.48</c:v>
                </c:pt>
                <c:pt idx="26">
                  <c:v>69.15</c:v>
                </c:pt>
                <c:pt idx="27">
                  <c:v>69.15</c:v>
                </c:pt>
                <c:pt idx="28">
                  <c:v>72.34</c:v>
                </c:pt>
                <c:pt idx="29">
                  <c:v>72.34</c:v>
                </c:pt>
                <c:pt idx="30">
                  <c:v>100.0</c:v>
                </c:pt>
                <c:pt idx="31">
                  <c:v>100.0</c:v>
                </c:pt>
              </c:numCache>
            </c:numRef>
          </c:xVal>
          <c:yVal>
            <c:numRef>
              <c:f>Sheet1!$B$2:$B$33</c:f>
              <c:numCache>
                <c:formatCode>General</c:formatCode>
                <c:ptCount val="32"/>
                <c:pt idx="0">
                  <c:v>0.0</c:v>
                </c:pt>
                <c:pt idx="1">
                  <c:v>7.69</c:v>
                </c:pt>
                <c:pt idx="2">
                  <c:v>7.69</c:v>
                </c:pt>
                <c:pt idx="3">
                  <c:v>38.46</c:v>
                </c:pt>
                <c:pt idx="4">
                  <c:v>38.46</c:v>
                </c:pt>
                <c:pt idx="5">
                  <c:v>46.15</c:v>
                </c:pt>
                <c:pt idx="6">
                  <c:v>46.15</c:v>
                </c:pt>
                <c:pt idx="7">
                  <c:v>57.69</c:v>
                </c:pt>
                <c:pt idx="8">
                  <c:v>57.69</c:v>
                </c:pt>
                <c:pt idx="9">
                  <c:v>61.54</c:v>
                </c:pt>
                <c:pt idx="10">
                  <c:v>61.54</c:v>
                </c:pt>
                <c:pt idx="11">
                  <c:v>65.38</c:v>
                </c:pt>
                <c:pt idx="12">
                  <c:v>65.38</c:v>
                </c:pt>
                <c:pt idx="13">
                  <c:v>69.23</c:v>
                </c:pt>
                <c:pt idx="14">
                  <c:v>69.23</c:v>
                </c:pt>
                <c:pt idx="15">
                  <c:v>73.08</c:v>
                </c:pt>
                <c:pt idx="16">
                  <c:v>73.08</c:v>
                </c:pt>
                <c:pt idx="17">
                  <c:v>76.92</c:v>
                </c:pt>
                <c:pt idx="18">
                  <c:v>76.92</c:v>
                </c:pt>
                <c:pt idx="19">
                  <c:v>80.77</c:v>
                </c:pt>
                <c:pt idx="20">
                  <c:v>80.77</c:v>
                </c:pt>
                <c:pt idx="21">
                  <c:v>84.62</c:v>
                </c:pt>
                <c:pt idx="22">
                  <c:v>84.62</c:v>
                </c:pt>
                <c:pt idx="23">
                  <c:v>88.46</c:v>
                </c:pt>
                <c:pt idx="24">
                  <c:v>88.46</c:v>
                </c:pt>
                <c:pt idx="25">
                  <c:v>92.31</c:v>
                </c:pt>
                <c:pt idx="26">
                  <c:v>92.31</c:v>
                </c:pt>
                <c:pt idx="27">
                  <c:v>96.15</c:v>
                </c:pt>
                <c:pt idx="28">
                  <c:v>96.15</c:v>
                </c:pt>
                <c:pt idx="29">
                  <c:v>100.0</c:v>
                </c:pt>
                <c:pt idx="30">
                  <c:v>100.0</c:v>
                </c:pt>
                <c:pt idx="31">
                  <c:v>100.0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Muammoli kreditlar ulushi (AUC = 0,86)</c:v>
                </c:pt>
              </c:strCache>
            </c:strRef>
          </c:tx>
          <c:spPr>
            <a:ln w="22225">
              <a:solidFill>
                <a:srgbClr val="70AD47"/>
              </a:solidFill>
              <a:prstDash val="dash"/>
            </a:ln>
          </c:spPr>
          <c:marker>
            <c:symbol val="none"/>
          </c:marker>
          <c:xVal>
            <c:numRef>
              <c:f>Sheet1!$C$2:$C$33</c:f>
              <c:numCache>
                <c:formatCode>General</c:formatCode>
                <c:ptCount val="32"/>
                <c:pt idx="0">
                  <c:v>0.0</c:v>
                </c:pt>
                <c:pt idx="1">
                  <c:v>0.0</c:v>
                </c:pt>
                <c:pt idx="2">
                  <c:v>0.35</c:v>
                </c:pt>
                <c:pt idx="3">
                  <c:v>0.35</c:v>
                </c:pt>
                <c:pt idx="4">
                  <c:v>2.13</c:v>
                </c:pt>
                <c:pt idx="5">
                  <c:v>2.13</c:v>
                </c:pt>
                <c:pt idx="6">
                  <c:v>2.84</c:v>
                </c:pt>
                <c:pt idx="7">
                  <c:v>2.84</c:v>
                </c:pt>
                <c:pt idx="8">
                  <c:v>4.26</c:v>
                </c:pt>
                <c:pt idx="9">
                  <c:v>4.26</c:v>
                </c:pt>
                <c:pt idx="10">
                  <c:v>6.03</c:v>
                </c:pt>
                <c:pt idx="11">
                  <c:v>6.03</c:v>
                </c:pt>
                <c:pt idx="12">
                  <c:v>6.74</c:v>
                </c:pt>
                <c:pt idx="13">
                  <c:v>6.74</c:v>
                </c:pt>
                <c:pt idx="14">
                  <c:v>12.06</c:v>
                </c:pt>
                <c:pt idx="15">
                  <c:v>12.06</c:v>
                </c:pt>
                <c:pt idx="16">
                  <c:v>13.83</c:v>
                </c:pt>
                <c:pt idx="17">
                  <c:v>13.83</c:v>
                </c:pt>
                <c:pt idx="18">
                  <c:v>17.38</c:v>
                </c:pt>
                <c:pt idx="19">
                  <c:v>17.38</c:v>
                </c:pt>
                <c:pt idx="20">
                  <c:v>17.73</c:v>
                </c:pt>
                <c:pt idx="21">
                  <c:v>17.73</c:v>
                </c:pt>
                <c:pt idx="22">
                  <c:v>21.63</c:v>
                </c:pt>
                <c:pt idx="23">
                  <c:v>21.63</c:v>
                </c:pt>
                <c:pt idx="24">
                  <c:v>64.89</c:v>
                </c:pt>
                <c:pt idx="25">
                  <c:v>64.89</c:v>
                </c:pt>
                <c:pt idx="26">
                  <c:v>73.4</c:v>
                </c:pt>
                <c:pt idx="27">
                  <c:v>73.4</c:v>
                </c:pt>
                <c:pt idx="28">
                  <c:v>82.27</c:v>
                </c:pt>
                <c:pt idx="29">
                  <c:v>82.27</c:v>
                </c:pt>
                <c:pt idx="30">
                  <c:v>100.0</c:v>
                </c:pt>
                <c:pt idx="31">
                  <c:v>100.0</c:v>
                </c:pt>
              </c:numCache>
            </c:numRef>
          </c:xVal>
          <c:yVal>
            <c:numRef>
              <c:f>Sheet1!$D$2:$D$33</c:f>
              <c:numCache>
                <c:formatCode>General</c:formatCode>
                <c:ptCount val="32"/>
                <c:pt idx="0">
                  <c:v>0.0</c:v>
                </c:pt>
                <c:pt idx="1">
                  <c:v>7.69</c:v>
                </c:pt>
                <c:pt idx="2">
                  <c:v>7.69</c:v>
                </c:pt>
                <c:pt idx="3">
                  <c:v>34.62</c:v>
                </c:pt>
                <c:pt idx="4">
                  <c:v>34.62</c:v>
                </c:pt>
                <c:pt idx="5">
                  <c:v>38.46</c:v>
                </c:pt>
                <c:pt idx="6">
                  <c:v>38.46</c:v>
                </c:pt>
                <c:pt idx="7">
                  <c:v>42.31</c:v>
                </c:pt>
                <c:pt idx="8">
                  <c:v>42.31</c:v>
                </c:pt>
                <c:pt idx="9">
                  <c:v>50.0</c:v>
                </c:pt>
                <c:pt idx="10">
                  <c:v>50.0</c:v>
                </c:pt>
                <c:pt idx="11">
                  <c:v>61.54</c:v>
                </c:pt>
                <c:pt idx="12">
                  <c:v>61.54</c:v>
                </c:pt>
                <c:pt idx="13">
                  <c:v>65.38</c:v>
                </c:pt>
                <c:pt idx="14">
                  <c:v>65.38</c:v>
                </c:pt>
                <c:pt idx="15">
                  <c:v>69.23</c:v>
                </c:pt>
                <c:pt idx="16">
                  <c:v>69.23</c:v>
                </c:pt>
                <c:pt idx="17">
                  <c:v>76.92</c:v>
                </c:pt>
                <c:pt idx="18">
                  <c:v>76.92</c:v>
                </c:pt>
                <c:pt idx="19">
                  <c:v>80.77</c:v>
                </c:pt>
                <c:pt idx="20">
                  <c:v>80.77</c:v>
                </c:pt>
                <c:pt idx="21">
                  <c:v>84.62</c:v>
                </c:pt>
                <c:pt idx="22">
                  <c:v>84.62</c:v>
                </c:pt>
                <c:pt idx="23">
                  <c:v>88.46</c:v>
                </c:pt>
                <c:pt idx="24">
                  <c:v>88.46</c:v>
                </c:pt>
                <c:pt idx="25">
                  <c:v>92.31</c:v>
                </c:pt>
                <c:pt idx="26">
                  <c:v>92.31</c:v>
                </c:pt>
                <c:pt idx="27">
                  <c:v>96.15</c:v>
                </c:pt>
                <c:pt idx="28">
                  <c:v>96.15</c:v>
                </c:pt>
                <c:pt idx="29">
                  <c:v>100.0</c:v>
                </c:pt>
                <c:pt idx="30">
                  <c:v>100.0</c:v>
                </c:pt>
                <c:pt idx="31">
                  <c:v>100.0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Sheet1!$F$1</c:f>
              <c:strCache>
                <c:ptCount val="1"/>
                <c:pt idx="0">
                  <c:v>ln(Z-score) (AUC = 0,42)</c:v>
                </c:pt>
              </c:strCache>
            </c:strRef>
          </c:tx>
          <c:spPr>
            <a:ln w="28575">
              <a:solidFill>
                <a:srgbClr val="EB6834"/>
              </a:solidFill>
            </a:ln>
          </c:spPr>
          <c:marker>
            <c:symbol val="none"/>
          </c:marker>
          <c:xVal>
            <c:numRef>
              <c:f>Sheet1!$E$2:$E$33</c:f>
              <c:numCache>
                <c:formatCode>General</c:formatCode>
                <c:ptCount val="32"/>
                <c:pt idx="0">
                  <c:v>0.0</c:v>
                </c:pt>
                <c:pt idx="1">
                  <c:v>6.63</c:v>
                </c:pt>
                <c:pt idx="2">
                  <c:v>6.63</c:v>
                </c:pt>
                <c:pt idx="3">
                  <c:v>7.14</c:v>
                </c:pt>
                <c:pt idx="4">
                  <c:v>7.14</c:v>
                </c:pt>
                <c:pt idx="5">
                  <c:v>21.94</c:v>
                </c:pt>
                <c:pt idx="6">
                  <c:v>21.94</c:v>
                </c:pt>
                <c:pt idx="7">
                  <c:v>22.45</c:v>
                </c:pt>
                <c:pt idx="8">
                  <c:v>22.45</c:v>
                </c:pt>
                <c:pt idx="9">
                  <c:v>23.98</c:v>
                </c:pt>
                <c:pt idx="10">
                  <c:v>23.98</c:v>
                </c:pt>
                <c:pt idx="11">
                  <c:v>28.57</c:v>
                </c:pt>
                <c:pt idx="12">
                  <c:v>28.57</c:v>
                </c:pt>
                <c:pt idx="13">
                  <c:v>29.59</c:v>
                </c:pt>
                <c:pt idx="14">
                  <c:v>29.59</c:v>
                </c:pt>
                <c:pt idx="15">
                  <c:v>31.12</c:v>
                </c:pt>
                <c:pt idx="16">
                  <c:v>31.12</c:v>
                </c:pt>
                <c:pt idx="17">
                  <c:v>88.27</c:v>
                </c:pt>
                <c:pt idx="18">
                  <c:v>88.27</c:v>
                </c:pt>
                <c:pt idx="19">
                  <c:v>88.78</c:v>
                </c:pt>
                <c:pt idx="20">
                  <c:v>88.78</c:v>
                </c:pt>
                <c:pt idx="21">
                  <c:v>89.8</c:v>
                </c:pt>
                <c:pt idx="22">
                  <c:v>89.8</c:v>
                </c:pt>
                <c:pt idx="23">
                  <c:v>90.31</c:v>
                </c:pt>
                <c:pt idx="24">
                  <c:v>90.31</c:v>
                </c:pt>
                <c:pt idx="25">
                  <c:v>91.33</c:v>
                </c:pt>
                <c:pt idx="26">
                  <c:v>91.33</c:v>
                </c:pt>
                <c:pt idx="27">
                  <c:v>98.47</c:v>
                </c:pt>
                <c:pt idx="28">
                  <c:v>98.47</c:v>
                </c:pt>
                <c:pt idx="29">
                  <c:v>99.49</c:v>
                </c:pt>
                <c:pt idx="30">
                  <c:v>99.49</c:v>
                </c:pt>
                <c:pt idx="31">
                  <c:v>100.0</c:v>
                </c:pt>
              </c:numCache>
            </c:numRef>
          </c:xVal>
          <c:yVal>
            <c:numRef>
              <c:f>Sheet1!$F$2:$F$33</c:f>
              <c:numCache>
                <c:formatCode>General</c:formatCode>
                <c:ptCount val="32"/>
                <c:pt idx="0">
                  <c:v>0.0</c:v>
                </c:pt>
                <c:pt idx="1">
                  <c:v>0.0</c:v>
                </c:pt>
                <c:pt idx="2">
                  <c:v>5.56</c:v>
                </c:pt>
                <c:pt idx="3">
                  <c:v>5.56</c:v>
                </c:pt>
                <c:pt idx="4">
                  <c:v>11.11</c:v>
                </c:pt>
                <c:pt idx="5">
                  <c:v>11.11</c:v>
                </c:pt>
                <c:pt idx="6">
                  <c:v>16.67</c:v>
                </c:pt>
                <c:pt idx="7">
                  <c:v>16.67</c:v>
                </c:pt>
                <c:pt idx="8">
                  <c:v>22.22</c:v>
                </c:pt>
                <c:pt idx="9">
                  <c:v>22.22</c:v>
                </c:pt>
                <c:pt idx="10">
                  <c:v>27.78</c:v>
                </c:pt>
                <c:pt idx="11">
                  <c:v>27.78</c:v>
                </c:pt>
                <c:pt idx="12">
                  <c:v>38.89</c:v>
                </c:pt>
                <c:pt idx="13">
                  <c:v>38.89</c:v>
                </c:pt>
                <c:pt idx="14">
                  <c:v>44.44</c:v>
                </c:pt>
                <c:pt idx="15">
                  <c:v>44.44</c:v>
                </c:pt>
                <c:pt idx="16">
                  <c:v>50.0</c:v>
                </c:pt>
                <c:pt idx="17">
                  <c:v>50.0</c:v>
                </c:pt>
                <c:pt idx="18">
                  <c:v>55.56</c:v>
                </c:pt>
                <c:pt idx="19">
                  <c:v>55.56</c:v>
                </c:pt>
                <c:pt idx="20">
                  <c:v>61.11</c:v>
                </c:pt>
                <c:pt idx="21">
                  <c:v>61.11</c:v>
                </c:pt>
                <c:pt idx="22">
                  <c:v>66.67</c:v>
                </c:pt>
                <c:pt idx="23">
                  <c:v>66.67</c:v>
                </c:pt>
                <c:pt idx="24">
                  <c:v>72.22</c:v>
                </c:pt>
                <c:pt idx="25">
                  <c:v>72.22</c:v>
                </c:pt>
                <c:pt idx="26">
                  <c:v>77.78</c:v>
                </c:pt>
                <c:pt idx="27">
                  <c:v>77.78</c:v>
                </c:pt>
                <c:pt idx="28">
                  <c:v>83.33</c:v>
                </c:pt>
                <c:pt idx="29">
                  <c:v>83.33</c:v>
                </c:pt>
                <c:pt idx="30">
                  <c:v>100.0</c:v>
                </c:pt>
                <c:pt idx="31">
                  <c:v>100.0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Sheet1!$H$1</c:f>
              <c:strCache>
                <c:ptCount val="1"/>
                <c:pt idx="0">
                  <c:v>Tasodifiy bashorat</c:v>
                </c:pt>
              </c:strCache>
            </c:strRef>
          </c:tx>
          <c:spPr>
            <a:ln w="9525">
              <a:solidFill>
                <a:srgbClr val="808080"/>
              </a:solidFill>
              <a:prstDash val="sysDash"/>
            </a:ln>
          </c:spPr>
          <c:marker>
            <c:symbol val="none"/>
          </c:marker>
          <c:xVal>
            <c:numRef>
              <c:f>Sheet1!$G$2:$G$33</c:f>
              <c:numCache>
                <c:formatCode>General</c:formatCode>
                <c:ptCount val="32"/>
                <c:pt idx="0">
                  <c:v>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  <c:pt idx="12">
                  <c:v>100</c:v>
                </c:pt>
                <c:pt idx="13">
                  <c:v>100</c:v>
                </c:pt>
                <c:pt idx="14">
                  <c:v>100</c:v>
                </c:pt>
                <c:pt idx="15">
                  <c:v>100</c:v>
                </c:pt>
                <c:pt idx="16">
                  <c:v>100</c:v>
                </c:pt>
                <c:pt idx="17">
                  <c:v>100</c:v>
                </c:pt>
                <c:pt idx="18">
                  <c:v>100</c:v>
                </c:pt>
                <c:pt idx="19">
                  <c:v>100</c:v>
                </c:pt>
                <c:pt idx="20">
                  <c:v>100</c:v>
                </c:pt>
                <c:pt idx="21">
                  <c:v>100</c:v>
                </c:pt>
                <c:pt idx="22">
                  <c:v>100</c:v>
                </c:pt>
                <c:pt idx="23">
                  <c:v>100</c:v>
                </c:pt>
                <c:pt idx="24">
                  <c:v>100</c:v>
                </c:pt>
                <c:pt idx="25">
                  <c:v>100</c:v>
                </c:pt>
                <c:pt idx="26">
                  <c:v>100</c:v>
                </c:pt>
                <c:pt idx="27">
                  <c:v>100</c:v>
                </c:pt>
                <c:pt idx="28">
                  <c:v>100</c:v>
                </c:pt>
                <c:pt idx="29">
                  <c:v>100</c:v>
                </c:pt>
                <c:pt idx="30">
                  <c:v>100</c:v>
                </c:pt>
                <c:pt idx="31">
                  <c:v>100</c:v>
                </c:pt>
              </c:numCache>
            </c:numRef>
          </c:xVal>
          <c:yVal>
            <c:numRef>
              <c:f>Sheet1!$H$2:$H$33</c:f>
              <c:numCache>
                <c:formatCode>General</c:formatCode>
                <c:ptCount val="32"/>
                <c:pt idx="0">
                  <c:v>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  <c:pt idx="12">
                  <c:v>100</c:v>
                </c:pt>
                <c:pt idx="13">
                  <c:v>100</c:v>
                </c:pt>
                <c:pt idx="14">
                  <c:v>100</c:v>
                </c:pt>
                <c:pt idx="15">
                  <c:v>100</c:v>
                </c:pt>
                <c:pt idx="16">
                  <c:v>100</c:v>
                </c:pt>
                <c:pt idx="17">
                  <c:v>100</c:v>
                </c:pt>
                <c:pt idx="18">
                  <c:v>100</c:v>
                </c:pt>
                <c:pt idx="19">
                  <c:v>100</c:v>
                </c:pt>
                <c:pt idx="20">
                  <c:v>100</c:v>
                </c:pt>
                <c:pt idx="21">
                  <c:v>100</c:v>
                </c:pt>
                <c:pt idx="22">
                  <c:v>100</c:v>
                </c:pt>
                <c:pt idx="23">
                  <c:v>100</c:v>
                </c:pt>
                <c:pt idx="24">
                  <c:v>100</c:v>
                </c:pt>
                <c:pt idx="25">
                  <c:v>100</c:v>
                </c:pt>
                <c:pt idx="26">
                  <c:v>100</c:v>
                </c:pt>
                <c:pt idx="27">
                  <c:v>100</c:v>
                </c:pt>
                <c:pt idx="28">
                  <c:v>100</c:v>
                </c:pt>
                <c:pt idx="29">
                  <c:v>100</c:v>
                </c:pt>
                <c:pt idx="30">
                  <c:v>100</c:v>
                </c:pt>
                <c:pt idx="31">
                  <c:v>100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Sheet1!$J$1</c:f>
              <c:strCache>
                <c:ptCount val="1"/>
                <c:pt idx="0">
                  <c:v>MBII-8 = 3,25 (monitoring)</c:v>
                </c:pt>
              </c:strCache>
            </c:strRef>
          </c:tx>
          <c:spPr>
            <a:ln>
              <a:noFill/>
            </a:ln>
          </c:spPr>
          <c:marker>
            <c:symbol val="square"/>
            <c:size val="9"/>
            <c:spPr>
              <a:solidFill>
                <a:srgbClr val="7030A0"/>
              </a:solidFill>
              <a:ln w="9525">
                <a:solidFill>
                  <a:srgbClr val="FFFFFF"/>
                </a:solidFill>
              </a:ln>
            </c:spPr>
          </c:marker>
          <c:xVal>
            <c:numRef>
              <c:f>Sheet1!$I$2:$I$2</c:f>
              <c:numCache>
                <c:formatCode>General</c:formatCode>
                <c:ptCount val="1"/>
                <c:pt idx="0">
                  <c:v>30.5</c:v>
                </c:pt>
              </c:numCache>
            </c:numRef>
          </c:xVal>
          <c:yVal>
            <c:numRef>
              <c:f>Sheet1!$J$2:$J$2</c:f>
              <c:numCache>
                <c:formatCode>General</c:formatCode>
                <c:ptCount val="1"/>
                <c:pt idx="0">
                  <c:v>84.62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Sheet1!$L$1</c:f>
              <c:strCache>
                <c:ptCount val="1"/>
                <c:pt idx="0">
                  <c:v>MBII-8 = 2,85 (optimal)</c:v>
                </c:pt>
              </c:strCache>
            </c:strRef>
          </c:tx>
          <c:spPr>
            <a:ln>
              <a:noFill/>
            </a:ln>
          </c:spPr>
          <c:marker>
            <c:symbol val="triangle"/>
            <c:size val="9"/>
            <c:spPr>
              <a:solidFill>
                <a:srgbClr val="000000"/>
              </a:solidFill>
              <a:ln w="9525">
                <a:solidFill>
                  <a:srgbClr val="FFFFFF"/>
                </a:solidFill>
              </a:ln>
            </c:spPr>
          </c:marker>
          <c:xVal>
            <c:numRef>
              <c:f>Sheet1!$K$2:$K$2</c:f>
              <c:numCache>
                <c:formatCode>General</c:formatCode>
                <c:ptCount val="1"/>
                <c:pt idx="0">
                  <c:v>8.16</c:v>
                </c:pt>
              </c:numCache>
            </c:numRef>
          </c:xVal>
          <c:yVal>
            <c:numRef>
              <c:f>Sheet1!$L$2:$L$2</c:f>
              <c:numCache>
                <c:formatCode>General</c:formatCode>
                <c:ptCount val="1"/>
                <c:pt idx="0">
                  <c:v>69.23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Sheet1!$N$1</c:f>
              <c:strCache>
                <c:ptCount val="1"/>
                <c:pt idx="0">
                  <c:v>MBII-8 = 2,75 (nazorat choralari)</c:v>
                </c:pt>
              </c:strCache>
            </c:strRef>
          </c:tx>
          <c:spPr>
            <a:ln>
              <a:noFill/>
            </a:ln>
          </c:spPr>
          <c:marker>
            <c:symbol val="diamond"/>
            <c:size val="9"/>
            <c:spPr>
              <a:solidFill>
                <a:srgbClr val="C00000"/>
              </a:solidFill>
              <a:ln w="9525">
                <a:solidFill>
                  <a:srgbClr val="FFFFFF"/>
                </a:solidFill>
              </a:ln>
            </c:spPr>
          </c:marker>
          <c:xVal>
            <c:numRef>
              <c:f>Sheet1!$M$2:$M$2</c:f>
              <c:numCache>
                <c:formatCode>General</c:formatCode>
                <c:ptCount val="1"/>
                <c:pt idx="0">
                  <c:v>6.03</c:v>
                </c:pt>
              </c:numCache>
            </c:numRef>
          </c:xVal>
          <c:yVal>
            <c:numRef>
              <c:f>Sheet1!$N$2:$N$2</c:f>
              <c:numCache>
                <c:formatCode>General</c:formatCode>
                <c:ptCount val="1"/>
                <c:pt idx="0">
                  <c:v>65.38</c:v>
                </c:pt>
              </c:numCache>
            </c:numRef>
          </c:yVal>
          <c:smooth val="0"/>
        </c:ser>
        <c:axId val="333"/>
        <c:axId val="444"/>
      </c:scatterChart>
      <c:valAx>
        <c:axId val="333"/>
        <c:scaling>
          <c:orientation val="minMax"/>
          <c:max val="100"/>
          <c:min val="0"/>
        </c:scaling>
        <c:delete val="0"/>
        <c:axPos val="b"/>
        <c:title>
          <c:tx>
            <c:rich>
              <a:bodyPr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Noto‘g‘ri signallar ulushi (II tur xato), 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444"/>
        <c:crosses val="autoZero"/>
        <c:crossBetween val="midCat"/>
        <c:majorUnit val="20"/>
      </c:valAx>
      <c:valAx>
        <c:axId val="444"/>
        <c:scaling>
          <c:orientation val="minMax"/>
          <c:max val="100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To‘g‘ri aniqlangan hodisalar, 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333"/>
        <c:crosses val="autoZero"/>
        <c:crossBetween val="midCat"/>
        <c:majorUnit val="20"/>
      </c:valAx>
      <c:spPr>
        <a:noFill/>
        <a:ln>
          <a:noFill/>
        </a:ln>
      </c:spPr>
    </c:plotArea>
    <c:legend>
      <c:legendPos val="r"/>
      <c:layout>
        <c:manualLayout>
          <c:xMode val="edge"/>
          <c:yMode val="edge"/>
          <c:x val="0.5"/>
          <c:y val="0.465"/>
          <c:w val="0.475"/>
          <c:h val="0.37"/>
        </c:manualLayout>
      </c:layout>
      <c:overlay val="1"/>
      <c:spPr>
        <a:solidFill>
          <a:srgbClr val="FFFFFF"/>
        </a:solidFill>
        <a:ln w="6350">
          <a:solidFill>
            <a:srgbClr val="BFBFBF"/>
          </a:solidFill>
        </a:ln>
      </c:spPr>
      <c:txPr>
        <a:bodyPr/>
        <a:lstStyle/>
        <a:p>
          <a:pPr>
            <a:defRPr sz="100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