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230</w:t>
      </w:r>
    </w:p>
    <w:p w:rsidR="005603EC" w:rsidRDefault="00AB61AC">
      <w:pPr>
        <w:tabs>
          <w:tab w:val="right" w:leader="dot" w:pos="9354"/>
        </w:tabs>
        <w:spacing w:after="80" w:line="240" w:lineRule="auto"/>
        <w:ind w:left="454"/>
      </w:pPr>
      <w:r>
        <w:rPr>
          <w:sz w:val="26"/>
        </w:rPr>
        <w:t>IV bob bo‘yicha xulosalar</w:t>
      </w:r>
      <w:r>
        <w:rPr>
          <w:sz w:val="26"/>
        </w:rPr>
        <w:tab/>
        <w:t>244</w:t>
      </w:r>
    </w:p>
    <w:p w:rsidR="005603EC" w:rsidRDefault="00AB61AC">
      <w:pPr>
        <w:tabs>
          <w:tab w:val="right" w:leader="dot" w:pos="9354"/>
        </w:tabs>
        <w:spacing w:after="80" w:line="240" w:lineRule="auto"/>
      </w:pPr>
      <w:r>
        <w:rPr>
          <w:b/>
          <w:sz w:val="26"/>
        </w:rPr>
        <w:t>XULOSA</w:t>
      </w:r>
      <w:r>
        <w:rPr>
          <w:b/>
          <w:sz w:val="26"/>
        </w:rPr>
        <w:tab/>
        <w:t>247</w:t>
      </w:r>
    </w:p>
    <w:p w:rsidR="005603EC" w:rsidRDefault="00AB61AC">
      <w:pPr>
        <w:tabs>
          <w:tab w:val="right" w:leader="dot" w:pos="9354"/>
        </w:tabs>
        <w:spacing w:after="80" w:line="240" w:lineRule="auto"/>
      </w:pPr>
      <w:r>
        <w:rPr>
          <w:b/>
          <w:sz w:val="26"/>
        </w:rPr>
        <w:t>FOYDALANILGAN ADABIYOTLAR RO‘YXATI</w:t>
      </w:r>
      <w:r>
        <w:rPr>
          <w:b/>
          <w:sz w:val="26"/>
        </w:rPr>
        <w:tab/>
        <w:t>253</w:t>
      </w:r>
    </w:p>
    <w:p w:rsidR="005603EC" w:rsidRDefault="00AB61AC">
      <w:pPr>
        <w:tabs>
          <w:tab w:val="right" w:leader="dot" w:pos="9354"/>
        </w:tabs>
        <w:spacing w:after="80" w:line="240" w:lineRule="auto"/>
      </w:pPr>
      <w:r>
        <w:rPr>
          <w:b/>
          <w:sz w:val="26"/>
        </w:rPr>
        <w:t>ILOVALAR</w:t>
      </w:r>
      <w:r>
        <w:rPr>
          <w:b/>
          <w:sz w:val="26"/>
        </w:rPr>
        <w:tab/>
        <w:t>274</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249</w:t>
      </w:r>
      <w:r>
        <w:rPr/>
        <w:t xml:space="preserve"> betni</w:t>
      </w:r>
      <w:r>
        <w:t xml:space="preserve"> tashkil etadi, unda 60 dan ortiq jadval va rasm keltirilgan, </w:t>
      </w:r>
      <w:r>
        <w:rPr/>
        <w:t xml:space="preserve">foydalanilgan adabiyotlar ro‘yxati 209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bank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muhim xulosaga olib keladi: me’yoriy ko‘rsatkichlar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4"/>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jihatidan kuchaytirdi: </w:t>
      </w:r>
      <w:r>
        <w:rPr/>
        <w:t xml:space="preserve">birinchi darajali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oshadi.</w:t>
      </w:r>
      <w:r>
        <w:rPr>
          <w:rStyle w:val="aff8"/>
        </w:rPr>
        <w:footnoteReference w:id="160"/>
      </w:r>
      <w:r>
        <w:t xml:space="preserve"> Ikkinchidan, milliy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r>
      <w:r>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w:t>
      </w:r>
      <w:r>
        <w:rPr>
          <w:rStyle w:val="aff8"/>
        </w:rPr>
        <w:footnoteReference w:id="219"/>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yetadi.</w:t>
      </w:r>
      <w:r>
        <w:rPr>
          <w:rStyle w:val="aff8"/>
        </w:rPr>
        <w:footnoteReference w:id="237"/>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8"/>
      </w:r>
      <w:r>
        <w:t>. Shu bilan Bazel III ning makroprudensial elementlari – kapital buferlari ham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kamsitib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keskin tebranadi</w:t>
      </w:r>
      <w:r>
        <w:rPr/>
        <w:t xml:space="preserve">: 2021-yilda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6"/>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(2.3.3–2.3.5-jadvallar;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chetlanishi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4"/>
      </w:r>
      <w:r>
        <w:t>. Uchinchi gipoteza A. Demirgüç-Kunt va H. Huizinga xulosasiga tayanadi: depozit bo‘lmagan,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t xml:space="preserve">: u aktivlar rentabelligi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zarar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t>T. Anderson va C. Hsiao usuli bo‘yicha birinchi farqlarda, indeksning ikki chorak oldingi qiymatini instrument sifatida qo‘llab baholandi</w:t>
      </w:r>
      <w:r>
        <w:rPr>
          <w:rStyle w:val="aff8"/>
        </w:rPr>
        <w:footnoteReference w:id="466"/>
      </w:r>
      <w:r>
        <w:rPr>
          <w:rStyle w:val="aff8"/>
        </w:rPr>
        <w:footnoteReference w:id="467"/>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o‘sishi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bilan to‘liq izohlanadi: milliy tasnif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w:t>
      </w:r>
      <w:r>
        <w:rPr/>
        <w:t xml:space="preserve">. O‘sha paytda</w:t>
      </w:r>
      <w:r>
        <w:t xml:space="preserve">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Bazel qo‘mitasining stress-test tamoyillari ham ssenariylar haqiqiy tarixiy shoklarga asoslanishi va model natijalari muntazam tekshirilishi lozimligini talab qiladi</w:t>
      </w:r>
      <w:r>
        <w:rPr>
          <w:rStyle w:val="aff8"/>
        </w:rPr>
        <w:footnoteReference w:id="510"/>
      </w:r>
      <w:r>
        <w:t>. O‘zbekistonda esa bu yo‘nalishdagi ilmiy ishlar alohida ko‘rsatkichlarni prognoz qilish bilan cheklangan: B.T. Berdiyarov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1"/>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 4,8 %)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 7,0 %)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9"/>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1,65–4,90</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2.3, 3.2-§: ochiq ma’lumotlarda MHXS 9 bosqichlari va bank kesimidagi prudensial ko‘rsatkichlar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4.1-§: indeksning bashorat kuchi AUC = 0,86; qizil zonada muammo ehtimoli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stress-test ma’lumotlarini qoidalardagi bo‘shliqlarga tuzatish (1-tavsiya); “yo‘l xaritasi”, 7, 12-choralar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 12, 17-choralar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172. The Central Bank of the Republic of Uzbekistan. Financial Stability Report for 2023. – Tashkent,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Financial Stability Report for 2025. – Tashkent, 2026.</w:t>
      </w:r>
    </w:p>
    <w:p w:rsidR="005603EC" w:rsidRDefault="00AB61AC">
      <w:pPr>
        <w:pStyle w:val="af"/>
        <w:spacing w:after="0" w:line="360" w:lineRule="auto"/>
        <w:ind w:firstLine="709"/>
        <w:jc w:val="both"/>
      </w:pPr>
      <w:r>
        <w:t>175. The Central Bank of the Republic of Uzbekistan. Annual Report 2023. – Tashkent, 2024.</w:t>
      </w:r>
    </w:p>
    <w:p w:rsidR="005603EC" w:rsidRDefault="00AB61AC">
      <w:pPr>
        <w:pStyle w:val="af"/>
        <w:spacing w:after="0" w:line="360" w:lineRule="auto"/>
        <w:ind w:firstLine="709"/>
        <w:jc w:val="both"/>
      </w:pPr>
      <w:r>
        <w:t>176.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177.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178.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180.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182.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184.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185.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186.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188.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189.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190.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191.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192.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193.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194.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196.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197.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198.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200.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202.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203.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204.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205. </w:t>
      </w:r>
      <w:r>
        <w:rPr/>
        <w:t>O‘zbekiston Respublikasi Markaziy banki. Moliyaviy barqarorlik sharhi: 2025-yil. – Toshkent, 2026.</w:t>
      </w:r>
    </w:p>
    <w:p w:rsidR="005603EC" w:rsidRDefault="00AB61AC">
      <w:pPr>
        <w:pStyle w:val="af"/>
        <w:spacing w:after="0" w:line="360" w:lineRule="auto"/>
        <w:ind w:firstLine="709"/>
        <w:jc w:val="both"/>
      </w:pPr>
      <w:r>
        <w:t>206. The Central Bank of the Republic of Uzbekistan. Financial Stability Report for H1 2025. – Tashkent, 2025. – https://cbu.uz.</w:t>
      </w:r>
    </w:p>
    <w:p w:rsidR="005603EC" w:rsidRDefault="00AB61AC">
      <w:pPr>
        <w:pStyle w:val="af"/>
        <w:spacing w:after="0" w:line="360" w:lineRule="auto"/>
        <w:ind w:firstLine="709"/>
        <w:jc w:val="both"/>
      </w:pPr>
      <w:r>
        <w:t>207.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208.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209.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Chegara (MBII)</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w:t>
      </w:r>
      <w:r>
        <w:rPr>
          <w:lang w:val="ru-RU"/>
        </w:rPr>
        <w:t xml:space="preserve">С. 14–15, 49, 57–61</w:t>
      </w:r>
      <w:r w:rsidRPr="009E01BD">
        <w:rPr>
          <w:lang w:val="ru-RU"/>
        </w:rPr>
        <w:t xml:space="preserve">;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w:t>
      </w:r>
      <w:r>
        <w:rPr>
          <w:lang w:val="ru-RU"/>
        </w:rPr>
        <w:t xml:space="preserve"> – 18 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w:t>
      </w:r>
      <w:r>
        <w:rPr>
          <w:lang w:val="ru-RU"/>
        </w:rPr>
        <w:t xml:space="preserve">Финансы и статистика, 1999. – С. 17;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 </w:t>
      </w:r>
      <w:r w:rsidRPr="009E01BD">
        <w:rPr>
          <w:lang w:val="ru-RU"/>
        </w:rPr>
        <w:t xml:space="preserve">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w:t>
      </w:r>
      <w:r>
        <w:rPr/>
        <w:t xml:space="preserve">P. 401–419; Diamond D.W., Rajan R.G. Liquidity Risk, Liquidity Creation, and Financial Fragility: A Theory of Banking // Journal of Political Economy. – 2001. – Vol. 109, No. 2. – P. 287–327; Minsky</w:t>
      </w:r>
      <w:r>
        <w:t xml:space="preserve"> H.P. The Financial Instability Hypothesis: Working Paper No. 74. – Annandale-on-Hudson: The Jerome Levy Economics Institute of Bard College, 1992.</w:t>
      </w:r>
      <w:r>
        <w:rPr/>
        <w:t xml:space="preserve"> – 10 p.;</w:t>
      </w:r>
      <w:r>
        <w:t xml:space="preserve">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w:t>
      </w:r>
      <w:r>
        <w:rPr/>
        <w:t xml:space="preserve">P. 2–17; Roy A.D. Safety First and the Holding of Assets // Econometrica. – 1952. – Vol. 20, No. 3. – P. 431–449; Borio</w:t>
      </w:r>
      <w:r>
        <w:t xml:space="preserve"> C. Towards a Macroprudential Framework for Financial Supervision and Regulation?: BIS Working Papers No. 128. – Basel: Bank for International Settlements, 2003.</w:t>
      </w:r>
      <w:r>
        <w:rPr/>
        <w:t xml:space="preserve"> – 32 p.;</w:t>
      </w:r>
      <w:r>
        <w:t xml:space="preserve"> Adrian T., Brunnermeier M.K. CoVaR // American Economic Review. – 2016. – Vol. 106, No. 7. – P. 1705–1741; IFRS 9 Financial Instruments. – London: International Accounting Standards Board, 2014.</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 xml:space="preserve">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w:t>
      </w:r>
      <w:r>
        <w:rPr/>
        <w:t xml:space="preserve">Central Bank Policy. – Cambridge: Cambridge University Press, 2017. – P. 194; Указание Банка России от 03.04.2017 № 4336-У “Об оценке экономического положения банков”. – https://www.cbr.ru.</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w:t>
      </w:r>
      <w:r>
        <w:rPr/>
        <w:t xml:space="preserve">НИУ ВШЭ, 2015. – С. 20–24; Basel Committee on Banking Supervision. Basel III: A global regulatory framework for more resilient banks and banking systems. – Basel: Bank for International Settlements, December 2010 (rev. June 2011); Basel Committee on Banking Supervision. Basel III: Finalising post-crisis reforms. – Basel: BIS, December 2017.</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Tadqiqot natijasida muallif tomonidan quyidagi manbalar asosida ishlab chiqildi: </w:t>
      </w:r>
      <w:r>
        <w:rPr/>
        <w:t xml:space="preserve">IFRS 9 Financial Instruments. – London: International Accounting Standards Board, 2014. – Para. 5.5.3, 5.5.5, 5.5.11, B5.5.37; Соколинская</w:t>
      </w:r>
      <w:r>
        <w:t xml:space="preserve">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Tadqiqot natijasida muallif tomonidan </w:t>
      </w:r>
      <w:r>
        <w:rPr/>
        <w:t xml:space="preserve">quyidagi manbalar asosida ishlab chiqildi: Basel Committee on Banking Supervision. Basel III: A global regulatory framework for more resilient banks and banking systems. – Basel: Bank for International Settlements, December 2010 (rev. June 2011); IFRS 9 Financial Instruments. – London: International Accounting Standards Board, 2014; International Monetary Fund. Financial Soundness Indicators: Compilation Guide. – Washington, DC: IMF, 2019; Langohr H., Langohr P. The Rating Agencies and Their Credit Ratings: What They Are, How They Work and Why They Are Relevant. – Chichester: John Wiley &amp; Sons, 2008.</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2">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2">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lang w:val="ru-RU"/>
        </w:rPr>
        <w:t xml:space="preserve">“Aloqabank” ATB ning 2021–2025-yillardagi 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w:t>
      </w:r>
      <w:r>
        <w:rPr/>
        <w:t xml:space="preserve">“O‘zsanoatqurilishbank” ATB ning 2025-yil uchun prudensial hisobot shakllari, MHXS bo‘yicha konsolidatsiyalangan moliyaviy hisoboti va Bazel III standartlari asosida tayyorlandi.</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Tadqiqot natijasida muallif tomonidan </w:t>
      </w:r>
      <w:r>
        <w:rPr/>
        <w:t xml:space="preserve">“Aloqabank” ATB ning 2021–2025-yillardagi prudensial</w:t>
      </w:r>
      <w:r>
        <w:rPr/>
        <w:t xml:space="preserve"> hisobot shakllari va MHXS bo‘yicha konsolidatsiyalangan moliyaviy hisobotlari asosida hisoblandi</w:t>
      </w:r>
      <w:r>
        <w:rPr/>
        <w:t xml:space="preserve">.</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w:t>
      </w:r>
      <w:r>
        <w:rPr/>
        <w:t xml:space="preserve">International Monetary Fund. Financial Soundness Indicators: Compilation Guide.</w:t>
      </w:r>
      <w:r>
        <w:t xml:space="preserv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2">
    <w:p w:rsidR="00AB61AC" w:rsidRDefault="00AB61AC">
      <w:pPr>
        <w:pStyle w:val="aff9"/>
      </w:pPr>
      <w:r>
        <w:rPr>
          <w:rStyle w:val="aff8"/>
        </w:rPr>
        <w:footnoteRef/>
      </w:r>
      <w:r>
        <w:rPr/>
        <w:t xml:space="preserve"> Tadqiqot natijasida muallif tomonidan </w:t>
      </w:r>
      <w:r>
        <w:rPr/>
        <w:t xml:space="preserve">“O‘zsanoatqurilishbank”, “Mikrokreditbank” va “Aloqabank” ATBlarining 2025-yil uchun MHXS bo‘yicha moliyaviy hisobotlari va prudensial hisobot shakllari asosida hisoblandi.</w:t>
      </w:r>
    </w:p>
  </w:footnote>
  <w:footnote w:id="413">
    <w:p w:rsidR="00AB61AC" w:rsidRDefault="00AB61AC">
      <w:pPr>
        <w:pStyle w:val="aff9"/>
      </w:pPr>
      <w:r>
        <w:rPr>
          <w:rStyle w:val="aff8"/>
        </w:rPr>
        <w:footnoteRef/>
      </w:r>
      <w:r>
        <w:rPr/>
        <w:t xml:space="preserve"> Tadqiqot natijasida muallif tomonidan banklarning Markaziy bankka taqdim etilgan prudensial hisobot shakllari va MHXS bo‘yicha moliyaviy hisobotlari asosida hisoblandi.</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Tadqiqot natijasida muallif tomonidan quyidagi manbalar asosida ishlab chiqildi: </w:t>
      </w:r>
      <w:r>
        <w:rPr/>
        <w:t xml:space="preserve">Указание Банка России от 03.04.2017 № 4336-У “Об оценке экономического положения банков”. – https://www.cbr.ru;</w:t>
      </w:r>
      <w:r>
        <w:t xml:space="preserve"> Cargill T.F. The Financial System, Financial Regulation and Central Bank Policy. – Cambridge: Cambridge University Press, 2017. – P. 193; </w:t>
      </w:r>
      <w:r>
        <w:rPr/>
        <w:t xml:space="preserve">International Monetary Fund. Financial Soundness Indicators: Compilation Guide.</w:t>
      </w:r>
      <w:r>
        <w:t xml:space="preserve"> – Washington, DC: IMF, 2019; Karaliyev T.M., Sayfiddinov I.F. Tijorat banklari faoliyatini tartibga solish va nazorati: darslik. – T.: Iqtisod-Moliya, 2019. – B. 208–213.</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va “SNS” reyting agentligi bazasi asosida hisoblandi.</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4">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1">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4">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