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charts/chart29.xml" ContentType="application/vnd.openxmlformats-officedocument.drawingml.chart+xml"/>
  <Override PartName="/word/charts/chart28.xml" ContentType="application/vnd.openxmlformats-officedocument.drawingml.chart+xml"/>
  <Override PartName="/word/charts/chart27.xml" ContentType="application/vnd.openxmlformats-officedocument.drawingml.chart+xml"/>
  <Override PartName="/word/charts/chart26.xml" ContentType="application/vnd.openxmlformats-officedocument.drawingml.chart+xml"/>
  <Override PartName="/word/charts/chart25.xml" ContentType="application/vnd.openxmlformats-officedocument.drawingml.chart+xml"/>
  <Override PartName="/word/charts/chart6.xml" ContentType="application/vnd.openxmlformats-officedocument.drawingml.chart+xml"/>
  <Override PartName="/word/charts/chart11.xml" ContentType="application/vnd.openxmlformats-officedocument.drawingml.chart+xml"/>
  <Override PartName="/word/charts/chart7.xml" ContentType="application/vnd.openxmlformats-officedocument.drawingml.chart+xml"/>
  <Override PartName="/word/charts/chart12.xml" ContentType="application/vnd.openxmlformats-officedocument.drawingml.chart+xml"/>
  <Override PartName="/word/charts/chart8.xml" ContentType="application/vnd.openxmlformats-officedocument.drawingml.chart+xml"/>
  <Override PartName="/word/charts/chart13.xml" ContentType="application/vnd.openxmlformats-officedocument.drawingml.chart+xml"/>
  <Override PartName="/word/charts/chart9.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_rels/chart24.xml.rels" ContentType="application/vnd.openxmlformats-package.relationships+xml"/>
  <Override PartName="/word/charts/_rels/chart23.xml.rels" ContentType="application/vnd.openxmlformats-package.relationships+xml"/>
  <Override PartName="/word/charts/_rels/chart22.xml.rels" ContentType="application/vnd.openxmlformats-package.relationships+xml"/>
  <Override PartName="/word/charts/_rels/chart21.xml.rels" ContentType="application/vnd.openxmlformats-package.relationships+xml"/>
  <Override PartName="/word/charts/_rels/chart19.xml.rels" ContentType="application/vnd.openxmlformats-package.relationships+xml"/>
  <Override PartName="/word/charts/_rels/chart6.xml.rels" ContentType="application/vnd.openxmlformats-package.relationships+xml"/>
  <Override PartName="/word/charts/_rels/chart31.xml.rels" ContentType="application/vnd.openxmlformats-package.relationships+xml"/>
  <Override PartName="/word/charts/_rels/chart29.xml.rels" ContentType="application/vnd.openxmlformats-package.relationships+xml"/>
  <Override PartName="/word/charts/_rels/chart30.xml.rels" ContentType="application/vnd.openxmlformats-package.relationships+xml"/>
  <Override PartName="/word/charts/_rels/chart28.xml.rels" ContentType="application/vnd.openxmlformats-package.relationships+xml"/>
  <Override PartName="/word/charts/_rels/chart10.xml.rels" ContentType="application/vnd.openxmlformats-package.relationships+xml"/>
  <Override PartName="/word/charts/_rels/chart9.xml.rels" ContentType="application/vnd.openxmlformats-package.relationships+xml"/>
  <Override PartName="/word/charts/_rels/chart11.xml.rels" ContentType="application/vnd.openxmlformats-package.relationships+xml"/>
  <Override PartName="/word/charts/_rels/chart12.xml.rels" ContentType="application/vnd.openxmlformats-package.relationships+xml"/>
  <Override PartName="/word/charts/_rels/chart13.xml.rels" ContentType="application/vnd.openxmlformats-package.relationships+xml"/>
  <Override PartName="/word/charts/_rels/chart25.xml.rels" ContentType="application/vnd.openxmlformats-package.relationships+xml"/>
  <Override PartName="/word/charts/_rels/chart26.xml.rels" ContentType="application/vnd.openxmlformats-package.relationships+xml"/>
  <Override PartName="/word/charts/_rels/chart27.xml.rels" ContentType="application/vnd.openxmlformats-package.relationships+xml"/>
  <Override PartName="/word/charts/_rels/chart32.xml.rels" ContentType="application/vnd.openxmlformats-package.relationships+xml"/>
  <Override PartName="/word/charts/_rels/chart7.xml.rels" ContentType="application/vnd.openxmlformats-package.relationships+xml"/>
  <Override PartName="/word/charts/_rels/chart33.xml.rels" ContentType="application/vnd.openxmlformats-package.relationships+xml"/>
  <Override PartName="/word/charts/_rels/chart8.xml.rels" ContentType="application/vnd.openxmlformats-package.relationships+xml"/>
  <Override PartName="/word/charts/_rels/chart34.xml.rels" ContentType="application/vnd.openxmlformats-package.relationships+xml"/>
  <Override PartName="/word/charts/_rels/chart5.xml.rels" ContentType="application/vnd.openxmlformats-package.relationships+xml"/>
  <Override PartName="/word/charts/_rels/chart4.xml.rels" ContentType="application/vnd.openxmlformats-package.relationships+xml"/>
  <Override PartName="/word/charts/_rels/chart3.xml.rels" ContentType="application/vnd.openxmlformats-package.relationships+xml"/>
  <Override PartName="/word/charts/_rels/chart2.xml.rels" ContentType="application/vnd.openxmlformats-package.relationships+xml"/>
  <Override PartName="/word/charts/_rels/chart1.xml.rels" ContentType="application/vnd.openxmlformats-package.relationships+xml"/>
  <Override PartName="/word/charts/_rels/chart14.xml.rels" ContentType="application/vnd.openxmlformats-package.relationships+xml"/>
  <Override PartName="/word/charts/_rels/chart15.xml.rels" ContentType="application/vnd.openxmlformats-package.relationships+xml"/>
  <Override PartName="/word/charts/_rels/chart16.xml.rels" ContentType="application/vnd.openxmlformats-package.relationships+xml"/>
  <Override PartName="/word/charts/_rels/chart17.xml.rels" ContentType="application/vnd.openxmlformats-package.relationships+xml"/>
  <Override PartName="/word/charts/_rels/chart18.xml.rels" ContentType="application/vnd.openxmlformats-package.relationships+xml"/>
  <Override PartName="/word/charts/_rels/chart20.xml.rels" ContentType="application/vnd.openxmlformats-package.relationships+xml"/>
  <Override PartName="/word/charts/chart1.xml" ContentType="application/vnd.openxmlformats-officedocument.drawingml.chart+xml"/>
  <Override PartName="/word/charts/chart10.xml" ContentType="application/vnd.openxmlformats-officedocument.drawingml.chart+xml"/>
  <Override PartName="/word/charts/chart34.xml" ContentType="application/vnd.openxmlformats-officedocument.drawingml.chart+xml"/>
  <Override PartName="/word/charts/chart2.xml" ContentType="application/vnd.openxmlformats-officedocument.drawingml.chart+xml"/>
  <Override PartName="/word/charts/chart5.xml" ContentType="application/vnd.openxmlformats-officedocument.drawingml.chart+xml"/>
  <Override PartName="/word/charts/chart4.xml" ContentType="application/vnd.openxmlformats-officedocument.drawingml.chart+xml"/>
  <Override PartName="/word/charts/chart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20.xml" ContentType="application/vnd.openxmlformats-officedocument.drawingml.chart+xml"/>
  <Override PartName="/word/charts/chart19.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numbering.xml" ContentType="application/vnd.openxmlformats-officedocument.wordprocessingml.numbering+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embeddings/Microsoft_Excel_Worksheet1.xlsx" ContentType="application/vnd.openxmlformats-officedocument.spreadsheetml.sheet"/>
  <Override PartName="/word/embeddings/Microsoft_Excel_Worksheet2.xlsx" ContentType="application/vnd.openxmlformats-officedocument.spreadsheetml.sheet"/>
  <Override PartName="/word/embeddings/Microsoft_Excel_Worksheet3.xlsx" ContentType="application/vnd.openxmlformats-officedocument.spreadsheetml.sheet"/>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i w:val="false"/>
          <w:sz w:val="28"/>
        </w:rPr>
        <w:t>[OLIY TA’LIM MUASSASASI VA ILMIY KENGASH NOMI]</w:t>
      </w:r>
    </w:p>
    <w:p>
      <w:pPr>
        <w:pStyle w:val="Normal"/>
        <w:spacing w:lineRule="auto" w:line="276" w:before="0" w:after="480"/>
        <w:jc w:val="center"/>
        <w:rPr/>
      </w:pPr>
      <w:r>
        <w:rPr/>
      </w:r>
    </w:p>
    <w:p>
      <w:pPr>
        <w:pStyle w:val="Normal"/>
        <w:spacing w:lineRule="auto" w:line="276" w:before="0" w:after="0"/>
        <w:jc w:val="right"/>
        <w:rPr/>
      </w:pPr>
      <w:r>
        <w:rPr>
          <w:b w:val="false"/>
          <w:i/>
          <w:sz w:val="28"/>
        </w:rPr>
        <w:t>Qo‘lyozma huquqida</w:t>
      </w:r>
    </w:p>
    <w:p>
      <w:pPr>
        <w:pStyle w:val="Normal"/>
        <w:spacing w:lineRule="auto" w:line="276" w:before="0" w:after="600"/>
        <w:jc w:val="right"/>
        <w:rPr/>
      </w:pPr>
      <w:r>
        <w:rPr>
          <w:b w:val="false"/>
          <w:i/>
          <w:sz w:val="28"/>
        </w:rPr>
        <w:t>UO‘K: 336.71</w:t>
      </w:r>
    </w:p>
    <w:p>
      <w:pPr>
        <w:pStyle w:val="Normal"/>
        <w:spacing w:lineRule="auto" w:line="276" w:before="0" w:after="480"/>
        <w:jc w:val="center"/>
        <w:rPr/>
      </w:pPr>
      <w:r>
        <w:rPr>
          <w:b/>
          <w:i w:val="false"/>
          <w:sz w:val="28"/>
        </w:rPr>
        <w:t>MAXMUDOV OMON TO‘XTAYEVICH</w:t>
      </w:r>
    </w:p>
    <w:p>
      <w:pPr>
        <w:pStyle w:val="Normal"/>
        <w:spacing w:lineRule="auto" w:line="276" w:before="0" w:after="480"/>
        <w:jc w:val="center"/>
        <w:rPr/>
      </w:pPr>
      <w:r>
        <w:rPr>
          <w:b/>
          <w:i w:val="false"/>
          <w:sz w:val="32"/>
        </w:rPr>
        <w:t>TIJORAT BANKLARI MOLIYAVIY BARQARORLIGINI XALQARO STANDARTLAR ASOSIDA BAHOLASH METODOLOGIYASINI TAKOMILLASHTIRISH</w:t>
      </w:r>
    </w:p>
    <w:p>
      <w:pPr>
        <w:pStyle w:val="Normal"/>
        <w:spacing w:lineRule="auto" w:line="276" w:before="0" w:after="480"/>
        <w:jc w:val="center"/>
        <w:rPr/>
      </w:pPr>
      <w:r>
        <w:rPr>
          <w:b w:val="false"/>
          <w:i w:val="false"/>
          <w:sz w:val="28"/>
        </w:rPr>
        <w:t>08.00.07 – Moliya, pul muomalasi va kredit</w:t>
      </w:r>
    </w:p>
    <w:p>
      <w:pPr>
        <w:pStyle w:val="Normal"/>
        <w:spacing w:lineRule="auto" w:line="276" w:before="0" w:after="0"/>
        <w:jc w:val="center"/>
        <w:rPr/>
      </w:pPr>
      <w:r>
        <w:rPr>
          <w:b/>
          <w:i w:val="false"/>
          <w:sz w:val="28"/>
        </w:rPr>
        <w:t>Iqtisodiyot fanlari doktori (DSc)</w:t>
      </w:r>
    </w:p>
    <w:p>
      <w:pPr>
        <w:pStyle w:val="Normal"/>
        <w:spacing w:lineRule="auto" w:line="276" w:before="0" w:after="0"/>
        <w:jc w:val="center"/>
        <w:rPr/>
      </w:pPr>
      <w:r>
        <w:rPr>
          <w:b w:val="false"/>
          <w:i w:val="false"/>
          <w:sz w:val="28"/>
        </w:rPr>
        <w:t>ilmiy darajasini olish uchun yozilgan</w:t>
      </w:r>
    </w:p>
    <w:p>
      <w:pPr>
        <w:pStyle w:val="Normal"/>
        <w:spacing w:lineRule="auto" w:line="276" w:before="160" w:after="720"/>
        <w:jc w:val="center"/>
        <w:rPr/>
      </w:pPr>
      <w:r>
        <w:rPr>
          <w:b/>
          <w:i w:val="false"/>
          <w:sz w:val="32"/>
        </w:rPr>
        <w:t>DISSERTATSIYA</w:t>
      </w:r>
    </w:p>
    <w:p>
      <w:pPr>
        <w:pStyle w:val="Normal"/>
        <w:spacing w:lineRule="auto" w:line="276" w:before="0" w:after="0"/>
        <w:jc w:val="right"/>
        <w:rPr/>
      </w:pPr>
      <w:r>
        <w:rPr>
          <w:b/>
          <w:sz w:val="28"/>
        </w:rPr>
        <w:t xml:space="preserve">Ilmiy rahbar: </w:t>
      </w:r>
      <w:r>
        <w:rPr>
          <w:sz w:val="28"/>
        </w:rPr>
        <w:t>Tulakov Ulug‘bek Toshmamatovich</w:t>
      </w:r>
    </w:p>
    <w:p>
      <w:pPr>
        <w:pStyle w:val="Normal"/>
        <w:spacing w:lineRule="auto" w:line="276" w:before="0" w:after="1200"/>
        <w:jc w:val="right"/>
        <w:rPr/>
      </w:pPr>
      <w:r>
        <w:rPr>
          <w:b w:val="false"/>
          <w:i/>
          <w:sz w:val="28"/>
        </w:rPr>
        <w:t>[ilmiy darajasi, unvoni]</w:t>
      </w:r>
    </w:p>
    <w:p>
      <w:pPr>
        <w:pStyle w:val="Normal"/>
        <w:spacing w:lineRule="auto" w:line="276" w:before="0" w:after="0"/>
        <w:jc w:val="center"/>
        <w:rPr/>
      </w:pPr>
      <w:r>
        <w:rPr>
          <w:b w:val="false"/>
          <w:i w:val="false"/>
          <w:sz w:val="28"/>
        </w:rPr>
        <w:t>Toshkent – 2026</w:t>
      </w:r>
    </w:p>
    <w:p>
      <w:pPr>
        <w:sectPr>
          <w:type w:val="nextPage"/>
          <w:pgSz w:w="12240" w:h="15840"/>
          <w:pgMar w:left="1134" w:right="1134" w:gutter="0" w:header="0" w:top="1134" w:footer="0" w:bottom="1134"/>
          <w:pgNumType w:fmt="decimal"/>
          <w:formProt w:val="false"/>
          <w:textDirection w:val="lrTb"/>
        </w:sectPr>
        <w:pStyle w:val="Normal"/>
        <w:rPr/>
      </w:pPr>
      <w:r>
        <w:rPr/>
      </w:r>
    </w:p>
    <w:p>
      <w:pPr>
        <w:pStyle w:val="Normal"/>
        <w:spacing w:lineRule="auto" w:line="276" w:before="0" w:after="240"/>
        <w:jc w:val="center"/>
        <w:rPr/>
      </w:pPr>
      <w:r>
        <w:rPr>
          <w:b/>
          <w:i w:val="false"/>
          <w:sz w:val="28"/>
        </w:rPr>
        <w:t>MUNDARIJA</w:t>
      </w:r>
    </w:p>
    <w:sdt>
      <w:sdtPr>
        <w:docPartObj>
          <w:docPartGallery w:val="Table of Contents"/>
          <w:docPartUnique w:val="true"/>
        </w:docPartObj>
      </w:sdtPr>
      <w:sdtContent>
        <w:p>
          <w:pPr>
            <w:pStyle w:val="TOC1"/>
            <w:tabs>
              <w:tab w:val="clear" w:pos="9689"/>
              <w:tab w:val="right" w:pos="9688" w:leader="dot"/>
            </w:tabs>
            <w:rPr/>
          </w:pPr>
          <w:r>
            <w:fldChar w:fldCharType="begin"/>
          </w:r>
          <w:r>
            <w:rPr>
              <w:rStyle w:val="IndexLink"/>
              <w:i w:val="false"/>
            </w:rPr>
            <w:instrText xml:space="preserve"> TOC \f \o "1-2" \h</w:instrText>
          </w:r>
          <w:r>
            <w:rPr>
              <w:rStyle w:val="IndexLink"/>
              <w:i w:val="false"/>
            </w:rPr>
            <w:fldChar w:fldCharType="separate"/>
          </w:r>
          <w:hyperlink w:anchor="__RefHeading___Toc38182_2843893380">
            <w:r>
              <w:rPr>
                <w:rStyle w:val="IndexLink"/>
                <w:i w:val="false"/>
              </w:rPr>
              <w:t>KIRISH</w:t>
            </w:r>
            <w:r>
              <w:rPr>
                <w:rStyle w:val="IndexLink"/>
              </w:rPr>
              <w:tab/>
              <w:t>3</w:t>
            </w:r>
          </w:hyperlink>
        </w:p>
        <w:p>
          <w:pPr>
            <w:pStyle w:val="TOC1"/>
            <w:tabs>
              <w:tab w:val="clear" w:pos="9689"/>
              <w:tab w:val="right" w:pos="9688" w:leader="dot"/>
            </w:tabs>
            <w:rPr/>
          </w:pPr>
          <w:hyperlink w:anchor="__RefHeading___Toc38184_2843893380">
            <w:r>
              <w:rPr>
                <w:rStyle w:val="IndexLink"/>
              </w:rPr>
              <w:t>I BOB. TIJORAT BANKLARI MOLIYAVIY BARQARORLIGINI BAHOLASHNING NAZARIY ASOSLARI VA XALQARO STANDARTLARI</w:t>
              <w:tab/>
              <w:t>14</w:t>
            </w:r>
          </w:hyperlink>
        </w:p>
        <w:p>
          <w:pPr>
            <w:pStyle w:val="TOC2"/>
            <w:tabs>
              <w:tab w:val="clear" w:pos="9406"/>
              <w:tab w:val="right" w:pos="9688" w:leader="dot"/>
            </w:tabs>
            <w:rPr/>
          </w:pPr>
          <w:hyperlink w:anchor="__RefHeading___Toc38186_2843893380">
            <w:r>
              <w:rPr>
                <w:rStyle w:val="IndexLink"/>
                <w:i w:val="false"/>
              </w:rPr>
              <w:t>1.1-§. Tijorat banklari moliyaviy barqarorligining iqtisodiy mazmuni va konseptual modellari</w:t>
            </w:r>
            <w:r>
              <w:rPr>
                <w:rStyle w:val="IndexLink"/>
              </w:rPr>
              <w:tab/>
              <w:t>14</w:t>
            </w:r>
          </w:hyperlink>
        </w:p>
        <w:p>
          <w:pPr>
            <w:pStyle w:val="TOC2"/>
            <w:tabs>
              <w:tab w:val="clear" w:pos="9406"/>
              <w:tab w:val="right" w:pos="9688" w:leader="dot"/>
            </w:tabs>
            <w:rPr/>
          </w:pPr>
          <w:hyperlink w:anchor="__RefHeading___Toc38188_2843893380">
            <w:r>
              <w:rPr>
                <w:rStyle w:val="IndexLink"/>
                <w:i w:val="false"/>
              </w:rPr>
              <w:t>1.2-§. Banklar moliyaviy barqarorligini baholashning xalqaro standartlari va metodologik yondashuvlari</w:t>
            </w:r>
            <w:r>
              <w:rPr>
                <w:rStyle w:val="IndexLink"/>
              </w:rPr>
              <w:tab/>
              <w:t>33</w:t>
            </w:r>
          </w:hyperlink>
        </w:p>
        <w:p>
          <w:pPr>
            <w:pStyle w:val="TOC2"/>
            <w:tabs>
              <w:tab w:val="clear" w:pos="9406"/>
              <w:tab w:val="right" w:pos="9688" w:leader="dot"/>
            </w:tabs>
            <w:rPr/>
          </w:pPr>
          <w:hyperlink w:anchor="__RefHeading___Toc38190_2843893380">
            <w:r>
              <w:rPr>
                <w:rStyle w:val="IndexLink"/>
                <w:i w:val="false"/>
              </w:rPr>
              <w:t>1.3-§. Xorijiy mamlakatlarda banklar moliyaviy barqarorligini tartibga solish va baholash tajribasi</w:t>
            </w:r>
            <w:r>
              <w:rPr>
                <w:rStyle w:val="IndexLink"/>
              </w:rPr>
              <w:tab/>
              <w:t>49</w:t>
            </w:r>
          </w:hyperlink>
        </w:p>
        <w:p>
          <w:pPr>
            <w:pStyle w:val="TOC2"/>
            <w:tabs>
              <w:tab w:val="clear" w:pos="9406"/>
              <w:tab w:val="right" w:pos="9688" w:leader="dot"/>
            </w:tabs>
            <w:rPr/>
          </w:pPr>
          <w:hyperlink w:anchor="__RefHeading___Toc38192_2843893380">
            <w:r>
              <w:rPr>
                <w:rStyle w:val="IndexLink"/>
                <w:i w:val="false"/>
              </w:rPr>
              <w:t>I bob bo‘yicha xulosalar</w:t>
            </w:r>
            <w:r>
              <w:rPr>
                <w:rStyle w:val="IndexLink"/>
              </w:rPr>
              <w:tab/>
              <w:t>71</w:t>
            </w:r>
          </w:hyperlink>
        </w:p>
        <w:p>
          <w:pPr>
            <w:pStyle w:val="TOC1"/>
            <w:tabs>
              <w:tab w:val="clear" w:pos="9689"/>
              <w:tab w:val="right" w:pos="9688" w:leader="dot"/>
            </w:tabs>
            <w:rPr/>
          </w:pPr>
          <w:hyperlink w:anchor="__RefHeading___Toc38194_2843893380">
            <w:r>
              <w:rPr>
                <w:rStyle w:val="IndexLink"/>
              </w:rPr>
              <w:t>II BOB. O‘ZBEKISTON BANK TIZIMIDA MOLIYAVIY BARQARORLIKNI BAHOLASH AMALIYOTINING XALQARO STANDARTLARGA MUVOFIQLIGI TAHLILI</w:t>
              <w:tab/>
              <w:t>74</w:t>
            </w:r>
          </w:hyperlink>
        </w:p>
        <w:p>
          <w:pPr>
            <w:pStyle w:val="TOC2"/>
            <w:tabs>
              <w:tab w:val="clear" w:pos="9406"/>
              <w:tab w:val="right" w:pos="9688" w:leader="dot"/>
            </w:tabs>
            <w:rPr/>
          </w:pPr>
          <w:hyperlink w:anchor="__RefHeading___Toc38196_2843893380">
            <w:r>
              <w:rPr>
                <w:rStyle w:val="IndexLink"/>
                <w:i w:val="false"/>
              </w:rPr>
              <w:t>2.1-§. Oʻzbekistonda banklar moliyaviy barqarorligini baholashning amaldagi holati va xalqaro standartlarga moslashtirish muammolari</w:t>
            </w:r>
            <w:r>
              <w:rPr>
                <w:rStyle w:val="IndexLink"/>
              </w:rPr>
              <w:tab/>
              <w:t>74</w:t>
            </w:r>
          </w:hyperlink>
        </w:p>
        <w:p>
          <w:pPr>
            <w:pStyle w:val="TOC2"/>
            <w:tabs>
              <w:tab w:val="clear" w:pos="9406"/>
              <w:tab w:val="right" w:pos="9688" w:leader="dot"/>
            </w:tabs>
            <w:rPr/>
          </w:pPr>
          <w:hyperlink w:anchor="__RefHeading___Toc38198_2843893380">
            <w:r>
              <w:rPr>
                <w:rStyle w:val="IndexLink"/>
                <w:i w:val="false"/>
              </w:rPr>
              <w:t>2.2-§. Oʻzbekiston bank tizimida moliyaviy barqarorlik koʻrsatkichlari dinamikasining xalqaro standartlar mezonlari boʻyicha tahlili</w:t>
            </w:r>
            <w:r>
              <w:rPr>
                <w:rStyle w:val="IndexLink"/>
              </w:rPr>
              <w:tab/>
              <w:t>91</w:t>
            </w:r>
          </w:hyperlink>
        </w:p>
        <w:p>
          <w:pPr>
            <w:pStyle w:val="TOC2"/>
            <w:tabs>
              <w:tab w:val="clear" w:pos="9406"/>
              <w:tab w:val="right" w:pos="9688" w:leader="dot"/>
            </w:tabs>
            <w:rPr/>
          </w:pPr>
          <w:hyperlink w:anchor="__RefHeading___Toc38200_2843893380">
            <w:r>
              <w:rPr>
                <w:rStyle w:val="IndexLink"/>
                <w:i w:val="false"/>
              </w:rPr>
              <w:t>2.3-§. Tijorat banklari moliyaviy ko‘rsatkichlarining milliy va MHXS hisobotlari bo‘yicha qiyosiy tahlili</w:t>
            </w:r>
            <w:r>
              <w:rPr>
                <w:rStyle w:val="IndexLink"/>
              </w:rPr>
              <w:tab/>
              <w:t>115</w:t>
            </w:r>
          </w:hyperlink>
        </w:p>
        <w:p>
          <w:pPr>
            <w:pStyle w:val="TOC2"/>
            <w:tabs>
              <w:tab w:val="clear" w:pos="9406"/>
              <w:tab w:val="right" w:pos="9688" w:leader="dot"/>
            </w:tabs>
            <w:rPr/>
          </w:pPr>
          <w:hyperlink w:anchor="__RefHeading___Toc38202_2843893380">
            <w:r>
              <w:rPr>
                <w:rStyle w:val="IndexLink"/>
                <w:i w:val="false"/>
              </w:rPr>
              <w:t>II bob bo‘yicha xulosalar</w:t>
            </w:r>
            <w:r>
              <w:rPr>
                <w:rStyle w:val="IndexLink"/>
              </w:rPr>
              <w:tab/>
              <w:t>139</w:t>
            </w:r>
          </w:hyperlink>
        </w:p>
        <w:p>
          <w:pPr>
            <w:pStyle w:val="TOC1"/>
            <w:tabs>
              <w:tab w:val="clear" w:pos="9689"/>
              <w:tab w:val="right" w:pos="9688" w:leader="dot"/>
            </w:tabs>
            <w:rPr/>
          </w:pPr>
          <w:hyperlink w:anchor="__RefHeading___Toc38204_2843893380">
            <w:r>
              <w:rPr>
                <w:rStyle w:val="IndexLink"/>
              </w:rPr>
              <w:t>III BOB. XALQARO STANDARTLARGA ASOSLANGAN INTEGRAL BAHOLASH METODIKASI VA UNING EKONOMETRIK ASOSLANISHI</w:t>
              <w:tab/>
              <w:t>143</w:t>
            </w:r>
          </w:hyperlink>
        </w:p>
        <w:p>
          <w:pPr>
            <w:pStyle w:val="TOC2"/>
            <w:tabs>
              <w:tab w:val="clear" w:pos="9406"/>
              <w:tab w:val="right" w:pos="9688" w:leader="dot"/>
            </w:tabs>
            <w:rPr/>
          </w:pPr>
          <w:hyperlink w:anchor="__RefHeading___Toc38206_2843893380">
            <w:r>
              <w:rPr>
                <w:rStyle w:val="IndexLink"/>
                <w:i w:val="false"/>
              </w:rPr>
              <w:t>3.1-§. Moliyaviy barqarorlikni integral indeks asosida baholashning takomillashtirilgan metodikasi</w:t>
            </w:r>
            <w:r>
              <w:rPr>
                <w:rStyle w:val="IndexLink"/>
              </w:rPr>
              <w:tab/>
              <w:t>143</w:t>
            </w:r>
          </w:hyperlink>
        </w:p>
        <w:p>
          <w:pPr>
            <w:pStyle w:val="TOC2"/>
            <w:tabs>
              <w:tab w:val="clear" w:pos="9406"/>
              <w:tab w:val="right" w:pos="9688" w:leader="dot"/>
            </w:tabs>
            <w:rPr/>
          </w:pPr>
          <w:hyperlink w:anchor="__RefHeading___Toc38208_2843893380">
            <w:r>
              <w:rPr>
                <w:rStyle w:val="IndexLink"/>
                <w:i w:val="false"/>
              </w:rPr>
              <w:t>3.2-§. Tijorat banklari moliyaviy barqarorligini integral indeks asosida reyting baholash</w:t>
            </w:r>
            <w:r>
              <w:rPr>
                <w:rStyle w:val="IndexLink"/>
              </w:rPr>
              <w:tab/>
              <w:t>164</w:t>
            </w:r>
          </w:hyperlink>
        </w:p>
        <w:p>
          <w:pPr>
            <w:pStyle w:val="TOC2"/>
            <w:tabs>
              <w:tab w:val="clear" w:pos="9406"/>
              <w:tab w:val="right" w:pos="9688" w:leader="dot"/>
            </w:tabs>
            <w:rPr/>
          </w:pPr>
          <w:hyperlink w:anchor="__RefHeading___Toc38210_2843893380">
            <w:r>
              <w:rPr>
                <w:rStyle w:val="IndexLink"/>
                <w:i w:val="false"/>
              </w:rPr>
              <w:t>3.3-§. Tijorat banklari moliyaviy barqarorligiga ta’sir etuvchi omillarning ekonometrik tahlili</w:t>
            </w:r>
            <w:r>
              <w:rPr>
                <w:rStyle w:val="IndexLink"/>
              </w:rPr>
              <w:tab/>
              <w:t>180</w:t>
            </w:r>
          </w:hyperlink>
          <w:r>
            <w:rPr>
              <w:rStyle w:val="IndexLink"/>
            </w:rPr>
            <w:fldChar w:fldCharType="end"/>
          </w:r>
        </w:p>
      </w:sdtContent>
    </w:sdt>
    <w:p>
      <w:pPr>
        <w:pStyle w:val="Normal"/>
        <w:spacing w:lineRule="auto" w:line="276" w:before="0" w:after="0"/>
        <w:jc w:val="left"/>
        <w:rPr>
          <w:rFonts w:ascii="Times New Roman" w:hAnsi="Times New Roman"/>
          <w:b w:val="false"/>
          <w:i w:val="false"/>
          <w:i w:val="false"/>
          <w:sz w:val="28"/>
        </w:rPr>
      </w:pPr>
      <w:r>
        <w:rPr/>
      </w:r>
      <w:r>
        <w:br w:type="page"/>
      </w:r>
    </w:p>
    <w:p>
      <w:pPr>
        <w:pStyle w:val="Normal"/>
        <w:rPr>
          <w:rFonts w:ascii="Times New Roman" w:hAnsi="Times New Roman"/>
          <w:b w:val="false"/>
          <w:i w:val="false"/>
          <w:i w:val="false"/>
          <w:sz w:val="28"/>
        </w:rPr>
      </w:pPr>
      <w:r>
        <w:rPr/>
      </w:r>
    </w:p>
    <w:p>
      <w:pPr>
        <w:pStyle w:val="Heading1"/>
        <w:rPr/>
      </w:pPr>
      <w:bookmarkStart w:id="0" w:name="__RefHeading___Toc38182_2843893380"/>
      <w:bookmarkStart w:id="1" w:name="kirish"/>
      <w:bookmarkEnd w:id="0"/>
      <w:r>
        <w:rPr>
          <w:rFonts w:eastAsia="Times New Roman" w:cs="Times New Roman" w:ascii="Times New Roman" w:hAnsi="Times New Roman"/>
          <w:b/>
          <w:i w:val="false"/>
          <w:sz w:val="28"/>
        </w:rPr>
        <w:t>KIRISH</w:t>
      </w:r>
    </w:p>
    <w:p>
      <w:pPr>
        <w:pStyle w:val="FirstParagraph"/>
        <w:spacing w:lineRule="auto" w:line="360" w:before="0" w:after="0"/>
        <w:ind w:firstLine="709"/>
        <w:jc w:val="both"/>
        <w:rPr/>
      </w:pPr>
      <w:r>
        <w:rPr>
          <w:rFonts w:eastAsia="Times New Roman" w:cs="Times New Roman"/>
          <w:b/>
          <w:bCs/>
          <w:sz w:val="28"/>
        </w:rPr>
        <w:t>Dissertatsiya mavzusining dolzarbligi va zarurati.</w:t>
      </w:r>
      <w:r>
        <w:rPr>
          <w:rFonts w:eastAsia="Times New Roman" w:cs="Times New Roman"/>
          <w:sz w:val="28"/>
        </w:rP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2"/>
      </w:r>
      <w:r>
        <w:rPr>
          <w:rFonts w:eastAsia="Times New Roman" w:cs="Times New Roman"/>
          <w:sz w:val="28"/>
        </w:rP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 Yevropa Ittifoqida Bazel III ning yakuniy talablari 2025-yil 1-yanvardan kuchga kirdi, Buyuk Britaniyada esa ularni joriy etish 2027-yilga ko‘chirildi.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Rule="auto" w:line="360" w:before="0" w:after="0"/>
        <w:ind w:firstLine="709"/>
        <w:jc w:val="both"/>
        <w:rPr/>
      </w:pPr>
      <w:r>
        <w:rPr>
          <w:rFonts w:eastAsia="Times New Roman" w:cs="Times New Roman"/>
          <w:sz w:val="28"/>
        </w:rPr>
        <w:t>Jahonda banklar moliyaviy barqarorligini baholash metodologiyasini takomillashtirishga qaratilgan ilmiy izlanishlarga alohida e’tibor qaratilmoqda. Xususan, moliyaviy barqarorlik ko‘rsatkichlarini xalqaro miqyosda taqqoslanadigan qilish, bank kapitali va likvidligini tartibga solishda Bazel III talablarini milliy sharoitga moslashtirish, kredit riskini kutilayotgan zararlar asosida oldindan baholash,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Rule="auto" w:line="360" w:before="0" w:after="0"/>
        <w:ind w:firstLine="709"/>
        <w:jc w:val="both"/>
        <w:rPr/>
      </w:pPr>
      <w:r>
        <w:rPr>
          <w:rFonts w:eastAsia="Times New Roman" w:cs="Times New Roman"/>
          <w:sz w:val="28"/>
        </w:rPr>
        <w:t>O‘zbekistonda bank tizimi so‘nggi yillarda jadal o‘sdi: 2026-yil 1-yanvar holatiga tijorat banklari aktivlari 924,8 trln so‘mni tashkil etdi, ammo davlat ulushi mavjud banklarning aktivlardagi ulushi hali ham 63,5 foiz darajasida saqlanib qolmoqda. Rasmiy ko‘rsatkichlar bo‘yicha bank tizimining kapital yetarliligi 18,3 foizni, muammoli kreditlar ulushi 3 foizni tashkil etgan bo‘lsa, substandart va muammoli kreditlarning umumiy ulushi 2024-yilda 21 foizga yetgan. Xalqaro valyuta jamg‘armasi va Jahon bankining moliya sektorini baholash dasturi doirasida muammoli kreditlarning to‘liq tan olinmasligi, kapital ta’rifining Bazel III ga to‘liq mos emasligi va likvidlik me’yorlarining milliy xususiyatlari asosiy zaif jihatlar sifatida qayd etildi.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Rule="auto" w:line="360" w:before="0" w:after="0"/>
        <w:ind w:firstLine="709"/>
        <w:jc w:val="both"/>
        <w:rPr/>
      </w:pPr>
      <w:r>
        <w:rPr>
          <w:rFonts w:eastAsia="Times New Roman" w:cs="Times New Roman"/>
          <w:sz w:val="28"/>
        </w:rPr>
        <w:t>Bank tizimini isloh qilish strategiyasida bank nazoratini xalqaro standartlarga muvofiqlashtirish, banklar faoliyatining shaffofligini oshirish va moliyaviy barqarorlikni mustahkamlash asosiy yo‘nalishlar sifatida belgilangan. 2025-yilda kapital monandligiga qo‘yiladigan talablarning yangi tahriri qabul qilinib, banklarni sanatsiya qilish va tugatish tartibi qonun bilan tartibga solindi, moliya sektorini baholash dasturi tavsiyalarini 2025–2028-yillarda amalga oshirish bo‘yicha yo‘l xaritasi tasdiqlandi. Bu vazifalarni amalga oshirishda banklar moliyaviy barqarorligini xalqaro standartlar asosida baholashning ilmiy asoslangan metodologiyasi zarur.</w:t>
      </w:r>
    </w:p>
    <w:p>
      <w:pPr>
        <w:pStyle w:val="BodyText"/>
        <w:spacing w:lineRule="auto" w:line="360" w:before="0" w:after="0"/>
        <w:ind w:firstLine="709"/>
        <w:jc w:val="both"/>
        <w:rPr/>
      </w:pPr>
      <w:r>
        <w:rPr>
          <w:rFonts w:eastAsia="Times New Roman" w:cs="Times New Roman"/>
          <w:sz w:val="28"/>
        </w:rPr>
        <w:t>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Rule="auto" w:line="360" w:before="0" w:after="0"/>
        <w:ind w:firstLine="709"/>
        <w:jc w:val="both"/>
        <w:rPr/>
      </w:pPr>
      <w:r>
        <w:rPr>
          <w:rFonts w:eastAsia="Times New Roman" w:cs="Times New Roman"/>
          <w:b/>
          <w:bCs/>
          <w:sz w:val="28"/>
        </w:rPr>
        <w:t>Tadqiqotning respublika fan va texnologiyalari rivojlanishining ustuvor yo‘nalishlariga mosligi.</w:t>
      </w:r>
      <w:r>
        <w:rPr>
          <w:rFonts w:eastAsia="Times New Roman" w:cs="Times New Roman"/>
          <w:sz w:val="28"/>
        </w:rPr>
        <w:t xml:space="preserve"> 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Rule="auto" w:line="360" w:before="0" w:after="0"/>
        <w:ind w:firstLine="709"/>
        <w:jc w:val="both"/>
        <w:rPr/>
      </w:pPr>
      <w:r>
        <w:rPr>
          <w:rFonts w:eastAsia="Times New Roman" w:cs="Times New Roman"/>
          <w:b/>
          <w:bCs/>
          <w:sz w:val="28"/>
        </w:rPr>
        <w:t>Dissertatsiya mavzusi bo‘yicha xorijiy ilmiy-tadqiqotlar sharhi</w:t>
      </w:r>
      <w:r>
        <w:rPr>
          <w:rFonts w:eastAsia="Times New Roman" w:cs="Times New Roman"/>
          <w:sz w:val="28"/>
        </w:rP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Rule="auto" w:line="360" w:before="0" w:after="0"/>
        <w:ind w:firstLine="709"/>
        <w:jc w:val="both"/>
        <w:rPr/>
      </w:pPr>
      <w:r>
        <w:rPr>
          <w:rFonts w:eastAsia="Times New Roman" w:cs="Times New Roman"/>
          <w:sz w:val="28"/>
        </w:rPr>
        <w:t>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 mamlakatlar o‘rtasida taqqoslanadigan 40 dan ortiq moliyaviy barqarorlik ko‘rsatkichlari va ularni hisoblash metodikasi ishlab chiqilgan (Xalqaro valyuta jamg‘armasi); kredit zararlarini yuzaga kelgandan keyin emas, balki kutilayotgan zararlar asosida uch bosqichli model bo‘yicha tan olish tamoyili joriy etilgan (Xalqaro buxgalteriya standartlari kengashi); 2023-yilgi bank inqirozlari tahlili asosida likvidlik me’yorlari va foiz riskini baholashni qayta ko‘rib chiqish zarurligi asoslangan (Bazel qo‘mitasi); yirik moliya institutlarini nazorat reytinglari tizimi va stress-testlar asosidagi kapital buferi talablari qayta ishlab chiqilgan (AQSh Federal rezerv tizimi); tizimli ahamiyatga ega banklar uchun milliy qisqa muddatli likvidlik me’yori va antitsiklik kapital buferi joriy etilgan (Rossiya Markaziy banki); tizimli bank inqirozlarining davomiyligi, fiskal xarajatlari va iqtisodiy yo‘qotishlari bo‘yicha xalqaro ma’lumotlar bazasi yaratilgan (Xalqaro valyuta jamg‘armasi); muammoli kreditlarni hisobdan chiqarish ularning rasmiy ulushini kamaytirsa-da, kredit riskini bartaraf etmasligi isbotlangan (Xitoy banklari misolida); O‘zbekiston bank tizimida muammoli kreditlarning to‘liq tan olinmasligi va davlat banklarida kapitalga qo‘shimcha ehtiyoj mavjudligi aniqlangan (Xalqaro valyuta jamg‘armasi va Jahon banki).</w:t>
      </w:r>
    </w:p>
    <w:p>
      <w:pPr>
        <w:pStyle w:val="BodyText"/>
        <w:spacing w:lineRule="auto" w:line="360" w:before="0" w:after="0"/>
        <w:ind w:firstLine="709"/>
        <w:jc w:val="both"/>
        <w:rPr/>
      </w:pPr>
      <w:r>
        <w:rPr>
          <w:rFonts w:eastAsia="Times New Roman" w:cs="Times New Roman"/>
          <w:sz w:val="28"/>
        </w:rP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Rule="auto" w:line="360" w:before="0" w:after="0"/>
        <w:ind w:firstLine="709"/>
        <w:jc w:val="both"/>
        <w:rPr/>
      </w:pPr>
      <w:r>
        <w:rPr>
          <w:rFonts w:eastAsia="Times New Roman" w:cs="Times New Roman"/>
          <w:b/>
          <w:bCs/>
          <w:sz w:val="28"/>
        </w:rPr>
        <w:t>Muammoning o‘rganilganlik darajasi.</w:t>
      </w:r>
      <w:r>
        <w:rPr>
          <w:rFonts w:eastAsia="Times New Roman" w:cs="Times New Roman"/>
          <w:sz w:val="28"/>
        </w:rP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p>
    <w:p>
      <w:pPr>
        <w:pStyle w:val="BodyText"/>
        <w:spacing w:lineRule="auto" w:line="360" w:before="0" w:after="0"/>
        <w:ind w:firstLine="709"/>
        <w:jc w:val="both"/>
        <w:rPr/>
      </w:pPr>
      <w:r>
        <w:rPr>
          <w:rFonts w:eastAsia="Times New Roman" w:cs="Times New Roman"/>
          <w:sz w:val="28"/>
        </w:rPr>
        <w:t>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p>
    <w:p>
      <w:pPr>
        <w:pStyle w:val="BodyText"/>
        <w:spacing w:lineRule="auto" w:line="360" w:before="0" w:after="0"/>
        <w:ind w:firstLine="709"/>
        <w:jc w:val="both"/>
        <w:rPr/>
      </w:pPr>
      <w:r>
        <w:rPr>
          <w:rFonts w:eastAsia="Times New Roman" w:cs="Times New Roman"/>
          <w:sz w:val="28"/>
        </w:rP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Rule="auto" w:line="360" w:before="0" w:after="0"/>
        <w:ind w:firstLine="709"/>
        <w:jc w:val="both"/>
        <w:rPr/>
      </w:pPr>
      <w:r>
        <w:rPr>
          <w:rFonts w:eastAsia="Times New Roman" w:cs="Times New Roman"/>
          <w:sz w:val="28"/>
        </w:rP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Rule="auto" w:line="360" w:before="0" w:after="0"/>
        <w:ind w:firstLine="709"/>
        <w:jc w:val="both"/>
        <w:rPr/>
      </w:pPr>
      <w:r>
        <w:rPr>
          <w:rFonts w:eastAsia="Times New Roman" w:cs="Times New Roman"/>
          <w:b/>
          <w:bCs/>
          <w:sz w:val="28"/>
        </w:rPr>
        <w:t>Dissertatsiya tadqiqotining dissertatsiya bajarilgan oliy ta’lim muassasasining ilmiy-tadqiqot ishlari rejalari bilan bog‘liqligi.</w:t>
      </w:r>
      <w:r>
        <w:rPr>
          <w:rFonts w:eastAsia="Times New Roman" w:cs="Times New Roman"/>
          <w:sz w:val="28"/>
        </w:rPr>
        <w:t xml:space="preserve"> Dissertatsiya tadqiqoti [oliy ta’lim muassasasi nomi] ilmiy-tadqiqot ishlari rejasiga muvofiq «[ilmiy-tadqiqot mavzusi nomi]» mavzusi doirasida bajarilgan.</w:t>
      </w:r>
    </w:p>
    <w:p>
      <w:pPr>
        <w:pStyle w:val="BodyText"/>
        <w:spacing w:lineRule="auto" w:line="360" w:before="0" w:after="0"/>
        <w:ind w:firstLine="709"/>
        <w:jc w:val="both"/>
        <w:rPr/>
      </w:pPr>
      <w:r>
        <w:rPr>
          <w:rFonts w:eastAsia="Times New Roman" w:cs="Times New Roman"/>
          <w:b/>
          <w:bCs/>
          <w:sz w:val="28"/>
        </w:rPr>
        <w:t>Tadqiqotning maqsadi</w:t>
      </w:r>
      <w:r>
        <w:rPr>
          <w:rFonts w:eastAsia="Times New Roman" w:cs="Times New Roman"/>
          <w:sz w:val="28"/>
        </w:rPr>
        <w:t xml:space="preserve"> tijorat banklari moliyaviy barqarorligini xalqaro standartlar asosida baholash metodologiyasini takomillashtirishga qaratilgan ilmiy taklif va amaliy tavsiyalar ishlab chiqishdan iborat.</w:t>
      </w:r>
    </w:p>
    <w:p>
      <w:pPr>
        <w:pStyle w:val="BodyText"/>
        <w:spacing w:lineRule="auto" w:line="360" w:before="0" w:after="0"/>
        <w:ind w:firstLine="709"/>
        <w:jc w:val="both"/>
        <w:rPr/>
      </w:pPr>
      <w:r>
        <w:rPr>
          <w:rFonts w:eastAsia="Times New Roman" w:cs="Times New Roman"/>
          <w:b/>
          <w:bCs/>
          <w:sz w:val="28"/>
        </w:rPr>
        <w:t>Tadqiqotning vazifalari:</w:t>
      </w:r>
    </w:p>
    <w:p>
      <w:pPr>
        <w:pStyle w:val="BodyText"/>
        <w:spacing w:lineRule="auto" w:line="360" w:before="0" w:after="0"/>
        <w:ind w:firstLine="709"/>
        <w:jc w:val="both"/>
        <w:rPr/>
      </w:pPr>
      <w:r>
        <w:rPr>
          <w:rFonts w:eastAsia="Times New Roman" w:cs="Times New Roman"/>
          <w:sz w:val="28"/>
        </w:rPr>
        <w:t>tijorat banklari moliyaviy barqarorligining iqtisodiy mazmuni, konseptual modellari va unga oid ilmiy qarashlarni tadqiq etish hamda mualliflik ta’rifini shakllantirish;</w:t>
      </w:r>
    </w:p>
    <w:p>
      <w:pPr>
        <w:pStyle w:val="BodyText"/>
        <w:spacing w:lineRule="auto" w:line="360" w:before="0" w:after="0"/>
        <w:ind w:firstLine="709"/>
        <w:jc w:val="both"/>
        <w:rPr/>
      </w:pPr>
      <w:r>
        <w:rPr>
          <w:rFonts w:eastAsia="Times New Roman" w:cs="Times New Roman"/>
          <w:sz w:val="28"/>
        </w:rPr>
        <w:t>moliyaviy barqarorlikni baholashning nazariy asoslari va metodologik yondashuvlarini tasniflash;</w:t>
      </w:r>
    </w:p>
    <w:p>
      <w:pPr>
        <w:pStyle w:val="BodyText"/>
        <w:spacing w:lineRule="auto" w:line="360" w:before="0" w:after="0"/>
        <w:ind w:firstLine="709"/>
        <w:jc w:val="both"/>
        <w:rPr/>
      </w:pPr>
      <w:r>
        <w:rPr>
          <w:rFonts w:eastAsia="Times New Roman" w:cs="Times New Roman"/>
          <w:sz w:val="28"/>
        </w:rPr>
        <w:t>Bazel III, MHXS 9 va Xalqaro valyuta jamg‘armasining moliyaviy barqarorlik ko‘rsatkichlarini qiyosiy tavsiflash hamda xorijiy mamlakatlar tajribasini umumlashtirish;</w:t>
      </w:r>
    </w:p>
    <w:p>
      <w:pPr>
        <w:pStyle w:val="BodyText"/>
        <w:spacing w:lineRule="auto" w:line="360" w:before="0" w:after="0"/>
        <w:ind w:firstLine="709"/>
        <w:jc w:val="both"/>
        <w:rPr/>
      </w:pPr>
      <w:r>
        <w:rPr>
          <w:rFonts w:eastAsia="Times New Roman" w:cs="Times New Roman"/>
          <w:sz w:val="28"/>
        </w:rPr>
        <w:t>O‘zbekistonda banklar moliyaviy barqarorligini baholashning amaldagi holatini va milliy me’yorlarning xalqaro standartlardan chetlanishlarini aniqlash;</w:t>
      </w:r>
    </w:p>
    <w:p>
      <w:pPr>
        <w:pStyle w:val="BodyText"/>
        <w:spacing w:lineRule="auto" w:line="360" w:before="0" w:after="0"/>
        <w:ind w:firstLine="709"/>
        <w:jc w:val="both"/>
        <w:rPr/>
      </w:pPr>
      <w:r>
        <w:rPr>
          <w:rFonts w:eastAsia="Times New Roman" w:cs="Times New Roman"/>
          <w:sz w:val="28"/>
        </w:rPr>
        <w:t>O‘zbekiston bank tizimi va alohida tijorat banklarida moliyaviy barqarorlik ko‘rsatkichlari dinamikasini xalqaro standartlar mezonlari bo‘yicha tahlil qilish;</w:t>
      </w:r>
    </w:p>
    <w:p>
      <w:pPr>
        <w:pStyle w:val="BodyText"/>
        <w:spacing w:lineRule="auto" w:line="360" w:before="0" w:after="0"/>
        <w:ind w:firstLine="709"/>
        <w:jc w:val="both"/>
        <w:rPr/>
      </w:pPr>
      <w:r>
        <w:rPr>
          <w:rFonts w:eastAsia="Times New Roman" w:cs="Times New Roman"/>
          <w:sz w:val="28"/>
        </w:rPr>
        <w:t>tijorat banklari moliyaviy ko‘rsatkichlarini milliy va MHXS hisobotlari bo‘yicha qiyosiy tahlil qilish;</w:t>
      </w:r>
    </w:p>
    <w:p>
      <w:pPr>
        <w:pStyle w:val="BodyText"/>
        <w:spacing w:lineRule="auto" w:line="360" w:before="0" w:after="0"/>
        <w:ind w:firstLine="709"/>
        <w:jc w:val="both"/>
        <w:rPr/>
      </w:pPr>
      <w:r>
        <w:rPr>
          <w:rFonts w:eastAsia="Times New Roman" w:cs="Times New Roman"/>
          <w:sz w:val="28"/>
        </w:rPr>
        <w:t>xalqaro standartlarga asoslangan moliyaviy barqarorlik integral indeksini ishlab chiqish va unga ta’sir etuvchi omillarni ekonometrik baholash;</w:t>
      </w:r>
    </w:p>
    <w:p>
      <w:pPr>
        <w:pStyle w:val="BodyText"/>
        <w:spacing w:lineRule="auto" w:line="360" w:before="0" w:after="0"/>
        <w:ind w:firstLine="709"/>
        <w:jc w:val="both"/>
        <w:rPr/>
      </w:pPr>
      <w:r>
        <w:rPr>
          <w:rFonts w:eastAsia="Times New Roman" w:cs="Times New Roman"/>
          <w:sz w:val="28"/>
        </w:rPr>
        <w:t>moliyaviy barqarorlikni erta ogohlantirish tizimini shakllantirish va uni o‘rta muddatli istiqbolda prognozlash;</w:t>
      </w:r>
    </w:p>
    <w:p>
      <w:pPr>
        <w:pStyle w:val="BodyText"/>
        <w:spacing w:lineRule="auto" w:line="360" w:before="0" w:after="0"/>
        <w:ind w:firstLine="709"/>
        <w:jc w:val="both"/>
        <w:rPr/>
      </w:pPr>
      <w:r>
        <w:rPr>
          <w:rFonts w:eastAsia="Times New Roman" w:cs="Times New Roman"/>
          <w:sz w:val="28"/>
        </w:rPr>
        <w:t>tijorat banklari moliyaviy barqarorligini baholash amaliyotini xalqaro standartlarga muvofiqlashtirish bo‘yicha taklif va tavsiyalar ishlab chiqish.</w:t>
      </w:r>
    </w:p>
    <w:p>
      <w:pPr>
        <w:pStyle w:val="BodyText"/>
        <w:spacing w:lineRule="auto" w:line="360" w:before="0" w:after="0"/>
        <w:ind w:firstLine="709"/>
        <w:jc w:val="both"/>
        <w:rPr/>
      </w:pPr>
      <w:r>
        <w:rPr>
          <w:rFonts w:eastAsia="Times New Roman" w:cs="Times New Roman"/>
          <w:b/>
          <w:bCs/>
          <w:sz w:val="28"/>
        </w:rPr>
        <w:t>Tadqiqotning obyekti</w:t>
      </w:r>
      <w:r>
        <w:rPr>
          <w:rFonts w:eastAsia="Times New Roman" w:cs="Times New Roman"/>
          <w:sz w:val="28"/>
        </w:rPr>
        <w:t xml:space="preserve"> sifatida O‘zbekiston Respublikasi tijorat banklari, jumladan, «O‘zsanoatqurilishbank» ATB va «Mikrokreditbank» ATB faoliyati tanlangan.</w:t>
      </w:r>
    </w:p>
    <w:p>
      <w:pPr>
        <w:pStyle w:val="BodyText"/>
        <w:spacing w:lineRule="auto" w:line="360" w:before="0" w:after="0"/>
        <w:ind w:firstLine="709"/>
        <w:jc w:val="both"/>
        <w:rPr/>
      </w:pPr>
      <w:r>
        <w:rPr>
          <w:rFonts w:eastAsia="Times New Roman" w:cs="Times New Roman"/>
          <w:b/>
          <w:bCs/>
          <w:sz w:val="28"/>
        </w:rPr>
        <w:t>Tadqiqotning predmeti</w:t>
      </w:r>
      <w:r>
        <w:rPr>
          <w:rFonts w:eastAsia="Times New Roman" w:cs="Times New Roman"/>
          <w:sz w:val="28"/>
        </w:rPr>
        <w:t xml:space="preserve"> tijorat banklari moliyaviy barqarorligini xalqaro standartlar asosida baholash jarayonida yuzaga keladigan iqtisodiy munosabatlar majmuidan iborat.</w:t>
      </w:r>
    </w:p>
    <w:p>
      <w:pPr>
        <w:pStyle w:val="BodyText"/>
        <w:spacing w:lineRule="auto" w:line="360" w:before="0" w:after="0"/>
        <w:ind w:firstLine="709"/>
        <w:jc w:val="both"/>
        <w:rPr/>
      </w:pPr>
      <w:r>
        <w:rPr>
          <w:rFonts w:eastAsia="Times New Roman" w:cs="Times New Roman"/>
          <w:b/>
          <w:bCs/>
          <w:sz w:val="28"/>
        </w:rPr>
        <w:t>Tadqiqotning usullari.</w:t>
      </w:r>
      <w:r>
        <w:rPr>
          <w:rFonts w:eastAsia="Times New Roman" w:cs="Times New Roman"/>
          <w:sz w:val="28"/>
        </w:rPr>
        <w:t xml:space="preserve"> 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Rule="auto" w:line="360" w:before="0" w:after="0"/>
        <w:ind w:firstLine="709"/>
        <w:jc w:val="both"/>
        <w:rPr/>
      </w:pPr>
      <w:r>
        <w:rPr>
          <w:rFonts w:eastAsia="Times New Roman" w:cs="Times New Roman"/>
          <w:b/>
          <w:bCs/>
          <w:sz w:val="28"/>
        </w:rPr>
        <w:t>Tadqiqotning ilmiy yangiligi quyidagilardan iborat:</w:t>
      </w:r>
    </w:p>
    <w:p>
      <w:pPr>
        <w:pStyle w:val="BodyText"/>
        <w:spacing w:lineRule="auto" w:line="360" w:before="0" w:after="0"/>
        <w:ind w:firstLine="709"/>
        <w:jc w:val="both"/>
        <w:rPr/>
      </w:pPr>
      <w:r>
        <w:rPr>
          <w:rFonts w:eastAsia="Times New Roman" w:cs="Times New Roman"/>
          <w:sz w:val="28"/>
        </w:rPr>
        <w:t>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Rule="auto" w:line="360" w:before="0" w:after="0"/>
        <w:ind w:firstLine="709"/>
        <w:jc w:val="both"/>
        <w:rPr/>
      </w:pPr>
      <w:r>
        <w:rPr>
          <w:rFonts w:eastAsia="Times New Roman" w:cs="Times New Roman"/>
          <w:sz w:val="28"/>
        </w:rP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Rule="auto" w:line="360" w:before="0" w:after="0"/>
        <w:ind w:firstLine="709"/>
        <w:jc w:val="both"/>
        <w:rPr/>
      </w:pPr>
      <w:r>
        <w:rPr>
          <w:rFonts w:eastAsia="Times New Roman" w:cs="Times New Roman"/>
          <w:sz w:val="28"/>
        </w:rPr>
        <w:t>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Rule="auto" w:line="360" w:before="0" w:after="0"/>
        <w:ind w:firstLine="709"/>
        <w:jc w:val="both"/>
        <w:rPr/>
      </w:pPr>
      <w:r>
        <w:rPr>
          <w:rFonts w:eastAsia="Times New Roman" w:cs="Times New Roman"/>
          <w:sz w:val="28"/>
        </w:rPr>
        <w:t>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Rule="auto" w:line="360" w:before="0" w:after="0"/>
        <w:ind w:firstLine="709"/>
        <w:jc w:val="both"/>
        <w:rPr/>
      </w:pPr>
      <w:r>
        <w:rPr>
          <w:rFonts w:eastAsia="Times New Roman" w:cs="Times New Roman"/>
          <w:sz w:val="28"/>
        </w:rPr>
        <w:t>[4-bob natijalari bo‘yicha: erta ogohlantirish tizimi yoki prognoz modeli bo‘yicha ilmiy yangilik].</w:t>
      </w:r>
    </w:p>
    <w:p>
      <w:pPr>
        <w:pStyle w:val="BodyText"/>
        <w:spacing w:lineRule="auto" w:line="360" w:before="0" w:after="0"/>
        <w:ind w:firstLine="709"/>
        <w:jc w:val="both"/>
        <w:rPr/>
      </w:pPr>
      <w:r>
        <w:rPr>
          <w:rFonts w:eastAsia="Times New Roman" w:cs="Times New Roman"/>
          <w:b/>
          <w:bCs/>
          <w:sz w:val="28"/>
        </w:rPr>
        <w:t>Tadqiqotning amaliy natijalari quyidagilardan iborat:</w:t>
      </w:r>
    </w:p>
    <w:p>
      <w:pPr>
        <w:pStyle w:val="BodyText"/>
        <w:spacing w:lineRule="auto" w:line="360" w:before="0" w:after="0"/>
        <w:ind w:firstLine="709"/>
        <w:jc w:val="both"/>
        <w:rPr/>
      </w:pPr>
      <w:r>
        <w:rPr>
          <w:rFonts w:eastAsia="Times New Roman" w:cs="Times New Roman"/>
          <w:sz w:val="28"/>
        </w:rPr>
        <w:t>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Rule="auto" w:line="360" w:before="0" w:after="0"/>
        <w:ind w:firstLine="709"/>
        <w:jc w:val="both"/>
        <w:rPr/>
      </w:pPr>
      <w:r>
        <w:rPr>
          <w:rFonts w:eastAsia="Times New Roman" w:cs="Times New Roman"/>
          <w:sz w:val="28"/>
        </w:rP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Rule="auto" w:line="360" w:before="0" w:after="0"/>
        <w:ind w:firstLine="709"/>
        <w:jc w:val="both"/>
        <w:rPr/>
      </w:pPr>
      <w:r>
        <w:rPr>
          <w:rFonts w:eastAsia="Times New Roman" w:cs="Times New Roman"/>
          <w:sz w:val="28"/>
        </w:rPr>
        <w:t>«O‘zsanoatqurilishbank» ATB va «Mikrokreditbank» ATB misolida MHXS 9 bo‘yicha qadrsizlangan kreditlar ulushi 2021–2025-yillarda rasmiy muammoli kreditlar ulushidan mos ravishda 1,6–3,0 va 2,8–3,3 barobar yuqori bo‘lgani aniqlangan;</w:t>
      </w:r>
    </w:p>
    <w:p>
      <w:pPr>
        <w:pStyle w:val="BodyText"/>
        <w:spacing w:lineRule="auto" w:line="360" w:before="0" w:after="0"/>
        <w:ind w:firstLine="709"/>
        <w:jc w:val="both"/>
        <w:rPr/>
      </w:pPr>
      <w:r>
        <w:rPr>
          <w:rFonts w:eastAsia="Times New Roman" w:cs="Times New Roman"/>
          <w:sz w:val="28"/>
        </w:rPr>
        <w:t>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Rule="auto" w:line="360" w:before="0" w:after="0"/>
        <w:ind w:firstLine="709"/>
        <w:jc w:val="both"/>
        <w:rPr/>
      </w:pPr>
      <w:r>
        <w:rPr>
          <w:rFonts w:eastAsia="Times New Roman" w:cs="Times New Roman"/>
          <w:sz w:val="28"/>
        </w:rPr>
        <w:t>likvidlik me’yorlari va ularning tarkibiy qismlarini Bazel III ning uchinchi ustuni talablariga muvofiq oshkor qilish tartibi taklif etilgan;</w:t>
      </w:r>
    </w:p>
    <w:p>
      <w:pPr>
        <w:pStyle w:val="BodyText"/>
        <w:spacing w:lineRule="auto" w:line="360" w:before="0" w:after="0"/>
        <w:ind w:firstLine="709"/>
        <w:jc w:val="both"/>
        <w:rPr/>
      </w:pPr>
      <w:r>
        <w:rPr>
          <w:rFonts w:eastAsia="Times New Roman" w:cs="Times New Roman"/>
          <w:sz w:val="28"/>
        </w:rPr>
        <w:t>[3–4-boblar natijalari bo‘yicha: integral indeks asosida banklar reytingi, erta ogohlantirish tizimi va 2026–2028-yillarga prognoz natijalari].</w:t>
      </w:r>
    </w:p>
    <w:p>
      <w:pPr>
        <w:pStyle w:val="BodyText"/>
        <w:spacing w:lineRule="auto" w:line="360" w:before="0" w:after="0"/>
        <w:ind w:firstLine="709"/>
        <w:jc w:val="both"/>
        <w:rPr/>
      </w:pPr>
      <w:r>
        <w:rPr>
          <w:rFonts w:eastAsia="Times New Roman" w:cs="Times New Roman"/>
          <w:b/>
          <w:bCs/>
          <w:sz w:val="28"/>
        </w:rPr>
        <w:t>Tadqiqot natijalarining ishonchliligi</w:t>
      </w:r>
      <w:r>
        <w:rPr>
          <w:rFonts w:eastAsia="Times New Roman" w:cs="Times New Roman"/>
          <w:sz w:val="28"/>
        </w:rP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Rule="auto" w:line="360" w:before="0" w:after="0"/>
        <w:ind w:firstLine="709"/>
        <w:jc w:val="both"/>
        <w:rPr/>
      </w:pPr>
      <w:r>
        <w:rPr>
          <w:rFonts w:eastAsia="Times New Roman" w:cs="Times New Roman"/>
          <w:b/>
          <w:bCs/>
          <w:sz w:val="28"/>
        </w:rPr>
        <w:t>Tadqiqot natijalarining ilmiy va amaliy ahamiyati.</w:t>
      </w:r>
      <w:r>
        <w:rPr>
          <w:rFonts w:eastAsia="Times New Roman" w:cs="Times New Roman"/>
          <w:sz w:val="28"/>
        </w:rP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Rule="auto" w:line="360" w:before="0" w:after="0"/>
        <w:ind w:firstLine="709"/>
        <w:jc w:val="both"/>
        <w:rPr/>
      </w:pPr>
      <w:r>
        <w:rPr>
          <w:rFonts w:eastAsia="Times New Roman" w:cs="Times New Roman"/>
          <w:sz w:val="28"/>
        </w:rP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Rule="auto" w:line="360" w:before="0" w:after="0"/>
        <w:ind w:firstLine="709"/>
        <w:jc w:val="both"/>
        <w:rPr/>
      </w:pPr>
      <w:r>
        <w:rPr>
          <w:rFonts w:eastAsia="Times New Roman" w:cs="Times New Roman"/>
          <w:b/>
          <w:bCs/>
          <w:sz w:val="28"/>
        </w:rPr>
        <w:t>Tadqiqot natijalarining joriy qilinishi.</w:t>
      </w:r>
      <w:r>
        <w:rPr>
          <w:rFonts w:eastAsia="Times New Roman" w:cs="Times New Roman"/>
          <w:sz w:val="28"/>
        </w:rPr>
        <w:t xml:space="preserve"> Tijorat banklari moliyaviy barqarorligini xalqaro standartlar asosida baholash metodologiyasini takomillashtirish bo‘yicha olingan ilmiy natijalar asosida:</w:t>
      </w:r>
    </w:p>
    <w:p>
      <w:pPr>
        <w:pStyle w:val="BodyText"/>
        <w:spacing w:lineRule="auto" w:line="360" w:before="0" w:after="0"/>
        <w:ind w:firstLine="709"/>
        <w:jc w:val="both"/>
        <w:rPr/>
      </w:pPr>
      <w:r>
        <w:rPr>
          <w:rFonts w:eastAsia="Times New Roman" w:cs="Times New Roman"/>
          <w:sz w:val="28"/>
        </w:rP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Rule="auto" w:line="360" w:before="0" w:after="0"/>
        <w:ind w:firstLine="709"/>
        <w:jc w:val="both"/>
        <w:rPr/>
      </w:pPr>
      <w:r>
        <w:rPr>
          <w:rFonts w:eastAsia="Times New Roman" w:cs="Times New Roman"/>
          <w:sz w:val="28"/>
        </w:rP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Rule="auto" w:line="360" w:before="0" w:after="0"/>
        <w:ind w:firstLine="709"/>
        <w:jc w:val="both"/>
        <w:rPr/>
      </w:pPr>
      <w:r>
        <w:rPr>
          <w:rFonts w:eastAsia="Times New Roman" w:cs="Times New Roman"/>
          <w:sz w:val="28"/>
        </w:rPr>
        <w:t>«yashirin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Rule="auto" w:line="360" w:before="0" w:after="0"/>
        <w:ind w:firstLine="709"/>
        <w:jc w:val="both"/>
        <w:rPr/>
      </w:pPr>
      <w:r>
        <w:rPr>
          <w:rFonts w:eastAsia="Times New Roman" w:cs="Times New Roman"/>
          <w:sz w:val="28"/>
        </w:rP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Rule="auto" w:line="360" w:before="0" w:after="0"/>
        <w:ind w:firstLine="709"/>
        <w:jc w:val="both"/>
        <w:rPr/>
      </w:pPr>
      <w:r>
        <w:rPr>
          <w:rFonts w:eastAsia="Times New Roman" w:cs="Times New Roman"/>
          <w:b/>
          <w:bCs/>
          <w:sz w:val="28"/>
        </w:rPr>
        <w:t>Tadqiqot natijalarining aprobatsiyasi.</w:t>
      </w:r>
      <w:r>
        <w:rPr>
          <w:rFonts w:eastAsia="Times New Roman" w:cs="Times New Roman"/>
          <w:sz w:val="28"/>
        </w:rPr>
        <w:t xml:space="preserve"> Tadqiqot natijalari [__] ta xalqaro va [__] ta respublika ilmiy-amaliy konferensiyalarida muhokamadan o‘tkazilgan.</w:t>
      </w:r>
    </w:p>
    <w:p>
      <w:pPr>
        <w:pStyle w:val="BodyText"/>
        <w:spacing w:lineRule="auto" w:line="360" w:before="0" w:after="0"/>
        <w:ind w:firstLine="709"/>
        <w:jc w:val="both"/>
        <w:rPr/>
      </w:pPr>
      <w:r>
        <w:rPr>
          <w:rFonts w:eastAsia="Times New Roman" w:cs="Times New Roman"/>
          <w:b/>
          <w:bCs/>
          <w:sz w:val="28"/>
        </w:rPr>
        <w:t>Tadqiqot natijalarining e’lon qilinganligi.</w:t>
      </w:r>
      <w:r>
        <w:rPr>
          <w:rFonts w:eastAsia="Times New Roman" w:cs="Times New Roman"/>
          <w:sz w:val="28"/>
        </w:rP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Rule="auto" w:line="360" w:before="0" w:after="0"/>
        <w:ind w:firstLine="709"/>
        <w:jc w:val="both"/>
        <w:rPr/>
      </w:pPr>
      <w:r>
        <w:rPr>
          <w:rFonts w:eastAsia="Times New Roman" w:cs="Times New Roman"/>
          <w:b/>
          <w:bCs/>
          <w:sz w:val="28"/>
        </w:rPr>
        <w:t>Dissertatsiyaning tuzilishi va hajmi.</w:t>
      </w:r>
      <w:r>
        <w:rPr>
          <w:rFonts w:eastAsia="Times New Roman" w:cs="Times New Roman"/>
          <w:sz w:val="28"/>
        </w:rPr>
        <w:t xml:space="preserve"> Dissertatsiya tarkibi kirish, to‘rtta bob, xulosa, foydalanilgan adabiyotlar ro‘yxati va ilovalardan iborat. Dissertatsiyaning hajmi [__] betni tashkil etgan.</w:t>
      </w:r>
      <w:bookmarkEnd w:id="1"/>
    </w:p>
    <w:p>
      <w:pPr>
        <w:pStyle w:val="Normal"/>
        <w:rPr/>
      </w:pPr>
      <w:r>
        <w:rPr/>
      </w:r>
      <w:r>
        <w:br w:type="page"/>
      </w:r>
    </w:p>
    <w:p>
      <w:pPr>
        <w:pStyle w:val="Heading1"/>
        <w:jc w:val="center"/>
        <w:rPr/>
      </w:pPr>
      <w:bookmarkStart w:id="2" w:name="__RefHeading___Toc38184_2843893380"/>
      <w:bookmarkEnd w:id="2"/>
      <w:r>
        <w:rPr/>
        <w:t>I BOB. TIJORAT BANKLARI MOLIYAVIY BARQARORLIGINI BAHOLASHNING NAZARIY ASOSLARI VA XALQARO STANDARTLARI</w:t>
      </w:r>
    </w:p>
    <w:p>
      <w:pPr>
        <w:pStyle w:val="Normal"/>
        <w:rPr/>
      </w:pPr>
      <w:r>
        <w:rPr/>
      </w:r>
    </w:p>
    <w:p>
      <w:pPr>
        <w:pStyle w:val="Heading2"/>
        <w:keepNext w:val="true"/>
        <w:spacing w:lineRule="auto" w:line="360" w:before="240" w:after="120"/>
        <w:ind w:hanging="0"/>
        <w:jc w:val="center"/>
        <w:rPr/>
      </w:pPr>
      <w:bookmarkStart w:id="3" w:name="__RefHeading___Toc38186_2843893380"/>
      <w:bookmarkStart w:id="4" w:name="X3bc3af2dd64aa3d859b43cc63eba0df007461c7"/>
      <w:bookmarkEnd w:id="3"/>
      <w:r>
        <w:rPr>
          <w:rFonts w:eastAsia="Times New Roman" w:cs="Times New Roman" w:ascii="Times New Roman" w:hAnsi="Times New Roman"/>
          <w:b/>
          <w:i w:val="false"/>
          <w:sz w:val="28"/>
        </w:rPr>
        <w:t>1.1-§. Tijorat banklari moliyaviy barqarorligining iqtisodiy mazmuni va konseptual modellari</w:t>
      </w:r>
    </w:p>
    <w:p>
      <w:pPr>
        <w:pStyle w:val="FirstParagraph"/>
        <w:spacing w:lineRule="auto" w:line="360" w:before="0" w:after="0"/>
        <w:ind w:firstLine="709"/>
        <w:jc w:val="both"/>
        <w:rPr/>
      </w:pPr>
      <w:r>
        <w:rPr>
          <w:rFonts w:eastAsia="Times New Roman" w:cs="Times New Roman"/>
          <w:sz w:val="28"/>
        </w:rP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Rule="auto" w:line="360" w:before="0" w:after="0"/>
        <w:ind w:firstLine="709"/>
        <w:jc w:val="both"/>
        <w:rPr/>
      </w:pPr>
      <w:r>
        <w:rPr>
          <w:rFonts w:eastAsia="Times New Roman" w:cs="Times New Roman"/>
          <w:sz w:val="28"/>
        </w:rP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Rule="auto" w:line="360" w:before="0" w:after="0"/>
        <w:ind w:firstLine="709"/>
        <w:jc w:val="both"/>
        <w:rPr/>
      </w:pPr>
      <w:r>
        <w:rPr>
          <w:rFonts w:eastAsia="Times New Roman" w:cs="Times New Roman"/>
          <w:sz w:val="28"/>
        </w:rPr>
        <w:t>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 O.I. Lavrushin tahriridagi boshqa monografiyada bu qatorga yana ikki tushuncha – «ishonchlilik» va «muvozanat» qo‘shiladi va ularning har biri barqarorlikning alohida jihatini aks ettirishi ta’kidlanadi. Ushbu tushunchalar o‘rtasidagi bog‘liqlik 1.1.1-rasmda umumlashtirildi.</w:t>
      </w:r>
    </w:p>
    <w:p>
      <w:pPr>
        <w:pStyle w:val="BodyText"/>
        <w:keepNext w:val="true"/>
        <w:spacing w:lineRule="auto" w:line="240" w:before="0" w:after="0"/>
        <w:ind w:hanging="0"/>
        <w:jc w:val="center"/>
        <w:rPr/>
      </w:pPr>
      <w:r>
        <w:rPr/>
        <mc:AlternateContent>
          <mc:Choice Requires="wpg">
            <w:drawing>
              <wp:inline distT="0" distB="0" distL="0" distR="0">
                <wp:extent cx="5904230" cy="2286000"/>
                <wp:effectExtent l="0" t="0" r="0" b="0"/>
                <wp:docPr id="1" name="1.1.1-rasm"/>
                <a:graphic xmlns:a="http://schemas.openxmlformats.org/drawingml/2006/main">
                  <a:graphicData uri="http://schemas.microsoft.com/office/word/2010/wordprocessingGroup">
                    <wpg:wgp>
                      <wpg:cNvGrpSpPr/>
                      <wpg:grpSpPr>
                        <a:xfrm>
                          <a:off x="0" y="0"/>
                          <a:ext cx="5904360" cy="2286000"/>
                          <a:chOff x="0" y="0"/>
                          <a:chExt cx="5904360" cy="2286000"/>
                        </a:xfrm>
                      </wpg:grpSpPr>
                      <wps:wsp>
                        <wps:cNvPr id="2" name="Shape 2"/>
                        <wps:cNvSpPr/>
                        <wps:spPr>
                          <a:xfrm>
                            <a:off x="0" y="0"/>
                            <a:ext cx="1407240" cy="29988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Stabillik</w:t>
                              </w:r>
                            </w:p>
                            <w:p>
                              <w:pPr>
                                <w:pStyle w:val="FrameContents"/>
                                <w:spacing w:before="0" w:after="200"/>
                                <w:rPr/>
                              </w:pPr>
                              <w:r>
                                <w:rPr/>
                              </w:r>
                            </w:p>
                          </w:txbxContent>
                        </wps:txbx>
                        <wps:bodyPr lIns="36360" rIns="36360" tIns="17640" bIns="17640" anchor="ctr">
                          <a:noAutofit/>
                        </wps:bodyPr>
                      </wps:wsp>
                      <wps:wsp>
                        <wps:cNvPr id="3" name="Shape 3"/>
                        <wps:cNvSpPr/>
                        <wps:spPr>
                          <a:xfrm>
                            <a:off x="0" y="337320"/>
                            <a:ext cx="1407240" cy="71172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holatning saqlanishi;</w:t>
                              </w:r>
                            </w:p>
                            <w:p>
                              <w:pPr>
                                <w:pStyle w:val="Normal"/>
                                <w:spacing w:lineRule="auto" w:line="228" w:before="0" w:after="0"/>
                                <w:ind w:hanging="0"/>
                                <w:jc w:val="center"/>
                                <w:rPr/>
                              </w:pPr>
                              <w:r>
                                <w:rPr>
                                  <w:rFonts w:cs="Times New Roman"/>
                                  <w:color w:val="000000"/>
                                  <w:sz w:val="19"/>
                                  <w:szCs w:val="19"/>
                                </w:rPr>
                                <w:t>barqarorlik sharti</w:t>
                              </w:r>
                            </w:p>
                            <w:p>
                              <w:pPr>
                                <w:pStyle w:val="FrameContents"/>
                                <w:spacing w:before="0" w:after="200"/>
                                <w:rPr/>
                              </w:pPr>
                              <w:r>
                                <w:rPr/>
                              </w:r>
                            </w:p>
                          </w:txbxContent>
                        </wps:txbx>
                        <wps:bodyPr lIns="36360" rIns="36360" tIns="17640" bIns="17640" anchor="ctr">
                          <a:noAutofit/>
                        </wps:bodyPr>
                      </wps:wsp>
                      <wps:wsp>
                        <wps:cNvPr id="4" name="Connector 4"/>
                        <wps:cNvSpPr/>
                        <wps:spPr>
                          <a:xfrm>
                            <a:off x="703440" y="1049760"/>
                            <a:ext cx="2257560" cy="26172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5" name="Shape 5"/>
                        <wps:cNvSpPr/>
                        <wps:spPr>
                          <a:xfrm>
                            <a:off x="1498680" y="0"/>
                            <a:ext cx="1407240" cy="2998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Ishonchlilik</w:t>
                              </w:r>
                            </w:p>
                            <w:p>
                              <w:pPr>
                                <w:pStyle w:val="FrameContents"/>
                                <w:spacing w:before="0" w:after="200"/>
                                <w:rPr/>
                              </w:pPr>
                              <w:r>
                                <w:rPr/>
                              </w:r>
                            </w:p>
                          </w:txbxContent>
                        </wps:txbx>
                        <wps:bodyPr lIns="36360" rIns="36360" tIns="17640" bIns="17640" anchor="ctr">
                          <a:noAutofit/>
                        </wps:bodyPr>
                      </wps:wsp>
                      <wps:wsp>
                        <wps:cNvPr id="6" name="Shape 6"/>
                        <wps:cNvSpPr/>
                        <wps:spPr>
                          <a:xfrm>
                            <a:off x="1498680" y="337320"/>
                            <a:ext cx="1407240" cy="7117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majburiyatlarning</w:t>
                              </w:r>
                            </w:p>
                            <w:p>
                              <w:pPr>
                                <w:pStyle w:val="Normal"/>
                                <w:spacing w:lineRule="auto" w:line="228" w:before="0" w:after="0"/>
                                <w:ind w:hanging="0"/>
                                <w:jc w:val="center"/>
                                <w:rPr/>
                              </w:pPr>
                              <w:r>
                                <w:rPr>
                                  <w:rFonts w:cs="Times New Roman"/>
                                  <w:color w:val="000000"/>
                                  <w:sz w:val="19"/>
                                  <w:szCs w:val="19"/>
                                </w:rPr>
                                <w:t>o‘z vaqtida</w:t>
                              </w:r>
                            </w:p>
                            <w:p>
                              <w:pPr>
                                <w:pStyle w:val="Normal"/>
                                <w:spacing w:lineRule="auto" w:line="228" w:before="0" w:after="0"/>
                                <w:ind w:hanging="0"/>
                                <w:jc w:val="center"/>
                                <w:rPr/>
                              </w:pPr>
                              <w:r>
                                <w:rPr>
                                  <w:rFonts w:cs="Times New Roman"/>
                                  <w:color w:val="000000"/>
                                  <w:sz w:val="19"/>
                                  <w:szCs w:val="19"/>
                                </w:rPr>
                                <w:t>bajarilishi</w:t>
                              </w:r>
                            </w:p>
                            <w:p>
                              <w:pPr>
                                <w:pStyle w:val="FrameContents"/>
                                <w:spacing w:before="0" w:after="200"/>
                                <w:rPr/>
                              </w:pPr>
                              <w:r>
                                <w:rPr/>
                              </w:r>
                            </w:p>
                          </w:txbxContent>
                        </wps:txbx>
                        <wps:bodyPr lIns="36360" rIns="36360" tIns="17640" bIns="17640" anchor="ctr">
                          <a:noAutofit/>
                        </wps:bodyPr>
                      </wps:wsp>
                      <wps:wsp>
                        <wps:cNvPr id="7" name="Connector 7"/>
                        <wps:cNvSpPr/>
                        <wps:spPr>
                          <a:xfrm>
                            <a:off x="2202120" y="1049760"/>
                            <a:ext cx="758160" cy="26172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8" name="Shape 8"/>
                        <wps:cNvSpPr/>
                        <wps:spPr>
                          <a:xfrm>
                            <a:off x="2998440" y="0"/>
                            <a:ext cx="1407240" cy="29988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Muvozanat</w:t>
                              </w:r>
                            </w:p>
                            <w:p>
                              <w:pPr>
                                <w:pStyle w:val="FrameContents"/>
                                <w:spacing w:before="0" w:after="200"/>
                                <w:rPr/>
                              </w:pPr>
                              <w:r>
                                <w:rPr/>
                              </w:r>
                            </w:p>
                          </w:txbxContent>
                        </wps:txbx>
                        <wps:bodyPr lIns="36360" rIns="36360" tIns="17640" bIns="17640" anchor="ctr">
                          <a:noAutofit/>
                        </wps:bodyPr>
                      </wps:wsp>
                      <wps:wsp>
                        <wps:cNvPr id="9" name="Shape 9"/>
                        <wps:cNvSpPr/>
                        <wps:spPr>
                          <a:xfrm>
                            <a:off x="2998440" y="337320"/>
                            <a:ext cx="1407240" cy="71172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kapital, aktivlar,</w:t>
                              </w:r>
                            </w:p>
                            <w:p>
                              <w:pPr>
                                <w:pStyle w:val="Normal"/>
                                <w:spacing w:lineRule="auto" w:line="228" w:before="0" w:after="0"/>
                                <w:ind w:hanging="0"/>
                                <w:jc w:val="center"/>
                                <w:rPr/>
                              </w:pPr>
                              <w:r>
                                <w:rPr>
                                  <w:rFonts w:cs="Times New Roman"/>
                                  <w:color w:val="000000"/>
                                  <w:sz w:val="19"/>
                                  <w:szCs w:val="19"/>
                                </w:rPr>
                                <w:t>majburiyatlar va</w:t>
                              </w:r>
                            </w:p>
                            <w:p>
                              <w:pPr>
                                <w:pStyle w:val="Normal"/>
                                <w:spacing w:lineRule="auto" w:line="228" w:before="0" w:after="0"/>
                                <w:ind w:hanging="0"/>
                                <w:jc w:val="center"/>
                                <w:rPr/>
                              </w:pPr>
                              <w:r>
                                <w:rPr>
                                  <w:rFonts w:cs="Times New Roman"/>
                                  <w:color w:val="000000"/>
                                  <w:sz w:val="19"/>
                                  <w:szCs w:val="19"/>
                                </w:rPr>
                                <w:t>foydaning mutanosib</w:t>
                              </w:r>
                            </w:p>
                            <w:p>
                              <w:pPr>
                                <w:pStyle w:val="Normal"/>
                                <w:spacing w:lineRule="auto" w:line="228" w:before="0" w:after="0"/>
                                <w:ind w:hanging="0"/>
                                <w:jc w:val="center"/>
                                <w:rPr/>
                              </w:pPr>
                              <w:r>
                                <w:rPr>
                                  <w:rFonts w:cs="Times New Roman"/>
                                  <w:color w:val="000000"/>
                                  <w:sz w:val="19"/>
                                  <w:szCs w:val="19"/>
                                </w:rPr>
                                <w:t>o‘sishi</w:t>
                              </w:r>
                            </w:p>
                            <w:p>
                              <w:pPr>
                                <w:pStyle w:val="FrameContents"/>
                                <w:spacing w:before="0" w:after="200"/>
                                <w:rPr/>
                              </w:pPr>
                              <w:r>
                                <w:rPr/>
                              </w:r>
                            </w:p>
                          </w:txbxContent>
                        </wps:txbx>
                        <wps:bodyPr lIns="36360" rIns="36360" tIns="17640" bIns="17640" anchor="ctr">
                          <a:noAutofit/>
                        </wps:bodyPr>
                      </wps:wsp>
                      <wps:wsp>
                        <wps:cNvPr id="10" name="Connector 10"/>
                        <wps:cNvSpPr/>
                        <wps:spPr>
                          <a:xfrm flipH="1">
                            <a:off x="2961000" y="1049760"/>
                            <a:ext cx="739800" cy="26172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1" name="Shape 11"/>
                        <wps:cNvSpPr/>
                        <wps:spPr>
                          <a:xfrm>
                            <a:off x="4497120" y="0"/>
                            <a:ext cx="1407240" cy="29988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Rivojlanish</w:t>
                              </w:r>
                            </w:p>
                            <w:p>
                              <w:pPr>
                                <w:pStyle w:val="FrameContents"/>
                                <w:spacing w:before="0" w:after="200"/>
                                <w:rPr/>
                              </w:pPr>
                              <w:r>
                                <w:rPr/>
                              </w:r>
                            </w:p>
                          </w:txbxContent>
                        </wps:txbx>
                        <wps:bodyPr lIns="36360" rIns="36360" tIns="17640" bIns="17640" anchor="ctr">
                          <a:noAutofit/>
                        </wps:bodyPr>
                      </wps:wsp>
                      <wps:wsp>
                        <wps:cNvPr id="12" name="Shape 12"/>
                        <wps:cNvSpPr/>
                        <wps:spPr>
                          <a:xfrm>
                            <a:off x="4497120" y="337320"/>
                            <a:ext cx="1407240" cy="7117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resurslarni</w:t>
                              </w:r>
                            </w:p>
                            <w:p>
                              <w:pPr>
                                <w:pStyle w:val="Normal"/>
                                <w:spacing w:lineRule="auto" w:line="228" w:before="0" w:after="0"/>
                                <w:ind w:hanging="0"/>
                                <w:jc w:val="center"/>
                                <w:rPr/>
                              </w:pPr>
                              <w:r>
                                <w:rPr>
                                  <w:rFonts w:cs="Times New Roman"/>
                                  <w:color w:val="000000"/>
                                  <w:sz w:val="19"/>
                                  <w:szCs w:val="19"/>
                                </w:rPr>
                                <w:t>kengaytirilgan</w:t>
                              </w:r>
                            </w:p>
                            <w:p>
                              <w:pPr>
                                <w:pStyle w:val="Normal"/>
                                <w:spacing w:lineRule="auto" w:line="228" w:before="0" w:after="0"/>
                                <w:ind w:hanging="0"/>
                                <w:jc w:val="center"/>
                                <w:rPr/>
                              </w:pPr>
                              <w:r>
                                <w:rPr>
                                  <w:rFonts w:cs="Times New Roman"/>
                                  <w:color w:val="000000"/>
                                  <w:sz w:val="19"/>
                                  <w:szCs w:val="19"/>
                                </w:rPr>
                                <w:t>takror ishlab</w:t>
                              </w:r>
                            </w:p>
                            <w:p>
                              <w:pPr>
                                <w:pStyle w:val="Normal"/>
                                <w:spacing w:lineRule="auto" w:line="228" w:before="0" w:after="0"/>
                                <w:ind w:hanging="0"/>
                                <w:jc w:val="center"/>
                                <w:rPr/>
                              </w:pPr>
                              <w:r>
                                <w:rPr>
                                  <w:rFonts w:cs="Times New Roman"/>
                                  <w:color w:val="000000"/>
                                  <w:sz w:val="19"/>
                                  <w:szCs w:val="19"/>
                                </w:rPr>
                                <w:t>chiqarish</w:t>
                              </w:r>
                            </w:p>
                            <w:p>
                              <w:pPr>
                                <w:pStyle w:val="FrameContents"/>
                                <w:spacing w:before="0" w:after="200"/>
                                <w:rPr/>
                              </w:pPr>
                              <w:r>
                                <w:rPr/>
                              </w:r>
                            </w:p>
                          </w:txbxContent>
                        </wps:txbx>
                        <wps:bodyPr lIns="36360" rIns="36360" tIns="17640" bIns="17640" anchor="ctr">
                          <a:noAutofit/>
                        </wps:bodyPr>
                      </wps:wsp>
                      <wps:wsp>
                        <wps:cNvPr id="13" name="Connector 13"/>
                        <wps:cNvSpPr/>
                        <wps:spPr>
                          <a:xfrm flipH="1">
                            <a:off x="2961000" y="1049760"/>
                            <a:ext cx="2238480" cy="26172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 name="Shape 14"/>
                        <wps:cNvSpPr/>
                        <wps:spPr>
                          <a:xfrm>
                            <a:off x="1132920" y="1311840"/>
                            <a:ext cx="3655800" cy="44892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Moliyaviy barqarorlik</w:t>
                              </w:r>
                            </w:p>
                            <w:p>
                              <w:pPr>
                                <w:pStyle w:val="Normal"/>
                                <w:spacing w:lineRule="auto" w:line="228" w:before="0" w:after="0"/>
                                <w:ind w:hanging="0"/>
                                <w:jc w:val="center"/>
                                <w:rPr/>
                              </w:pPr>
                              <w:r>
                                <w:rPr>
                                  <w:rFonts w:cs="Times New Roman"/>
                                  <w:b/>
                                  <w:color w:val="FFFFFF"/>
                                  <w:sz w:val="22"/>
                                  <w:szCs w:val="22"/>
                                </w:rPr>
                                <w:t>(natija, dinamik va kompleks xususiyat)</w:t>
                              </w:r>
                            </w:p>
                            <w:p>
                              <w:pPr>
                                <w:pStyle w:val="FrameContents"/>
                                <w:spacing w:before="0" w:after="200"/>
                                <w:rPr/>
                              </w:pPr>
                              <w:r>
                                <w:rPr/>
                              </w:r>
                            </w:p>
                          </w:txbxContent>
                        </wps:txbx>
                        <wps:bodyPr lIns="36360" rIns="36360" tIns="17640" bIns="17640" anchor="ctr">
                          <a:noAutofit/>
                        </wps:bodyPr>
                      </wps:wsp>
                      <wps:wsp>
                        <wps:cNvPr id="15" name="Connector 15"/>
                        <wps:cNvSpPr/>
                        <wps:spPr>
                          <a:xfrm>
                            <a:off x="2961720" y="1761480"/>
                            <a:ext cx="720" cy="205920"/>
                          </a:xfrm>
                          <a:prstGeom prst="straightConnector1">
                            <a:avLst/>
                          </a:prstGeom>
                          <a:noFill/>
                          <a:ln w="12700">
                            <a:solidFill>
                              <a:srgbClr val="7f7f7f"/>
                            </a:solidFill>
                            <a:prstDash val="dash"/>
                            <a:round/>
                            <a:tailEnd len="med" type="triangle" w="med"/>
                          </a:ln>
                        </wps:spPr>
                        <wps:style>
                          <a:lnRef idx="0"/>
                          <a:fillRef idx="0"/>
                          <a:effectRef idx="0"/>
                          <a:fontRef idx="minor"/>
                        </wps:style>
                        <wps:bodyPr/>
                      </wps:wsp>
                      <wps:wsp>
                        <wps:cNvPr id="16" name="Shape 16"/>
                        <wps:cNvSpPr/>
                        <wps:spPr>
                          <a:xfrm>
                            <a:off x="1132920" y="1967760"/>
                            <a:ext cx="3655800" cy="318240"/>
                          </a:xfrm>
                          <a:prstGeom prst="roundRect">
                            <a:avLst>
                              <a:gd name="adj" fmla="val 10000"/>
                            </a:avLst>
                          </a:prstGeom>
                          <a:solidFill>
                            <a:srgbClr val="ffffff"/>
                          </a:solidFill>
                          <a:ln w="12700">
                            <a:solidFill>
                              <a:srgbClr val="7f7f7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0"/>
                                  <w:szCs w:val="20"/>
                                </w:rPr>
                                <w:t>Moliyaviy holat – muayyan sanadagi statik baho</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1-rasm" style="position:absolute;margin-left:0pt;margin-top:-90pt;width:464.9pt;height:180pt" coordorigin="0,-1800" coordsize="9298,3600">
                <v:shapetype id="_x0000_t32" coordsize="21600,21600" o:spt="32" path="m,l21600,21600nfe">
                  <v:stroke joinstyle="miter"/>
                  <v:path gradientshapeok="t" o:connecttype="rect" textboxrect="0,0,21600,21600"/>
                </v:shapetype>
                <v:shape id="shape_0" ID="Connector 4" path="m0,0l-2147483648,-2147483647e" stroked="t" o:allowincell="f" style="position:absolute;left:1108;top:-147;width:3554;height:411;mso-wrap-style:none;v-text-anchor:middle;mso-position-vertical:center" type="_x0000_t32">
                  <v:fill o:detectmouseclick="t" on="false"/>
                  <v:stroke color="#404040" weight="15840" endarrow="block" endarrowwidth="medium" endarrowlength="medium" joinstyle="round" endcap="flat"/>
                  <w10:wrap type="square"/>
                </v:shape>
                <v:shape id="shape_0" ID="Connector 7" path="m0,0l-2147483648,-2147483647e" stroked="t" o:allowincell="f" style="position:absolute;left:3468;top:-147;width:1193;height:411;mso-wrap-style:none;v-text-anchor:middle;mso-position-vertical:center" type="_x0000_t32">
                  <v:fill o:detectmouseclick="t" on="false"/>
                  <v:stroke color="#404040" weight="15840" endarrow="block" endarrowwidth="medium" endarrowlength="medium" joinstyle="round" endcap="flat"/>
                  <w10:wrap type="square"/>
                </v:shape>
                <v:shape id="shape_0" ID="Connector 10" path="m0,0l-2147483648,-2147483647e" stroked="t" o:allowincell="f" style="position:absolute;left:4663;top:-147;width:1164;height:41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13" path="m0,0l-2147483648,-2147483647e" stroked="t" o:allowincell="f" style="position:absolute;left:4663;top:-147;width:3524;height:41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15" path="m0,0l-2147483648,-2147483647e" stroked="t" o:allowincell="f" style="position:absolute;left:4664;top:974;width:0;height:323;mso-wrap-style:none;v-text-anchor:middle;mso-position-vertical:center" type="_x0000_t32">
                  <v:fill o:detectmouseclick="t" on="false"/>
                  <v:stroke color="#7f7f7f" weight="12600" dashstyle="dash"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1.1.1-rasm. Moliyaviy barqarorlik va unga yaqin tushunchalarning o‘zaro bog‘liqligi</w:t>
      </w:r>
    </w:p>
    <w:p>
      <w:pPr>
        <w:pStyle w:val="BodyText"/>
        <w:spacing w:lineRule="auto" w:line="360" w:before="0" w:after="0"/>
        <w:ind w:firstLine="709"/>
        <w:jc w:val="both"/>
        <w:rPr/>
      </w:pPr>
      <w:r>
        <w:rPr>
          <w:rFonts w:eastAsia="Times New Roman" w:cs="Times New Roman"/>
          <w:sz w:val="28"/>
        </w:rPr>
        <w:t>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Rule="auto" w:line="360" w:before="0" w:after="0"/>
        <w:ind w:firstLine="709"/>
        <w:jc w:val="both"/>
        <w:rPr/>
      </w:pPr>
      <w:r>
        <w:rPr>
          <w:rFonts w:eastAsia="Times New Roman" w:cs="Times New Roman"/>
          <w:sz w:val="28"/>
        </w:rP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 Bu fikr bilan to‘liq qo‘shilish mumkin, chunki bankning boshqa barcha barqarorlik turlari pirovardida uning moliyaviy natijalarida, kapitali va likvidligida o‘z aksini topadi.</w:t>
      </w:r>
    </w:p>
    <w:p>
      <w:pPr>
        <w:pStyle w:val="BodyText"/>
        <w:spacing w:lineRule="auto" w:line="360" w:before="0" w:after="0"/>
        <w:ind w:firstLine="709"/>
        <w:jc w:val="both"/>
        <w:rPr/>
      </w:pPr>
      <w:r>
        <w:rPr>
          <w:rFonts w:eastAsia="Times New Roman" w:cs="Times New Roman"/>
          <w:sz w:val="28"/>
        </w:rPr>
        <w:t>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val="true"/>
        <w:spacing w:lineRule="auto" w:line="360" w:before="120" w:after="0"/>
        <w:ind w:hanging="0"/>
        <w:jc w:val="right"/>
        <w:rPr/>
      </w:pPr>
      <w:r>
        <w:rPr>
          <w:rFonts w:eastAsia="Times New Roman" w:cs="Times New Roman"/>
          <w:i/>
          <w:sz w:val="28"/>
        </w:rPr>
        <w:t>1.1.1-jadval</w:t>
      </w:r>
    </w:p>
    <w:p>
      <w:pPr>
        <w:pStyle w:val="BodyText"/>
        <w:keepNext w:val="true"/>
        <w:spacing w:lineRule="auto" w:line="240" w:before="0" w:after="120"/>
        <w:ind w:hanging="0"/>
        <w:jc w:val="center"/>
        <w:rPr/>
      </w:pPr>
      <w:r>
        <w:rPr>
          <w:rFonts w:eastAsia="Times New Roman" w:cs="Times New Roman"/>
          <w:b/>
          <w:bCs/>
          <w:sz w:val="28"/>
        </w:rPr>
        <w:t>Moliyaviy barqarorlik tushunchasiga berilgan ta’riflarning qiyosiy tahlili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229"/>
        <w:gridCol w:w="3230"/>
        <w:gridCol w:w="3230"/>
      </w:tblGrid>
      <w:tr>
        <w:trPr>
          <w:tblHeader w:val="true"/>
          <w:cantSplit w:val="true"/>
        </w:trPr>
        <w:tc>
          <w:tcPr>
            <w:tcW w:w="3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Muallif</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Ta’rifning asosiy mazmuni</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Urg‘u berilgan jihat</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O.I. Lavrushin, I.D. Mamonova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Bankning o‘z moliyasini va boshqa sub’ektlar moliyasini kengaytirilgan asosda takror ishlab chiqarishi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Resurslarning o‘sishi va rivojlanish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O.I. Lavrushin (tahr.)</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tizimining ijtimoiy ehtiyojlarga muvofiq faoliyatni kengaytirilgan asosda takror ishlab chiqarishi bilan kechadigan rivojlanish xususiyati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Ijtimoiy funksiya va institutsional yondashuv</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G.J. Schinasi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Moliya tizimining resurslarni samarali taqsimlash, risklarni baholash va boshqarish hamda shoklarni yutish qobiliyati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Funksiyalarni bajarish va shoklarga chidamlilik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F.S. Mishkin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Axborot oqimining uzilishi natijasida moliya tizimi mablag‘larni samarali yo‘naltira olmay qoladigan holatning yo‘qligi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Axborot asimmetriyasi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J.M. Hendrickson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moliya institutlari tashqi yordamsiz foydalanuvchilarda yuqori ishonch uyg‘otadigan holat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Ishonch va mustaqillik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A.V. Thakor</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Sog‘lom tizim inqirozdan butunlay himoyalangan tizim emas; unda alohida banklar davlat yordamisiz bankrot bo‘lishi mumkin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 darajasidagi sog‘lomlik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G.G. Fetisov</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Bankning o‘zgaruvchan tashqi va ichki omillar sharoitida mijozlar, kreditorlar va omonatchilar oldidagi majburiyatlarini bajarish qobiliyati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Muvozanat va majburiyatlarni bajarish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I.V. Larionova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Ichki va tashqi ta’sirlarga qarshi turish, uzoq davr davomida barqaror muvozanat va ishonchlilikni saqlash qobiliyati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Uzoq muddatli muvozanat</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 Houben, J. Kakes, G. Schinasi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Resurslarni samarali taqsimlash, risklarni boshqarish va shoklarni yutish qobiliyati ko‘p o‘lchovli «barqarorlik yo‘lagi» doirasida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Mezoniy chegaralar (yo‘lak)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O.B. Sattarov</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Markaziy bank va tijorat banklari o‘z funksiyalarini to‘laqonli bajara olishini ta’minlaydigan darajani saqlagan holda rivojlanishga intilish (bank tizimi barqarorligi)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Dinamika va rivojlanish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I.G. Sadikov</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Bankning foyda olish jarayonida bozordagi mavqeini mustahkamlash orqali ichki va tashqi muhitning salbiy oqibatlariga qarshi tura olish qobiliyati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 va bozor mavqei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 Madaminov</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Endogen va ekzogen shoklarni yutib, faoliyatni to‘xtatmasdan muvozanatni tiklash salohiyatini aks ettiruvchi dinamik xususiyat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Shoklarga bardoshlilik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N.H. Sharipova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Bankning o‘z funksiyalarini beqaror iqtisodiy sharoitlarda ham uzluksiz va samarali bajarishini ta’minlaydigan tizimli va dinamik holat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Uzluksizlik va dinamika</w:t>
            </w:r>
          </w:p>
        </w:tc>
      </w:tr>
    </w:tbl>
    <w:p>
      <w:pPr>
        <w:pStyle w:val="BodyText"/>
        <w:spacing w:lineRule="auto" w:line="360" w:before="0" w:after="0"/>
        <w:ind w:firstLine="709"/>
        <w:jc w:val="both"/>
        <w:rPr/>
      </w:pPr>
      <w:r>
        <w:rPr>
          <w:rFonts w:eastAsia="Times New Roman" w:cs="Times New Roman"/>
          <w:sz w:val="28"/>
        </w:rPr>
        <w:t>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 Monografiyada esa bank ijtimoiy institut sifatida qaraladi va uning barqarorligi jamiyat ehtiyojlariga mosligi bilan o‘lchanadi.</w:t>
      </w:r>
    </w:p>
    <w:p>
      <w:pPr>
        <w:pStyle w:val="BodyText"/>
        <w:spacing w:lineRule="auto" w:line="360" w:before="0" w:after="0"/>
        <w:ind w:firstLine="709"/>
        <w:jc w:val="both"/>
        <w:rPr/>
      </w:pPr>
      <w:r>
        <w:rPr>
          <w:rFonts w:eastAsia="Times New Roman" w:cs="Times New Roman"/>
          <w:sz w:val="28"/>
        </w:rP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 I.V. Larionova moliyaviy barqarorlikni ichki va tashqi ta’sirlarga qarshi turish, uzoq vaqt davomida barqaror muvozanat va ishonchlilikni saqlash qobiliyati sifatida, V.V. Ivanov esa bank faoliyatining o‘rta va uzoq muddatli istiqboldagi barqarorligi sifatida ta’riflaydi.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 Bu fikr muhim xulosaga olib keladi: me’yoriy ko‘rsatkichlar barqarorlikning yetarli emas, balki zaruriy mezoni bo‘lib, ularni dinamika va risk omillari bilan to‘ldirish talab etiladi.</w:t>
      </w:r>
    </w:p>
    <w:p>
      <w:pPr>
        <w:pStyle w:val="BodyText"/>
        <w:spacing w:lineRule="auto" w:line="360" w:before="0" w:after="0"/>
        <w:ind w:firstLine="709"/>
        <w:jc w:val="both"/>
        <w:rPr/>
      </w:pPr>
      <w:r>
        <w:rPr>
          <w:rFonts w:eastAsia="Times New Roman" w:cs="Times New Roman"/>
          <w:sz w:val="28"/>
        </w:rP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 F.S. Mishkin esa beqarorlikdan kelib chiqib, uni axborot oqimining keskin uzilishi natijasida moliya tizimi mablag‘larni eng samarali investitsiya imkoniyatlariga yo‘naltira olmay qoladigan holat sifatida izohlaydi.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p>
    <w:p>
      <w:pPr>
        <w:pStyle w:val="BodyText"/>
        <w:spacing w:lineRule="auto" w:line="360" w:before="0" w:after="0"/>
        <w:ind w:firstLine="709"/>
        <w:jc w:val="both"/>
        <w:rPr/>
      </w:pPr>
      <w:r>
        <w:rPr>
          <w:rFonts w:eastAsia="Times New Roman" w:cs="Times New Roman"/>
          <w:sz w:val="28"/>
        </w:rP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 Yevropa Markaziy banki ham moliyaviy barqarorlikni moliyaviy vositachilar, bozorlar va bozor infratuzilmasidan iborat moliya tizimining shoklarga va moliyaviy nomutanosibliklarning yechilishiga bardosh bera olishi bilan ta’riflaydi.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 Bu talab baholash metodologiyasi uchun muhim ahamiyatga ega, chunki barqarorlikning umumiy ta’rifi uni o‘lchash usulini belgilab bermaydi.</w:t>
      </w:r>
    </w:p>
    <w:p>
      <w:pPr>
        <w:pStyle w:val="BodyText"/>
        <w:spacing w:lineRule="auto" w:line="360" w:before="0" w:after="0"/>
        <w:ind w:firstLine="709"/>
        <w:jc w:val="both"/>
        <w:rPr/>
      </w:pPr>
      <w:r>
        <w:rPr>
          <w:rFonts w:eastAsia="Times New Roman" w:cs="Times New Roman"/>
          <w:sz w:val="28"/>
        </w:rP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p>
    <w:p>
      <w:pPr>
        <w:pStyle w:val="BodyText"/>
        <w:spacing w:lineRule="auto" w:line="360" w:before="0" w:after="0"/>
        <w:ind w:firstLine="709"/>
        <w:jc w:val="both"/>
        <w:rPr/>
      </w:pPr>
      <w:r>
        <w:rPr>
          <w:rFonts w:eastAsia="Times New Roman" w:cs="Times New Roman"/>
          <w:sz w:val="28"/>
        </w:rP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 Sh.Sh. Abdishukurov likvidlik, kapital yetarliligi va rentabellikni «moliyaviy barqarorlik uchburchagi» sifatida qarab, barqarorlikni bitta ko‘rsatkichni optimal darajada ushlab turish emas, balki shu ko‘rsatkichlar o‘rtasidagi muvozanatni ta’minlash qobiliyati deb hisoblaydi.</w:t>
      </w:r>
    </w:p>
    <w:p>
      <w:pPr>
        <w:pStyle w:val="BodyText"/>
        <w:spacing w:lineRule="auto" w:line="360" w:before="0" w:after="0"/>
        <w:ind w:firstLine="709"/>
        <w:jc w:val="both"/>
        <w:rPr/>
      </w:pPr>
      <w:r>
        <w:rPr>
          <w:rFonts w:eastAsia="Times New Roman" w:cs="Times New Roman"/>
          <w:sz w:val="28"/>
        </w:rP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 Bu ta’rifda uzluksizlik va dinamikaga urg‘u berilgani e’tiborga loyiq.</w:t>
      </w:r>
    </w:p>
    <w:p>
      <w:pPr>
        <w:pStyle w:val="BodyText"/>
        <w:spacing w:lineRule="auto" w:line="360" w:before="0" w:after="0"/>
        <w:ind w:firstLine="709"/>
        <w:jc w:val="both"/>
        <w:rPr/>
      </w:pPr>
      <w:r>
        <w:rPr>
          <w:rFonts w:eastAsia="Times New Roman" w:cs="Times New Roman"/>
          <w:sz w:val="28"/>
        </w:rP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Rule="auto" w:line="360" w:before="0" w:after="0"/>
        <w:ind w:firstLine="709"/>
        <w:jc w:val="both"/>
        <w:rPr/>
      </w:pPr>
      <w:r>
        <w:rPr>
          <w:rFonts w:eastAsia="Times New Roman" w:cs="Times New Roman"/>
          <w:sz w:val="28"/>
        </w:rPr>
        <w:t>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Rule="auto" w:line="360" w:before="0" w:after="0"/>
        <w:ind w:firstLine="709"/>
        <w:jc w:val="both"/>
        <w:rPr/>
      </w:pPr>
      <w:r>
        <w:rPr>
          <w:rFonts w:eastAsia="Times New Roman" w:cs="Times New Roman"/>
          <w:sz w:val="28"/>
        </w:rPr>
        <w:t>Ta’riflarni umumlashtirib, moliyaviy barqarorlikni tushunishdagi to‘rt asosiy yondashuvni ajratish mumkin (1.1.2-rasm).</w:t>
      </w:r>
    </w:p>
    <w:p>
      <w:pPr>
        <w:pStyle w:val="BodyText"/>
        <w:keepNext w:val="true"/>
        <w:spacing w:lineRule="auto" w:line="240" w:before="0" w:after="0"/>
        <w:ind w:hanging="0"/>
        <w:jc w:val="center"/>
        <w:rPr/>
      </w:pPr>
      <w:r>
        <w:rPr/>
        <mc:AlternateContent>
          <mc:Choice Requires="wpg">
            <w:drawing>
              <wp:inline distT="0" distB="0" distL="0" distR="0">
                <wp:extent cx="5904230" cy="2538095"/>
                <wp:effectExtent l="0" t="0" r="0" b="0"/>
                <wp:docPr id="17" name="1.1.2-rasm"/>
                <a:graphic xmlns:a="http://schemas.openxmlformats.org/drawingml/2006/main">
                  <a:graphicData uri="http://schemas.microsoft.com/office/word/2010/wordprocessingGroup">
                    <wpg:wgp>
                      <wpg:cNvGrpSpPr/>
                      <wpg:grpSpPr>
                        <a:xfrm>
                          <a:off x="0" y="0"/>
                          <a:ext cx="5904360" cy="2538000"/>
                          <a:chOff x="0" y="0"/>
                          <a:chExt cx="5904360" cy="2538000"/>
                        </a:xfrm>
                      </wpg:grpSpPr>
                      <wps:wsp>
                        <wps:cNvPr id="18" name="Shape 17"/>
                        <wps:cNvSpPr/>
                        <wps:spPr>
                          <a:xfrm>
                            <a:off x="1682280" y="0"/>
                            <a:ext cx="2558880" cy="33516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Moliyaviy barqarorlik tushunchasi</w:t>
                              </w:r>
                            </w:p>
                            <w:p>
                              <w:pPr>
                                <w:pStyle w:val="FrameContents"/>
                                <w:spacing w:before="0" w:after="200"/>
                                <w:rPr/>
                              </w:pPr>
                              <w:r>
                                <w:rPr/>
                              </w:r>
                            </w:p>
                          </w:txbxContent>
                        </wps:txbx>
                        <wps:bodyPr lIns="36360" rIns="36360" tIns="17640" bIns="17640" anchor="ctr">
                          <a:noAutofit/>
                        </wps:bodyPr>
                      </wps:wsp>
                      <wps:wsp>
                        <wps:cNvPr id="19" name="Connector 18"/>
                        <wps:cNvSpPr/>
                        <wps:spPr>
                          <a:xfrm flipH="1">
                            <a:off x="703440" y="335880"/>
                            <a:ext cx="225756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0" name="Shape 19"/>
                        <wps:cNvSpPr/>
                        <wps:spPr>
                          <a:xfrm>
                            <a:off x="0" y="560160"/>
                            <a:ext cx="1407240" cy="4100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Resurs</w:t>
                              </w:r>
                            </w:p>
                            <w:p>
                              <w:pPr>
                                <w:pStyle w:val="Normal"/>
                                <w:spacing w:lineRule="auto" w:line="228" w:before="0" w:after="0"/>
                                <w:ind w:hanging="0"/>
                                <w:jc w:val="center"/>
                                <w:rPr/>
                              </w:pPr>
                              <w:r>
                                <w:rPr>
                                  <w:rFonts w:cs="Times New Roman"/>
                                  <w:b/>
                                  <w:color w:val="FFFFFF"/>
                                  <w:sz w:val="21"/>
                                  <w:szCs w:val="21"/>
                                </w:rPr>
                                <w:t>yondashuvi</w:t>
                              </w:r>
                            </w:p>
                            <w:p>
                              <w:pPr>
                                <w:pStyle w:val="FrameContents"/>
                                <w:spacing w:before="0" w:after="200"/>
                                <w:rPr/>
                              </w:pPr>
                              <w:r>
                                <w:rPr/>
                              </w:r>
                            </w:p>
                          </w:txbxContent>
                        </wps:txbx>
                        <wps:bodyPr lIns="36360" rIns="36360" tIns="17640" bIns="17640" anchor="ctr">
                          <a:noAutofit/>
                        </wps:bodyPr>
                      </wps:wsp>
                      <wps:wsp>
                        <wps:cNvPr id="21" name="Shape 20"/>
                        <wps:cNvSpPr/>
                        <wps:spPr>
                          <a:xfrm>
                            <a:off x="0" y="1026720"/>
                            <a:ext cx="1407240" cy="97020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Kapital, foyda,</w:t>
                              </w:r>
                            </w:p>
                            <w:p>
                              <w:pPr>
                                <w:pStyle w:val="Normal"/>
                                <w:spacing w:lineRule="auto" w:line="228" w:before="0" w:after="0"/>
                                <w:ind w:hanging="0"/>
                                <w:jc w:val="center"/>
                                <w:rPr/>
                              </w:pPr>
                              <w:r>
                                <w:rPr>
                                  <w:rFonts w:cs="Times New Roman"/>
                                  <w:color w:val="000000"/>
                                  <w:sz w:val="18"/>
                                  <w:szCs w:val="18"/>
                                </w:rPr>
                                <w:t>zaxiralarning</w:t>
                              </w:r>
                            </w:p>
                            <w:p>
                              <w:pPr>
                                <w:pStyle w:val="Normal"/>
                                <w:spacing w:lineRule="auto" w:line="228" w:before="0" w:after="0"/>
                                <w:ind w:hanging="0"/>
                                <w:jc w:val="center"/>
                                <w:rPr/>
                              </w:pPr>
                              <w:r>
                                <w:rPr>
                                  <w:rFonts w:cs="Times New Roman"/>
                                  <w:color w:val="000000"/>
                                  <w:sz w:val="18"/>
                                  <w:szCs w:val="18"/>
                                </w:rPr>
                                <w:t>barqaror o‘sishi</w:t>
                              </w:r>
                            </w:p>
                            <w:p>
                              <w:pPr>
                                <w:pStyle w:val="Normal"/>
                                <w:spacing w:lineRule="auto" w:line="228" w:before="0" w:after="0"/>
                                <w:ind w:hanging="0"/>
                                <w:jc w:val="center"/>
                                <w:rPr/>
                              </w:pPr>
                              <w:r>
                                <w:rPr/>
                              </w:r>
                            </w:p>
                            <w:p>
                              <w:pPr>
                                <w:pStyle w:val="Normal"/>
                                <w:spacing w:lineRule="auto" w:line="228" w:before="0" w:after="0"/>
                                <w:ind w:hanging="0"/>
                                <w:jc w:val="center"/>
                                <w:rPr/>
                              </w:pPr>
                              <w:r>
                                <w:rPr>
                                  <w:rFonts w:cs="Times New Roman"/>
                                  <w:color w:val="000000"/>
                                  <w:sz w:val="18"/>
                                  <w:szCs w:val="18"/>
                                </w:rPr>
                                <w:t>(O.I. Lavrushin,</w:t>
                              </w:r>
                            </w:p>
                            <w:p>
                              <w:pPr>
                                <w:pStyle w:val="Normal"/>
                                <w:spacing w:lineRule="auto" w:line="228" w:before="0" w:after="0"/>
                                <w:ind w:hanging="0"/>
                                <w:jc w:val="center"/>
                                <w:rPr/>
                              </w:pPr>
                              <w:r>
                                <w:rPr>
                                  <w:rFonts w:cs="Times New Roman"/>
                                  <w:color w:val="000000"/>
                                  <w:sz w:val="18"/>
                                  <w:szCs w:val="18"/>
                                </w:rPr>
                                <w:t>I.D. Mamonova)</w:t>
                              </w:r>
                            </w:p>
                            <w:p>
                              <w:pPr>
                                <w:pStyle w:val="FrameContents"/>
                                <w:spacing w:before="0" w:after="200"/>
                                <w:rPr/>
                              </w:pPr>
                              <w:r>
                                <w:rPr/>
                              </w:r>
                            </w:p>
                          </w:txbxContent>
                        </wps:txbx>
                        <wps:bodyPr lIns="36360" rIns="36360" tIns="17640" bIns="17640" anchor="ctr">
                          <a:noAutofit/>
                        </wps:bodyPr>
                      </wps:wsp>
                      <wps:wsp>
                        <wps:cNvPr id="22" name="Connector 21"/>
                        <wps:cNvSpPr/>
                        <wps:spPr>
                          <a:xfrm>
                            <a:off x="703440" y="1997640"/>
                            <a:ext cx="2257560" cy="20448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3" name="Connector 22"/>
                        <wps:cNvSpPr/>
                        <wps:spPr>
                          <a:xfrm flipH="1">
                            <a:off x="2201400" y="335880"/>
                            <a:ext cx="75816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4" name="Shape 23"/>
                        <wps:cNvSpPr/>
                        <wps:spPr>
                          <a:xfrm>
                            <a:off x="1498680" y="560160"/>
                            <a:ext cx="1407240" cy="4100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Institutsional-</w:t>
                              </w:r>
                            </w:p>
                            <w:p>
                              <w:pPr>
                                <w:pStyle w:val="Normal"/>
                                <w:spacing w:lineRule="auto" w:line="228" w:before="0" w:after="0"/>
                                <w:ind w:hanging="0"/>
                                <w:jc w:val="center"/>
                                <w:rPr/>
                              </w:pPr>
                              <w:r>
                                <w:rPr>
                                  <w:rFonts w:cs="Times New Roman"/>
                                  <w:b/>
                                  <w:color w:val="FFFFFF"/>
                                  <w:sz w:val="21"/>
                                  <w:szCs w:val="21"/>
                                </w:rPr>
                                <w:t>funksional</w:t>
                              </w:r>
                            </w:p>
                            <w:p>
                              <w:pPr>
                                <w:pStyle w:val="FrameContents"/>
                                <w:spacing w:before="0" w:after="200"/>
                                <w:rPr/>
                              </w:pPr>
                              <w:r>
                                <w:rPr/>
                              </w:r>
                            </w:p>
                          </w:txbxContent>
                        </wps:txbx>
                        <wps:bodyPr lIns="36360" rIns="36360" tIns="17640" bIns="17640" anchor="ctr">
                          <a:noAutofit/>
                        </wps:bodyPr>
                      </wps:wsp>
                      <wps:wsp>
                        <wps:cNvPr id="25" name="Shape 24"/>
                        <wps:cNvSpPr/>
                        <wps:spPr>
                          <a:xfrm>
                            <a:off x="1498680" y="1026720"/>
                            <a:ext cx="1407240" cy="97020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Vositachilik</w:t>
                              </w:r>
                            </w:p>
                            <w:p>
                              <w:pPr>
                                <w:pStyle w:val="Normal"/>
                                <w:spacing w:lineRule="auto" w:line="228" w:before="0" w:after="0"/>
                                <w:ind w:hanging="0"/>
                                <w:jc w:val="center"/>
                                <w:rPr/>
                              </w:pPr>
                              <w:r>
                                <w:rPr>
                                  <w:rFonts w:cs="Times New Roman"/>
                                  <w:color w:val="000000"/>
                                  <w:sz w:val="18"/>
                                  <w:szCs w:val="18"/>
                                </w:rPr>
                                <w:t>funksiyalarini</w:t>
                              </w:r>
                            </w:p>
                            <w:p>
                              <w:pPr>
                                <w:pStyle w:val="Normal"/>
                                <w:spacing w:lineRule="auto" w:line="228" w:before="0" w:after="0"/>
                                <w:ind w:hanging="0"/>
                                <w:jc w:val="center"/>
                                <w:rPr/>
                              </w:pPr>
                              <w:r>
                                <w:rPr>
                                  <w:rFonts w:cs="Times New Roman"/>
                                  <w:color w:val="000000"/>
                                  <w:sz w:val="18"/>
                                  <w:szCs w:val="18"/>
                                </w:rPr>
                                <w:t>uzluksiz bajarish</w:t>
                              </w:r>
                            </w:p>
                            <w:p>
                              <w:pPr>
                                <w:pStyle w:val="Normal"/>
                                <w:spacing w:lineRule="auto" w:line="228" w:before="0" w:after="0"/>
                                <w:ind w:hanging="0"/>
                                <w:jc w:val="center"/>
                                <w:rPr/>
                              </w:pPr>
                              <w:r>
                                <w:rPr/>
                              </w:r>
                            </w:p>
                            <w:p>
                              <w:pPr>
                                <w:pStyle w:val="Normal"/>
                                <w:spacing w:lineRule="auto" w:line="228" w:before="0" w:after="0"/>
                                <w:ind w:hanging="0"/>
                                <w:jc w:val="center"/>
                                <w:rPr/>
                              </w:pPr>
                              <w:r>
                                <w:rPr>
                                  <w:rFonts w:cs="Times New Roman"/>
                                  <w:color w:val="000000"/>
                                  <w:sz w:val="18"/>
                                  <w:szCs w:val="18"/>
                                </w:rPr>
                                <w:t>(O.I. Lavrushin,</w:t>
                              </w:r>
                            </w:p>
                            <w:p>
                              <w:pPr>
                                <w:pStyle w:val="Normal"/>
                                <w:spacing w:lineRule="auto" w:line="228" w:before="0" w:after="0"/>
                                <w:ind w:hanging="0"/>
                                <w:jc w:val="center"/>
                                <w:rPr/>
                              </w:pPr>
                              <w:r>
                                <w:rPr>
                                  <w:rFonts w:cs="Times New Roman"/>
                                  <w:color w:val="000000"/>
                                  <w:sz w:val="18"/>
                                  <w:szCs w:val="18"/>
                                </w:rPr>
                                <w:t>G.J. Schinasi)</w:t>
                              </w:r>
                            </w:p>
                            <w:p>
                              <w:pPr>
                                <w:pStyle w:val="FrameContents"/>
                                <w:spacing w:before="0" w:after="200"/>
                                <w:rPr/>
                              </w:pPr>
                              <w:r>
                                <w:rPr/>
                              </w:r>
                            </w:p>
                          </w:txbxContent>
                        </wps:txbx>
                        <wps:bodyPr lIns="36360" rIns="36360" tIns="17640" bIns="17640" anchor="ctr">
                          <a:noAutofit/>
                        </wps:bodyPr>
                      </wps:wsp>
                      <wps:wsp>
                        <wps:cNvPr id="26" name="Connector 25"/>
                        <wps:cNvSpPr/>
                        <wps:spPr>
                          <a:xfrm>
                            <a:off x="2202120" y="1997640"/>
                            <a:ext cx="758160" cy="20448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7" name="Connector 26"/>
                        <wps:cNvSpPr/>
                        <wps:spPr>
                          <a:xfrm>
                            <a:off x="2961720" y="335880"/>
                            <a:ext cx="73980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8" name="Shape 27"/>
                        <wps:cNvSpPr/>
                        <wps:spPr>
                          <a:xfrm>
                            <a:off x="2998440" y="560160"/>
                            <a:ext cx="1407240" cy="41004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1"/>
                                  <w:szCs w:val="21"/>
                                </w:rPr>
                                <w:t>Ishonch</w:t>
                              </w:r>
                            </w:p>
                            <w:p>
                              <w:pPr>
                                <w:pStyle w:val="Normal"/>
                                <w:spacing w:lineRule="auto" w:line="228" w:before="0" w:after="0"/>
                                <w:ind w:hanging="0"/>
                                <w:jc w:val="center"/>
                                <w:rPr/>
                              </w:pPr>
                              <w:r>
                                <w:rPr>
                                  <w:rFonts w:cs="Times New Roman"/>
                                  <w:b/>
                                  <w:color w:val="000000"/>
                                  <w:sz w:val="21"/>
                                  <w:szCs w:val="21"/>
                                </w:rPr>
                                <w:t>yondashuvi</w:t>
                              </w:r>
                            </w:p>
                            <w:p>
                              <w:pPr>
                                <w:pStyle w:val="FrameContents"/>
                                <w:spacing w:before="0" w:after="200"/>
                                <w:rPr/>
                              </w:pPr>
                              <w:r>
                                <w:rPr/>
                              </w:r>
                            </w:p>
                          </w:txbxContent>
                        </wps:txbx>
                        <wps:bodyPr lIns="36360" rIns="36360" tIns="17640" bIns="17640" anchor="ctr">
                          <a:noAutofit/>
                        </wps:bodyPr>
                      </wps:wsp>
                      <wps:wsp>
                        <wps:cNvPr id="29" name="Shape 28"/>
                        <wps:cNvSpPr/>
                        <wps:spPr>
                          <a:xfrm>
                            <a:off x="2998440" y="1026720"/>
                            <a:ext cx="1407240" cy="97020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Tashqi yordamsiz</w:t>
                              </w:r>
                            </w:p>
                            <w:p>
                              <w:pPr>
                                <w:pStyle w:val="Normal"/>
                                <w:spacing w:lineRule="auto" w:line="228" w:before="0" w:after="0"/>
                                <w:ind w:hanging="0"/>
                                <w:jc w:val="center"/>
                                <w:rPr/>
                              </w:pPr>
                              <w:r>
                                <w:rPr>
                                  <w:rFonts w:cs="Times New Roman"/>
                                  <w:color w:val="000000"/>
                                  <w:sz w:val="18"/>
                                  <w:szCs w:val="18"/>
                                </w:rPr>
                                <w:t>yuqori ishonch</w:t>
                              </w:r>
                            </w:p>
                            <w:p>
                              <w:pPr>
                                <w:pStyle w:val="Normal"/>
                                <w:spacing w:lineRule="auto" w:line="228" w:before="0" w:after="0"/>
                                <w:ind w:hanging="0"/>
                                <w:jc w:val="center"/>
                                <w:rPr/>
                              </w:pPr>
                              <w:r>
                                <w:rPr/>
                              </w:r>
                            </w:p>
                            <w:p>
                              <w:pPr>
                                <w:pStyle w:val="Normal"/>
                                <w:spacing w:lineRule="auto" w:line="228" w:before="0" w:after="0"/>
                                <w:ind w:hanging="0"/>
                                <w:jc w:val="center"/>
                                <w:rPr/>
                              </w:pPr>
                              <w:r>
                                <w:rPr>
                                  <w:rFonts w:cs="Times New Roman"/>
                                  <w:color w:val="000000"/>
                                  <w:sz w:val="18"/>
                                  <w:szCs w:val="18"/>
                                </w:rPr>
                                <w:t>(J.M. Hendrickson,</w:t>
                              </w:r>
                            </w:p>
                            <w:p>
                              <w:pPr>
                                <w:pStyle w:val="Normal"/>
                                <w:spacing w:lineRule="auto" w:line="228" w:before="0" w:after="0"/>
                                <w:ind w:hanging="0"/>
                                <w:jc w:val="center"/>
                                <w:rPr/>
                              </w:pPr>
                              <w:r>
                                <w:rPr>
                                  <w:rFonts w:cs="Times New Roman"/>
                                  <w:color w:val="000000"/>
                                  <w:sz w:val="18"/>
                                  <w:szCs w:val="18"/>
                                </w:rPr>
                                <w:t>A. Krokett)</w:t>
                              </w:r>
                            </w:p>
                            <w:p>
                              <w:pPr>
                                <w:pStyle w:val="FrameContents"/>
                                <w:spacing w:before="0" w:after="200"/>
                                <w:rPr/>
                              </w:pPr>
                              <w:r>
                                <w:rPr/>
                              </w:r>
                            </w:p>
                          </w:txbxContent>
                        </wps:txbx>
                        <wps:bodyPr lIns="36360" rIns="36360" tIns="17640" bIns="17640" anchor="ctr">
                          <a:noAutofit/>
                        </wps:bodyPr>
                      </wps:wsp>
                      <wps:wsp>
                        <wps:cNvPr id="30" name="Connector 29"/>
                        <wps:cNvSpPr/>
                        <wps:spPr>
                          <a:xfrm flipH="1">
                            <a:off x="2961000" y="1997640"/>
                            <a:ext cx="739800" cy="20448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31" name="Connector 30"/>
                        <wps:cNvSpPr/>
                        <wps:spPr>
                          <a:xfrm>
                            <a:off x="2961720" y="335880"/>
                            <a:ext cx="223848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32" name="Shape 31"/>
                        <wps:cNvSpPr/>
                        <wps:spPr>
                          <a:xfrm>
                            <a:off x="4497120" y="560160"/>
                            <a:ext cx="1407240" cy="4100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Risk va</w:t>
                              </w:r>
                            </w:p>
                            <w:p>
                              <w:pPr>
                                <w:pStyle w:val="Normal"/>
                                <w:spacing w:lineRule="auto" w:line="228" w:before="0" w:after="0"/>
                                <w:ind w:hanging="0"/>
                                <w:jc w:val="center"/>
                                <w:rPr/>
                              </w:pPr>
                              <w:r>
                                <w:rPr>
                                  <w:rFonts w:cs="Times New Roman"/>
                                  <w:b/>
                                  <w:color w:val="FFFFFF"/>
                                  <w:sz w:val="21"/>
                                  <w:szCs w:val="21"/>
                                </w:rPr>
                                <w:t>chidamlilik</w:t>
                              </w:r>
                            </w:p>
                            <w:p>
                              <w:pPr>
                                <w:pStyle w:val="FrameContents"/>
                                <w:spacing w:before="0" w:after="200"/>
                                <w:rPr/>
                              </w:pPr>
                              <w:r>
                                <w:rPr/>
                              </w:r>
                            </w:p>
                          </w:txbxContent>
                        </wps:txbx>
                        <wps:bodyPr lIns="36360" rIns="36360" tIns="17640" bIns="17640" anchor="ctr">
                          <a:noAutofit/>
                        </wps:bodyPr>
                      </wps:wsp>
                      <wps:wsp>
                        <wps:cNvPr id="33" name="Shape 32"/>
                        <wps:cNvSpPr/>
                        <wps:spPr>
                          <a:xfrm>
                            <a:off x="4497120" y="1026720"/>
                            <a:ext cx="1407240" cy="97020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Kapital va likvidlik</w:t>
                              </w:r>
                            </w:p>
                            <w:p>
                              <w:pPr>
                                <w:pStyle w:val="Normal"/>
                                <w:spacing w:lineRule="auto" w:line="228" w:before="0" w:after="0"/>
                                <w:ind w:hanging="0"/>
                                <w:jc w:val="center"/>
                                <w:rPr/>
                              </w:pPr>
                              <w:r>
                                <w:rPr>
                                  <w:rFonts w:cs="Times New Roman"/>
                                  <w:color w:val="000000"/>
                                  <w:sz w:val="18"/>
                                  <w:szCs w:val="18"/>
                                </w:rPr>
                                <w:t>buferlari, shoklarga</w:t>
                              </w:r>
                            </w:p>
                            <w:p>
                              <w:pPr>
                                <w:pStyle w:val="Normal"/>
                                <w:spacing w:lineRule="auto" w:line="228" w:before="0" w:after="0"/>
                                <w:ind w:hanging="0"/>
                                <w:jc w:val="center"/>
                                <w:rPr/>
                              </w:pPr>
                              <w:r>
                                <w:rPr>
                                  <w:rFonts w:cs="Times New Roman"/>
                                  <w:color w:val="000000"/>
                                  <w:sz w:val="18"/>
                                  <w:szCs w:val="18"/>
                                </w:rPr>
                                <w:t>chidamlilik</w:t>
                              </w:r>
                            </w:p>
                            <w:p>
                              <w:pPr>
                                <w:pStyle w:val="Normal"/>
                                <w:spacing w:lineRule="auto" w:line="228" w:before="0" w:after="0"/>
                                <w:ind w:hanging="0"/>
                                <w:jc w:val="center"/>
                                <w:rPr/>
                              </w:pPr>
                              <w:r>
                                <w:rPr/>
                              </w:r>
                            </w:p>
                            <w:p>
                              <w:pPr>
                                <w:pStyle w:val="Normal"/>
                                <w:spacing w:lineRule="auto" w:line="228" w:before="0" w:after="0"/>
                                <w:ind w:hanging="0"/>
                                <w:jc w:val="center"/>
                                <w:rPr/>
                              </w:pPr>
                              <w:r>
                                <w:rPr>
                                  <w:rFonts w:cs="Times New Roman"/>
                                  <w:color w:val="000000"/>
                                  <w:sz w:val="18"/>
                                  <w:szCs w:val="18"/>
                                </w:rPr>
                                <w:t>(Bazel qo‘mitasi,</w:t>
                              </w:r>
                            </w:p>
                            <w:p>
                              <w:pPr>
                                <w:pStyle w:val="Normal"/>
                                <w:spacing w:lineRule="auto" w:line="228" w:before="0" w:after="0"/>
                                <w:ind w:hanging="0"/>
                                <w:jc w:val="center"/>
                                <w:rPr/>
                              </w:pPr>
                              <w:r>
                                <w:rPr>
                                  <w:rFonts w:cs="Times New Roman"/>
                                  <w:color w:val="000000"/>
                                  <w:sz w:val="18"/>
                                  <w:szCs w:val="18"/>
                                </w:rPr>
                                <w:t>XVJ)</w:t>
                              </w:r>
                            </w:p>
                            <w:p>
                              <w:pPr>
                                <w:pStyle w:val="FrameContents"/>
                                <w:spacing w:before="0" w:after="200"/>
                                <w:rPr/>
                              </w:pPr>
                              <w:r>
                                <w:rPr/>
                              </w:r>
                            </w:p>
                          </w:txbxContent>
                        </wps:txbx>
                        <wps:bodyPr lIns="36360" rIns="36360" tIns="17640" bIns="17640" anchor="ctr">
                          <a:noAutofit/>
                        </wps:bodyPr>
                      </wps:wsp>
                      <wps:wsp>
                        <wps:cNvPr id="34" name="Connector 33"/>
                        <wps:cNvSpPr/>
                        <wps:spPr>
                          <a:xfrm flipH="1">
                            <a:off x="2961000" y="1997640"/>
                            <a:ext cx="2238480" cy="20448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35" name="Shape 34"/>
                        <wps:cNvSpPr/>
                        <wps:spPr>
                          <a:xfrm>
                            <a:off x="950760" y="2202840"/>
                            <a:ext cx="4020840" cy="335160"/>
                          </a:xfrm>
                          <a:prstGeom prst="roundRect">
                            <a:avLst>
                              <a:gd name="adj" fmla="val 10000"/>
                            </a:avLst>
                          </a:prstGeom>
                          <a:solidFill>
                            <a:srgbClr val="deebf7"/>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1"/>
                                  <w:szCs w:val="21"/>
                                </w:rPr>
                                <w:t>Integral yondashuv: daraja + dinamika + muvozanat</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2-rasm" style="position:absolute;margin-left:0pt;margin-top:-99.95pt;width:464.9pt;height:199.85pt" coordorigin="0,-1999" coordsize="9298,3997">
                <v:shape id="shape_0" ID="Connector 18" path="m0,0l-2147483648,-2147483647e" stroked="t" o:allowincell="f" style="position:absolute;left:1108;top:-1470;width:3554;height:35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21" path="m0,0l-2147483648,-2147483647e" stroked="t" o:allowincell="f" style="position:absolute;left:1108;top:1147;width:3554;height:321;mso-wrap-style:none;v-text-anchor:middle;mso-position-vertical:center" type="_x0000_t32">
                  <v:fill o:detectmouseclick="t" on="false"/>
                  <v:stroke color="#7f7f7f" weight="12600" endarrow="block" endarrowwidth="medium" endarrowlength="medium" joinstyle="round" endcap="flat"/>
                  <w10:wrap type="square"/>
                </v:shape>
                <v:shape id="shape_0" ID="Connector 22" path="m0,0l-2147483648,-2147483647e" stroked="t" o:allowincell="f" style="position:absolute;left:3467;top:-1470;width:1193;height:35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25" path="m0,0l-2147483648,-2147483647e" stroked="t" o:allowincell="f" style="position:absolute;left:3468;top:1147;width:1193;height:321;mso-wrap-style:none;v-text-anchor:middle;mso-position-vertical:center" type="_x0000_t32">
                  <v:fill o:detectmouseclick="t" on="false"/>
                  <v:stroke color="#7f7f7f" weight="12600" endarrow="block" endarrowwidth="medium" endarrowlength="medium" joinstyle="round" endcap="flat"/>
                  <w10:wrap type="square"/>
                </v:shape>
                <v:shape id="shape_0" ID="Connector 26" path="m0,0l-2147483648,-2147483647e" stroked="t" o:allowincell="f" style="position:absolute;left:4664;top:-1470;width:1164;height:351;mso-wrap-style:none;v-text-anchor:middle;mso-position-vertical:center" type="_x0000_t32">
                  <v:fill o:detectmouseclick="t" on="false"/>
                  <v:stroke color="#404040" weight="15840" endarrow="block" endarrowwidth="medium" endarrowlength="medium" joinstyle="round" endcap="flat"/>
                  <w10:wrap type="square"/>
                </v:shape>
                <v:shape id="shape_0" ID="Connector 29" path="m0,0l-2147483648,-2147483647e" stroked="t" o:allowincell="f" style="position:absolute;left:4663;top:1147;width:1164;height:321;flip:x;mso-wrap-style:none;v-text-anchor:middle;mso-position-vertical:center" type="_x0000_t32">
                  <v:fill o:detectmouseclick="t" on="false"/>
                  <v:stroke color="#7f7f7f" weight="12600" endarrow="block" endarrowwidth="medium" endarrowlength="medium" joinstyle="round" endcap="flat"/>
                  <w10:wrap type="square"/>
                </v:shape>
                <v:shape id="shape_0" ID="Connector 30" path="m0,0l-2147483648,-2147483647e" stroked="t" o:allowincell="f" style="position:absolute;left:4664;top:-1470;width:3524;height:351;mso-wrap-style:none;v-text-anchor:middle;mso-position-vertical:center" type="_x0000_t32">
                  <v:fill o:detectmouseclick="t" on="false"/>
                  <v:stroke color="#404040" weight="15840" endarrow="block" endarrowwidth="medium" endarrowlength="medium" joinstyle="round" endcap="flat"/>
                  <w10:wrap type="square"/>
                </v:shape>
                <v:shape id="shape_0" ID="Connector 33" path="m0,0l-2147483648,-2147483647e" stroked="t" o:allowincell="f" style="position:absolute;left:4663;top:1147;width:3524;height:321;flip:x;mso-wrap-style:none;v-text-anchor:middle;mso-position-vertical:center" type="_x0000_t32">
                  <v:fill o:detectmouseclick="t" on="false"/>
                  <v:stroke color="#7f7f7f" weight="1260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1.1.2-rasm. Moliyaviy barqarorlik tushunchasini talqin qilishdagi asosiy yondashuvlar</w:t>
      </w:r>
    </w:p>
    <w:p>
      <w:pPr>
        <w:pStyle w:val="BodyText"/>
        <w:spacing w:lineRule="auto" w:line="360" w:before="0" w:after="0"/>
        <w:ind w:firstLine="709"/>
        <w:jc w:val="both"/>
        <w:rPr/>
      </w:pPr>
      <w:r>
        <w:rPr>
          <w:rFonts w:eastAsia="Times New Roman" w:cs="Times New Roman"/>
          <w:sz w:val="28"/>
        </w:rPr>
        <w:t>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Rule="auto" w:line="360" w:before="0" w:after="0"/>
        <w:ind w:firstLine="709"/>
        <w:jc w:val="both"/>
        <w:rPr/>
      </w:pPr>
      <w:r>
        <w:rPr>
          <w:rFonts w:eastAsia="Times New Roman" w:cs="Times New Roman"/>
          <w:sz w:val="28"/>
        </w:rP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 Ushbu darajalar va ular o‘rtasidagi bog‘liqlik 1.1.3-rasmda ko‘rsatildi.</w:t>
      </w:r>
    </w:p>
    <w:p>
      <w:pPr>
        <w:pStyle w:val="BodyText"/>
        <w:keepNext w:val="true"/>
        <w:spacing w:lineRule="auto" w:line="240" w:before="0" w:after="0"/>
        <w:ind w:hanging="0"/>
        <w:jc w:val="center"/>
        <w:rPr/>
      </w:pPr>
      <w:r>
        <w:rPr/>
        <mc:AlternateContent>
          <mc:Choice Requires="wpg">
            <w:drawing>
              <wp:inline distT="0" distB="0" distL="0" distR="0">
                <wp:extent cx="5904230" cy="1925955"/>
                <wp:effectExtent l="0" t="0" r="0" b="0"/>
                <wp:docPr id="36" name="1.1.3-rasm"/>
                <a:graphic xmlns:a="http://schemas.openxmlformats.org/drawingml/2006/main">
                  <a:graphicData uri="http://schemas.microsoft.com/office/word/2010/wordprocessingGroup">
                    <wpg:wgp>
                      <wpg:cNvGrpSpPr/>
                      <wpg:grpSpPr>
                        <a:xfrm>
                          <a:off x="0" y="0"/>
                          <a:ext cx="5904360" cy="1926000"/>
                          <a:chOff x="0" y="0"/>
                          <a:chExt cx="5904360" cy="1926000"/>
                        </a:xfrm>
                      </wpg:grpSpPr>
                      <wps:wsp>
                        <wps:cNvPr id="37" name="Shape 35"/>
                        <wps:cNvSpPr/>
                        <wps:spPr>
                          <a:xfrm>
                            <a:off x="0" y="0"/>
                            <a:ext cx="5904360" cy="37728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Moliya tizimi: banklar, nobank moliya tashkilotlari, moliya bozorlari, infratuzilma</w:t>
                              </w:r>
                            </w:p>
                            <w:p>
                              <w:pPr>
                                <w:pStyle w:val="FrameContents"/>
                                <w:spacing w:before="0" w:after="200"/>
                                <w:rPr/>
                              </w:pPr>
                              <w:r>
                                <w:rPr/>
                              </w:r>
                            </w:p>
                          </w:txbxContent>
                        </wps:txbx>
                        <wps:bodyPr lIns="36360" rIns="36360" tIns="17640" bIns="17640" anchor="ctr">
                          <a:noAutofit/>
                        </wps:bodyPr>
                      </wps:wsp>
                      <wps:wsp>
                        <wps:cNvPr id="38" name="Shape 36"/>
                        <wps:cNvSpPr/>
                        <wps:spPr>
                          <a:xfrm>
                            <a:off x="692280" y="509760"/>
                            <a:ext cx="4519800" cy="37728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Bank tizimi (bank sektori): Markaziy bank va tijorat banklari</w:t>
                              </w:r>
                            </w:p>
                            <w:p>
                              <w:pPr>
                                <w:pStyle w:val="FrameContents"/>
                                <w:spacing w:before="0" w:after="200"/>
                                <w:rPr/>
                              </w:pPr>
                              <w:r>
                                <w:rPr/>
                              </w:r>
                            </w:p>
                          </w:txbxContent>
                        </wps:txbx>
                        <wps:bodyPr lIns="36360" rIns="36360" tIns="17640" bIns="17640" anchor="ctr">
                          <a:noAutofit/>
                        </wps:bodyPr>
                      </wps:wsp>
                      <wps:wsp>
                        <wps:cNvPr id="39" name="Shape 37"/>
                        <wps:cNvSpPr/>
                        <wps:spPr>
                          <a:xfrm>
                            <a:off x="1384920" y="1019880"/>
                            <a:ext cx="3134520" cy="377280"/>
                          </a:xfrm>
                          <a:prstGeom prst="roundRect">
                            <a:avLst>
                              <a:gd name="adj" fmla="val 10000"/>
                            </a:avLst>
                          </a:prstGeom>
                          <a:solidFill>
                            <a:srgbClr val="9dc3e6"/>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Alohida tijorat banki</w:t>
                              </w:r>
                            </w:p>
                            <w:p>
                              <w:pPr>
                                <w:pStyle w:val="FrameContents"/>
                                <w:spacing w:before="0" w:after="200"/>
                                <w:rPr/>
                              </w:pPr>
                              <w:r>
                                <w:rPr/>
                              </w:r>
                            </w:p>
                          </w:txbxContent>
                        </wps:txbx>
                        <wps:bodyPr lIns="36360" rIns="36360" tIns="17640" bIns="17640" anchor="ctr">
                          <a:noAutofit/>
                        </wps:bodyPr>
                      </wps:wsp>
                      <wps:wsp>
                        <wps:cNvPr id="40" name="Connector 38"/>
                        <wps:cNvSpPr/>
                        <wps:spPr>
                          <a:xfrm>
                            <a:off x="5285160" y="378000"/>
                            <a:ext cx="720" cy="1057320"/>
                          </a:xfrm>
                          <a:prstGeom prst="straightConnector1">
                            <a:avLst/>
                          </a:prstGeom>
                          <a:noFill/>
                          <a:ln w="28575">
                            <a:solidFill>
                              <a:srgbClr val="eb6834"/>
                            </a:solidFill>
                            <a:round/>
                            <a:tailEnd len="med" type="triangle" w="med"/>
                          </a:ln>
                        </wps:spPr>
                        <wps:style>
                          <a:lnRef idx="0"/>
                          <a:fillRef idx="0"/>
                          <a:effectRef idx="0"/>
                          <a:fontRef idx="minor"/>
                        </wps:style>
                        <wps:bodyPr/>
                      </wps:wsp>
                      <wps:wsp>
                        <wps:cNvPr id="41" name="Shape 39"/>
                        <wps:cNvSpPr/>
                        <wps:spPr>
                          <a:xfrm>
                            <a:off x="4702320" y="1473120"/>
                            <a:ext cx="1202040" cy="452880"/>
                          </a:xfrm>
                          <a:prstGeom prst="roundRect">
                            <a:avLst>
                              <a:gd name="adj" fmla="val 10000"/>
                            </a:avLst>
                          </a:prstGeom>
                          <a:solidFill>
                            <a:srgbClr val="fbe5d6"/>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Makroshoklar,</w:t>
                              </w:r>
                            </w:p>
                            <w:p>
                              <w:pPr>
                                <w:pStyle w:val="Normal"/>
                                <w:spacing w:lineRule="auto" w:line="228" w:before="0" w:after="0"/>
                                <w:ind w:hanging="0"/>
                                <w:jc w:val="center"/>
                                <w:rPr/>
                              </w:pPr>
                              <w:r>
                                <w:rPr>
                                  <w:rFonts w:cs="Times New Roman"/>
                                  <w:color w:val="000000"/>
                                  <w:sz w:val="18"/>
                                  <w:szCs w:val="18"/>
                                </w:rPr>
                                <w:t>umumiy risklar</w:t>
                              </w:r>
                            </w:p>
                            <w:p>
                              <w:pPr>
                                <w:pStyle w:val="FrameContents"/>
                                <w:spacing w:before="0" w:after="200"/>
                                <w:rPr/>
                              </w:pPr>
                              <w:r>
                                <w:rPr/>
                              </w:r>
                            </w:p>
                          </w:txbxContent>
                        </wps:txbx>
                        <wps:bodyPr lIns="36360" rIns="36360" tIns="17640" bIns="17640" anchor="ctr">
                          <a:noAutofit/>
                        </wps:bodyPr>
                      </wps:wsp>
                      <wps:wsp>
                        <wps:cNvPr id="42" name="Connector 40"/>
                        <wps:cNvSpPr/>
                        <wps:spPr>
                          <a:xfrm flipV="1">
                            <a:off x="619200" y="378000"/>
                            <a:ext cx="720" cy="1019880"/>
                          </a:xfrm>
                          <a:prstGeom prst="straightConnector1">
                            <a:avLst/>
                          </a:prstGeom>
                          <a:noFill/>
                          <a:ln w="28575">
                            <a:solidFill>
                              <a:srgbClr val="70ad47"/>
                            </a:solidFill>
                            <a:round/>
                            <a:tailEnd len="med" type="triangle" w="med"/>
                          </a:ln>
                        </wps:spPr>
                        <wps:style>
                          <a:lnRef idx="0"/>
                          <a:fillRef idx="0"/>
                          <a:effectRef idx="0"/>
                          <a:fontRef idx="minor"/>
                        </wps:style>
                        <wps:bodyPr/>
                      </wps:wsp>
                      <wps:wsp>
                        <wps:cNvPr id="43" name="Shape 41"/>
                        <wps:cNvSpPr/>
                        <wps:spPr>
                          <a:xfrm>
                            <a:off x="0" y="1473120"/>
                            <a:ext cx="1238760" cy="452880"/>
                          </a:xfrm>
                          <a:prstGeom prst="roundRect">
                            <a:avLst>
                              <a:gd name="adj" fmla="val 10000"/>
                            </a:avLst>
                          </a:prstGeom>
                          <a:solidFill>
                            <a:srgbClr val="e2efda"/>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Zararlanish,</w:t>
                              </w:r>
                            </w:p>
                            <w:p>
                              <w:pPr>
                                <w:pStyle w:val="Normal"/>
                                <w:spacing w:lineRule="auto" w:line="228" w:before="0" w:after="0"/>
                                <w:ind w:hanging="0"/>
                                <w:jc w:val="center"/>
                                <w:rPr/>
                              </w:pPr>
                              <w:r>
                                <w:rPr>
                                  <w:rFonts w:cs="Times New Roman"/>
                                  <w:color w:val="000000"/>
                                  <w:sz w:val="18"/>
                                  <w:szCs w:val="18"/>
                                </w:rPr>
                                <w:t>tizimli risk</w:t>
                              </w:r>
                            </w:p>
                            <w:p>
                              <w:pPr>
                                <w:pStyle w:val="FrameContents"/>
                                <w:spacing w:before="0" w:after="200"/>
                                <w:rPr/>
                              </w:pPr>
                              <w:r>
                                <w:rPr/>
                              </w:r>
                            </w:p>
                          </w:txbxContent>
                        </wps:txbx>
                        <wps:bodyPr lIns="36360" rIns="36360" tIns="17640" bIns="17640" anchor="ctr">
                          <a:noAutofit/>
                        </wps:bodyPr>
                      </wps:wsp>
                      <wps:wsp>
                        <wps:cNvPr id="44" name="Shape 42"/>
                        <wps:cNvSpPr/>
                        <wps:spPr>
                          <a:xfrm>
                            <a:off x="1384920" y="1548720"/>
                            <a:ext cx="3134520" cy="377280"/>
                          </a:xfrm>
                          <a:prstGeom prst="roundRect">
                            <a:avLst>
                              <a:gd name="adj" fmla="val 10000"/>
                            </a:avLst>
                          </a:prstGeom>
                          <a:solidFill>
                            <a:srgbClr val="ffffff"/>
                          </a:solidFill>
                          <a:ln w="12700">
                            <a:solidFill>
                              <a:srgbClr val="7f7f7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Tizim ≠ banklarning oddiy yig‘indisi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3-rasm" style="position:absolute;margin-left:0pt;margin-top:-75.85pt;width:464.9pt;height:151.65pt" coordorigin="0,-1517" coordsize="9298,3033">
                <v:shape id="shape_0" ID="Connector 38" path="m0,0l-2147483648,-2147483647e" stroked="t" o:allowincell="f" style="position:absolute;left:8323;top:-922;width:0;height:1664;mso-wrap-style:none;v-text-anchor:middle;mso-position-vertical:center" type="_x0000_t32">
                  <v:fill o:detectmouseclick="t" on="false"/>
                  <v:stroke color="#eb6834" weight="28440" endarrow="block" endarrowwidth="medium" endarrowlength="medium" joinstyle="round" endcap="flat"/>
                  <w10:wrap type="square"/>
                </v:shape>
                <v:shape id="shape_0" ID="Connector 40" path="m0,0l-2147483648,-2147483647e" stroked="t" o:allowincell="f" style="position:absolute;left:975;top:-922;width:0;height:1605;flip:y;mso-wrap-style:none;v-text-anchor:middle;mso-position-vertical:center" type="_x0000_t32">
                  <v:fill o:detectmouseclick="t" on="false"/>
                  <v:stroke color="#70ad47" weight="284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1.1.3-rasm. Moliyaviy barqarorlik darajalari va ularning o‘zaro ta’siri</w:t>
      </w:r>
    </w:p>
    <w:p>
      <w:pPr>
        <w:pStyle w:val="BodyText"/>
        <w:spacing w:lineRule="auto" w:line="360" w:before="0" w:after="0"/>
        <w:ind w:firstLine="709"/>
        <w:jc w:val="both"/>
        <w:rPr/>
      </w:pPr>
      <w:r>
        <w:rPr>
          <w:rFonts w:eastAsia="Times New Roman" w:cs="Times New Roman"/>
          <w:sz w:val="28"/>
        </w:rPr>
        <w:t>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Rule="auto" w:line="360" w:before="0" w:after="0"/>
        <w:ind w:firstLine="709"/>
        <w:jc w:val="both"/>
        <w:rPr/>
      </w:pPr>
      <w:r>
        <w:rPr>
          <w:rFonts w:eastAsia="Times New Roman" w:cs="Times New Roman"/>
          <w:sz w:val="28"/>
        </w:rP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Rule="auto" w:line="360" w:before="0" w:after="0"/>
        <w:ind w:firstLine="709"/>
        <w:jc w:val="both"/>
        <w:rPr/>
      </w:pPr>
      <w:r>
        <w:rPr>
          <w:rFonts w:eastAsia="Times New Roman" w:cs="Times New Roman"/>
          <w:sz w:val="28"/>
        </w:rPr>
        <w:t>Moliyaviy barqarorlikka ta’sir etuvchi omillar masalasida ham iqtisodchilar o‘rtasida umumiy yondashuv shakllangan bo‘lib, ular odatda tashqi va ichki omillarga ajratiladi. O.I. Lavrushin va I.D. Mamonova o‘nta tashqi va to‘qqizta ichki omilni ajratadi (1.1.4-rasm).</w:t>
      </w:r>
    </w:p>
    <w:p>
      <w:pPr>
        <w:pStyle w:val="BodyText"/>
        <w:keepNext w:val="true"/>
        <w:spacing w:lineRule="auto" w:line="240" w:before="0" w:after="0"/>
        <w:ind w:hanging="0"/>
        <w:jc w:val="center"/>
        <w:rPr/>
      </w:pPr>
      <w:r>
        <w:rPr/>
        <mc:AlternateContent>
          <mc:Choice Requires="wpg">
            <w:drawing>
              <wp:inline distT="0" distB="0" distL="0" distR="0">
                <wp:extent cx="5904230" cy="2609850"/>
                <wp:effectExtent l="0" t="0" r="0" b="0"/>
                <wp:docPr id="45" name="1.1.4-rasm"/>
                <a:graphic xmlns:a="http://schemas.openxmlformats.org/drawingml/2006/main">
                  <a:graphicData uri="http://schemas.microsoft.com/office/word/2010/wordprocessingGroup">
                    <wpg:wgp>
                      <wpg:cNvGrpSpPr/>
                      <wpg:grpSpPr>
                        <a:xfrm>
                          <a:off x="0" y="0"/>
                          <a:ext cx="5904360" cy="2610000"/>
                          <a:chOff x="0" y="0"/>
                          <a:chExt cx="5904360" cy="2610000"/>
                        </a:xfrm>
                      </wpg:grpSpPr>
                      <wps:wsp>
                        <wps:cNvPr id="46" name="Shape 43"/>
                        <wps:cNvSpPr/>
                        <wps:spPr>
                          <a:xfrm>
                            <a:off x="1682280" y="0"/>
                            <a:ext cx="2558880" cy="3348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Moliyaviy barqarorlik omillari</w:t>
                              </w:r>
                            </w:p>
                            <w:p>
                              <w:pPr>
                                <w:pStyle w:val="FrameContents"/>
                                <w:spacing w:before="0" w:after="200"/>
                                <w:rPr/>
                              </w:pPr>
                              <w:r>
                                <w:rPr/>
                              </w:r>
                            </w:p>
                          </w:txbxContent>
                        </wps:txbx>
                        <wps:bodyPr lIns="36360" rIns="36360" tIns="17640" bIns="17640" anchor="ctr">
                          <a:noAutofit/>
                        </wps:bodyPr>
                      </wps:wsp>
                      <wps:wsp>
                        <wps:cNvPr id="47" name="Connector 44"/>
                        <wps:cNvSpPr/>
                        <wps:spPr>
                          <a:xfrm flipH="1">
                            <a:off x="1443960" y="335160"/>
                            <a:ext cx="1517040" cy="20520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48" name="Shape 45"/>
                        <wps:cNvSpPr/>
                        <wps:spPr>
                          <a:xfrm>
                            <a:off x="0" y="541080"/>
                            <a:ext cx="2887920" cy="31608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Tashqi omillar (10)</w:t>
                              </w:r>
                            </w:p>
                            <w:p>
                              <w:pPr>
                                <w:pStyle w:val="FrameContents"/>
                                <w:spacing w:before="0" w:after="200"/>
                                <w:rPr/>
                              </w:pPr>
                              <w:r>
                                <w:rPr/>
                              </w:r>
                            </w:p>
                          </w:txbxContent>
                        </wps:txbx>
                        <wps:bodyPr lIns="36360" rIns="36360" tIns="17640" bIns="17640" anchor="ctr">
                          <a:noAutofit/>
                        </wps:bodyPr>
                      </wps:wsp>
                      <wps:wsp>
                        <wps:cNvPr id="49" name="Shape 46"/>
                        <wps:cNvSpPr/>
                        <wps:spPr>
                          <a:xfrm>
                            <a:off x="0" y="894600"/>
                            <a:ext cx="2887920" cy="17150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left"/>
                                <w:rPr/>
                              </w:pPr>
                              <w:r>
                                <w:rPr>
                                  <w:rFonts w:cs="Times New Roman"/>
                                  <w:color w:val="000000"/>
                                  <w:sz w:val="19"/>
                                  <w:szCs w:val="19"/>
                                </w:rPr>
                                <w:t>1. Makroiqtisodiy holat</w:t>
                              </w:r>
                            </w:p>
                            <w:p>
                              <w:pPr>
                                <w:pStyle w:val="Normal"/>
                                <w:spacing w:lineRule="auto" w:line="228" w:before="0" w:after="0"/>
                                <w:ind w:hanging="0"/>
                                <w:jc w:val="left"/>
                                <w:rPr/>
                              </w:pPr>
                              <w:r>
                                <w:rPr>
                                  <w:rFonts w:cs="Times New Roman"/>
                                  <w:color w:val="000000"/>
                                  <w:sz w:val="19"/>
                                  <w:szCs w:val="19"/>
                                </w:rPr>
                                <w:t>2. Davlatning maqsadli mo‘ljallari</w:t>
                              </w:r>
                            </w:p>
                            <w:p>
                              <w:pPr>
                                <w:pStyle w:val="Normal"/>
                                <w:spacing w:lineRule="auto" w:line="228" w:before="0" w:after="0"/>
                                <w:ind w:hanging="0"/>
                                <w:jc w:val="left"/>
                                <w:rPr/>
                              </w:pPr>
                              <w:r>
                                <w:rPr>
                                  <w:rFonts w:cs="Times New Roman"/>
                                  <w:color w:val="000000"/>
                                  <w:sz w:val="19"/>
                                  <w:szCs w:val="19"/>
                                </w:rPr>
                                <w:t>3. Talab va to‘lov qobiliyati</w:t>
                              </w:r>
                            </w:p>
                            <w:p>
                              <w:pPr>
                                <w:pStyle w:val="Normal"/>
                                <w:spacing w:lineRule="auto" w:line="228" w:before="0" w:after="0"/>
                                <w:ind w:hanging="0"/>
                                <w:jc w:val="left"/>
                                <w:rPr/>
                              </w:pPr>
                              <w:r>
                                <w:rPr>
                                  <w:rFonts w:cs="Times New Roman"/>
                                  <w:color w:val="000000"/>
                                  <w:sz w:val="19"/>
                                  <w:szCs w:val="19"/>
                                </w:rPr>
                                <w:t>4. Pul bozori holati</w:t>
                              </w:r>
                            </w:p>
                            <w:p>
                              <w:pPr>
                                <w:pStyle w:val="Normal"/>
                                <w:spacing w:lineRule="auto" w:line="228" w:before="0" w:after="0"/>
                                <w:ind w:hanging="0"/>
                                <w:jc w:val="left"/>
                                <w:rPr/>
                              </w:pPr>
                              <w:r>
                                <w:rPr>
                                  <w:rFonts w:cs="Times New Roman"/>
                                  <w:color w:val="000000"/>
                                  <w:sz w:val="19"/>
                                  <w:szCs w:val="19"/>
                                </w:rPr>
                                <w:t>5. Pul muomalasi va inflyatsiya</w:t>
                              </w:r>
                            </w:p>
                            <w:p>
                              <w:pPr>
                                <w:pStyle w:val="Normal"/>
                                <w:spacing w:lineRule="auto" w:line="228" w:before="0" w:after="0"/>
                                <w:ind w:hanging="0"/>
                                <w:jc w:val="left"/>
                                <w:rPr/>
                              </w:pPr>
                              <w:r>
                                <w:rPr>
                                  <w:rFonts w:cs="Times New Roman"/>
                                  <w:color w:val="000000"/>
                                  <w:sz w:val="19"/>
                                  <w:szCs w:val="19"/>
                                </w:rPr>
                                <w:t>6. Raqobat</w:t>
                              </w:r>
                            </w:p>
                            <w:p>
                              <w:pPr>
                                <w:pStyle w:val="Normal"/>
                                <w:spacing w:lineRule="auto" w:line="228" w:before="0" w:after="0"/>
                                <w:ind w:hanging="0"/>
                                <w:jc w:val="left"/>
                                <w:rPr/>
                              </w:pPr>
                              <w:r>
                                <w:rPr>
                                  <w:rFonts w:cs="Times New Roman"/>
                                  <w:color w:val="000000"/>
                                  <w:sz w:val="19"/>
                                  <w:szCs w:val="19"/>
                                </w:rPr>
                                <w:t>7. Bank tizimining holati</w:t>
                              </w:r>
                            </w:p>
                            <w:p>
                              <w:pPr>
                                <w:pStyle w:val="Normal"/>
                                <w:spacing w:lineRule="auto" w:line="228" w:before="0" w:after="0"/>
                                <w:ind w:hanging="0"/>
                                <w:jc w:val="left"/>
                                <w:rPr/>
                              </w:pPr>
                              <w:r>
                                <w:rPr>
                                  <w:rFonts w:cs="Times New Roman"/>
                                  <w:color w:val="000000"/>
                                  <w:sz w:val="19"/>
                                  <w:szCs w:val="19"/>
                                </w:rPr>
                                <w:t>8. Qonunchilik</w:t>
                              </w:r>
                            </w:p>
                            <w:p>
                              <w:pPr>
                                <w:pStyle w:val="Normal"/>
                                <w:spacing w:lineRule="auto" w:line="228" w:before="0" w:after="0"/>
                                <w:ind w:hanging="0"/>
                                <w:jc w:val="left"/>
                                <w:rPr/>
                              </w:pPr>
                              <w:r>
                                <w:rPr>
                                  <w:rFonts w:cs="Times New Roman"/>
                                  <w:color w:val="000000"/>
                                  <w:sz w:val="19"/>
                                  <w:szCs w:val="19"/>
                                </w:rPr>
                                <w:t>9. Infratuzilma</w:t>
                              </w:r>
                            </w:p>
                            <w:p>
                              <w:pPr>
                                <w:pStyle w:val="Normal"/>
                                <w:spacing w:lineRule="auto" w:line="228" w:before="0" w:after="0"/>
                                <w:ind w:hanging="0"/>
                                <w:jc w:val="left"/>
                                <w:rPr/>
                              </w:pPr>
                              <w:r>
                                <w:rPr>
                                  <w:rFonts w:cs="Times New Roman"/>
                                  <w:color w:val="000000"/>
                                  <w:sz w:val="19"/>
                                  <w:szCs w:val="19"/>
                                </w:rPr>
                                <w:t>10. Ishonch (fundamental omil)</w:t>
                              </w:r>
                            </w:p>
                            <w:p>
                              <w:pPr>
                                <w:pStyle w:val="FrameContents"/>
                                <w:spacing w:before="0" w:after="200"/>
                                <w:rPr/>
                              </w:pPr>
                              <w:r>
                                <w:rPr/>
                              </w:r>
                            </w:p>
                          </w:txbxContent>
                        </wps:txbx>
                        <wps:bodyPr lIns="36360" rIns="36360" tIns="17640" bIns="17640" anchor="ctr">
                          <a:noAutofit/>
                        </wps:bodyPr>
                      </wps:wsp>
                      <wps:wsp>
                        <wps:cNvPr id="50" name="Connector 47"/>
                        <wps:cNvSpPr/>
                        <wps:spPr>
                          <a:xfrm>
                            <a:off x="2961720" y="335160"/>
                            <a:ext cx="1497960" cy="20520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51" name="Shape 48"/>
                        <wps:cNvSpPr/>
                        <wps:spPr>
                          <a:xfrm>
                            <a:off x="3016080" y="541080"/>
                            <a:ext cx="2887920" cy="3160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Ichki omillar (9)</w:t>
                              </w:r>
                            </w:p>
                            <w:p>
                              <w:pPr>
                                <w:pStyle w:val="FrameContents"/>
                                <w:spacing w:before="0" w:after="200"/>
                                <w:rPr/>
                              </w:pPr>
                              <w:r>
                                <w:rPr/>
                              </w:r>
                            </w:p>
                          </w:txbxContent>
                        </wps:txbx>
                        <wps:bodyPr lIns="36360" rIns="36360" tIns="17640" bIns="17640" anchor="ctr">
                          <a:noAutofit/>
                        </wps:bodyPr>
                      </wps:wsp>
                      <wps:wsp>
                        <wps:cNvPr id="52" name="Shape 49"/>
                        <wps:cNvSpPr/>
                        <wps:spPr>
                          <a:xfrm>
                            <a:off x="3016080" y="894600"/>
                            <a:ext cx="2887920" cy="17150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left"/>
                                <w:rPr/>
                              </w:pPr>
                              <w:r>
                                <w:rPr>
                                  <w:rFonts w:cs="Times New Roman"/>
                                  <w:color w:val="000000"/>
                                  <w:sz w:val="19"/>
                                  <w:szCs w:val="19"/>
                                </w:rPr>
                                <w:t>1. Strategiya va prognozlash</w:t>
                              </w:r>
                            </w:p>
                            <w:p>
                              <w:pPr>
                                <w:pStyle w:val="Normal"/>
                                <w:spacing w:lineRule="auto" w:line="228" w:before="0" w:after="0"/>
                                <w:ind w:hanging="0"/>
                                <w:jc w:val="left"/>
                                <w:rPr/>
                              </w:pPr>
                              <w:r>
                                <w:rPr>
                                  <w:rFonts w:cs="Times New Roman"/>
                                  <w:color w:val="000000"/>
                                  <w:sz w:val="19"/>
                                  <w:szCs w:val="19"/>
                                </w:rPr>
                                <w:t>2. Miqdor va sifat ko‘rsatkichlari o‘sishi</w:t>
                              </w:r>
                            </w:p>
                            <w:p>
                              <w:pPr>
                                <w:pStyle w:val="Normal"/>
                                <w:spacing w:lineRule="auto" w:line="228" w:before="0" w:after="0"/>
                                <w:ind w:hanging="0"/>
                                <w:jc w:val="left"/>
                                <w:rPr/>
                              </w:pPr>
                              <w:r>
                                <w:rPr>
                                  <w:rFonts w:cs="Times New Roman"/>
                                  <w:color w:val="000000"/>
                                  <w:sz w:val="19"/>
                                  <w:szCs w:val="19"/>
                                </w:rPr>
                                <w:t>3. Resurslarni jalb qilish va likvidlik</w:t>
                              </w:r>
                            </w:p>
                            <w:p>
                              <w:pPr>
                                <w:pStyle w:val="Normal"/>
                                <w:spacing w:lineRule="auto" w:line="228" w:before="0" w:after="0"/>
                                <w:ind w:hanging="0"/>
                                <w:jc w:val="left"/>
                                <w:rPr/>
                              </w:pPr>
                              <w:r>
                                <w:rPr>
                                  <w:rFonts w:cs="Times New Roman"/>
                                  <w:color w:val="000000"/>
                                  <w:sz w:val="19"/>
                                  <w:szCs w:val="19"/>
                                </w:rPr>
                                <w:t>4. Risklarga qarshi tura olish</w:t>
                              </w:r>
                            </w:p>
                            <w:p>
                              <w:pPr>
                                <w:pStyle w:val="Normal"/>
                                <w:spacing w:lineRule="auto" w:line="228" w:before="0" w:after="0"/>
                                <w:ind w:hanging="0"/>
                                <w:jc w:val="left"/>
                                <w:rPr/>
                              </w:pPr>
                              <w:r>
                                <w:rPr>
                                  <w:rFonts w:cs="Times New Roman"/>
                                  <w:color w:val="000000"/>
                                  <w:sz w:val="19"/>
                                  <w:szCs w:val="19"/>
                                </w:rPr>
                                <w:t>5. Xarajatlarni tejash</w:t>
                              </w:r>
                            </w:p>
                            <w:p>
                              <w:pPr>
                                <w:pStyle w:val="Normal"/>
                                <w:spacing w:lineRule="auto" w:line="228" w:before="0" w:after="0"/>
                                <w:ind w:hanging="0"/>
                                <w:jc w:val="left"/>
                                <w:rPr/>
                              </w:pPr>
                              <w:r>
                                <w:rPr>
                                  <w:rFonts w:cs="Times New Roman"/>
                                  <w:color w:val="000000"/>
                                  <w:sz w:val="19"/>
                                  <w:szCs w:val="19"/>
                                </w:rPr>
                                <w:t>6. Ichki infratuzilma va kadrlar</w:t>
                              </w:r>
                            </w:p>
                            <w:p>
                              <w:pPr>
                                <w:pStyle w:val="Normal"/>
                                <w:spacing w:lineRule="auto" w:line="228" w:before="0" w:after="0"/>
                                <w:ind w:hanging="0"/>
                                <w:jc w:val="left"/>
                                <w:rPr/>
                              </w:pPr>
                              <w:r>
                                <w:rPr>
                                  <w:rFonts w:cs="Times New Roman"/>
                                  <w:color w:val="000000"/>
                                  <w:sz w:val="19"/>
                                  <w:szCs w:val="19"/>
                                </w:rPr>
                                <w:t>7. Marketing va boshqaruv</w:t>
                              </w:r>
                            </w:p>
                            <w:p>
                              <w:pPr>
                                <w:pStyle w:val="Normal"/>
                                <w:spacing w:lineRule="auto" w:line="228" w:before="0" w:after="0"/>
                                <w:ind w:hanging="0"/>
                                <w:jc w:val="left"/>
                                <w:rPr/>
                              </w:pPr>
                              <w:r>
                                <w:rPr>
                                  <w:rFonts w:cs="Times New Roman"/>
                                  <w:color w:val="000000"/>
                                  <w:sz w:val="19"/>
                                  <w:szCs w:val="19"/>
                                </w:rPr>
                                <w:t>8. Texnologiyalar</w:t>
                              </w:r>
                            </w:p>
                            <w:p>
                              <w:pPr>
                                <w:pStyle w:val="Normal"/>
                                <w:spacing w:lineRule="auto" w:line="228" w:before="0" w:after="0"/>
                                <w:ind w:hanging="0"/>
                                <w:jc w:val="left"/>
                                <w:rPr/>
                              </w:pPr>
                              <w:r>
                                <w:rPr>
                                  <w:rFonts w:cs="Times New Roman"/>
                                  <w:color w:val="000000"/>
                                  <w:sz w:val="19"/>
                                  <w:szCs w:val="19"/>
                                </w:rPr>
                                <w:t>9. Ish tashkiloti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4-rasm" style="position:absolute;margin-left:0pt;margin-top:-102.75pt;width:464.9pt;height:205.45pt" coordorigin="0,-2055" coordsize="9298,4109">
                <v:shape id="shape_0" ID="Connector 44" path="m0,0l-2147483648,-2147483647e" stroked="t" o:allowincell="f" style="position:absolute;left:2274;top:-1527;width:2388;height:322;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47" path="m0,0l-2147483648,-2147483647e" stroked="t" o:allowincell="f" style="position:absolute;left:4664;top:-1527;width:2358;height:322;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1.1.4-rasm. Tijorat banklari moliyaviy barqarorligiga ta’sir etuvchi omillar</w:t>
      </w:r>
    </w:p>
    <w:p>
      <w:pPr>
        <w:pStyle w:val="BodyText"/>
        <w:spacing w:lineRule="auto" w:line="360" w:before="0" w:after="0"/>
        <w:ind w:firstLine="709"/>
        <w:jc w:val="both"/>
        <w:rPr/>
      </w:pPr>
      <w:r>
        <w:rPr>
          <w:rFonts w:eastAsia="Times New Roman" w:cs="Times New Roman"/>
          <w:sz w:val="28"/>
        </w:rPr>
        <w:t>Tashqi omillar orasida mualliflar ishonchni «fundamental omil» deb alohida ajratadi.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pPr>
        <w:pStyle w:val="BodyText"/>
        <w:keepNext w:val="true"/>
        <w:spacing w:lineRule="auto" w:line="240" w:before="0" w:after="0"/>
        <w:ind w:hanging="0"/>
        <w:jc w:val="center"/>
        <w:rPr/>
      </w:pPr>
      <w:r>
        <w:rPr/>
        <w:drawing>
          <wp:inline distT="0" distB="0" distL="0" distR="0">
            <wp:extent cx="5760085" cy="2879725"/>
            <wp:effectExtent l="0" t="0" r="0" b="0"/>
            <wp:docPr id="53" name="1.1.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
              </a:graphicData>
            </a:graphic>
          </wp:inline>
        </w:drawing>
      </w:r>
    </w:p>
    <w:p>
      <w:pPr>
        <w:pStyle w:val="BodyText"/>
        <w:spacing w:lineRule="auto" w:line="240" w:before="120" w:after="240"/>
        <w:ind w:hanging="0"/>
        <w:jc w:val="center"/>
        <w:rPr/>
      </w:pPr>
      <w:r>
        <w:rPr>
          <w:rFonts w:eastAsia="Times New Roman" w:cs="Times New Roman"/>
          <w:b/>
          <w:sz w:val="28"/>
        </w:rPr>
        <w:t>1.1.5-rasm. AQSh banklarida moliyaviy barqarorlik pasayishining sabablari, muammoli banklar sonidagi ulushi, %</w:t>
      </w:r>
    </w:p>
    <w:p>
      <w:pPr>
        <w:pStyle w:val="BodyText"/>
        <w:spacing w:lineRule="auto" w:line="360" w:before="0" w:after="0"/>
        <w:ind w:firstLine="709"/>
        <w:jc w:val="both"/>
        <w:rPr/>
      </w:pPr>
      <w:r>
        <w:rPr>
          <w:rFonts w:eastAsia="Times New Roman" w:cs="Times New Roman"/>
          <w:sz w:val="28"/>
        </w:rPr>
        <w:t>Rasm ma’lumotlari muammoli banklarning deyarli barchasida (98 foiz) aktivlar sifatining yomonligi, 90 foizida esa rejalashtirish va boshqaruvning zaifligi qayd etilganini ko‘rsatadi. Ichki auditning yo‘qligi va firibgarlik kamroq uchraydi, ammo ular ham muhim omil bo‘lib qolmoqda.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 Bu signallar keyinchalik erta ogohlantirish tizimini ishlab chiqishda asos bo‘lib xizmat qiladi.</w:t>
      </w:r>
    </w:p>
    <w:p>
      <w:pPr>
        <w:pStyle w:val="BodyText"/>
        <w:spacing w:lineRule="auto" w:line="360" w:before="0" w:after="0"/>
        <w:ind w:firstLine="709"/>
        <w:jc w:val="both"/>
        <w:rPr/>
      </w:pPr>
      <w:r>
        <w:rPr>
          <w:rFonts w:eastAsia="Times New Roman" w:cs="Times New Roman"/>
          <w:sz w:val="28"/>
        </w:rPr>
        <w:t>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 D.K. Tarullo ham bank faoliyatini tartibga solishning uchta nazariy asosini keltiradi: bank aktivlarini tashqaridan baholashning qiyinligi, depozitlarni sug‘urtalash va oxirgi instansiya kreditori mavjudligi tug‘diradigan moral xavf hamda tizimli risk. Ana shu nazariy asosda moliyaviy barqarorlikni tushuntiruvchi bir nechta konseptual modellar shakllangan.</w:t>
      </w:r>
    </w:p>
    <w:p>
      <w:pPr>
        <w:pStyle w:val="BodyText"/>
        <w:spacing w:lineRule="auto" w:line="360" w:before="0" w:after="0"/>
        <w:ind w:firstLine="709"/>
        <w:jc w:val="both"/>
        <w:rPr/>
      </w:pPr>
      <w:r>
        <w:rPr>
          <w:rFonts w:eastAsia="Times New Roman" w:cs="Times New Roman"/>
          <w:sz w:val="28"/>
        </w:rP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 Keyinchalik D. Diamond va R. Rajan bu modelni rivojlantirib, kapitalning bunday shoklarga qarshi bufer vazifasini bajarishini, shu bilan birga uning narxi ham borligini, ya’ni ortiqcha kapital talabi kreditlashning qisqarishiga olib kelishini ko‘rsatgan. Ushbu model likvidlik va fondlash barqarorligini moliyaviy barqarorlikning alohida tarkibiy qismi sifatida baholash zarurligini nazariy jihatdan asoslaydi.</w:t>
      </w:r>
    </w:p>
    <w:p>
      <w:pPr>
        <w:pStyle w:val="BodyText"/>
        <w:spacing w:lineRule="auto" w:line="360" w:before="0" w:after="0"/>
        <w:ind w:firstLine="709"/>
        <w:jc w:val="both"/>
        <w:rPr/>
      </w:pPr>
      <w:r>
        <w:rPr>
          <w:rFonts w:eastAsia="Times New Roman" w:cs="Times New Roman"/>
          <w:sz w:val="28"/>
        </w:rPr>
        <w:t>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 J.M. Hendrickson ham bank inqirozining to‘rt elementi sifatida tashqi shok va optimizmni, Minskiy ta’riflagan kredit kengayishini, ishonchning yo‘qolishini va banklarning ommaviy inqiroziga o‘tishni ko‘rsatadi. A.V. Thakor esa bu jarayonni yanada aniqroq ifodalaydi: uzoq muvaffaqiyat bankirlar mahoratiga bo‘lgan ishonchni oshiradi, shok kelganda esa moliyalashtirish to‘xtaydi va «likvidlik inqiroziga o‘xshagan, aslida to‘lov qobiliyati inqirozi» yuzaga keladi. Minskiy modelining baholash metodikasi uchun ahamiyati shundaki, u moliyaviy barqarorlikni bir sanadagi ko‘rsatkichlar bilan emas, balki kredit o‘sishi va qarz yukining dinamikasi orqali kuzatish zarurligini asoslaydi.</w:t>
      </w:r>
    </w:p>
    <w:p>
      <w:pPr>
        <w:pStyle w:val="BodyText"/>
        <w:spacing w:lineRule="auto" w:line="360" w:before="0" w:after="0"/>
        <w:ind w:firstLine="709"/>
        <w:jc w:val="both"/>
        <w:rPr/>
      </w:pPr>
      <w:r>
        <w:rPr>
          <w:rFonts w:eastAsia="Times New Roman" w:cs="Times New Roman"/>
          <w:sz w:val="28"/>
        </w:rP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 Ushbu mantiqni R. Merton tomonidan ishlab chiqilgan tarkibiy model miqdoriy shaklga keltiradi: kompaniya aktivlarining qiymati majburiyatlardan pastga tushganda defolt yuz beradi, demak, defoltgacha bo‘lgan masofa kapital zaxirasi va aktivlar qiymatining o‘zgaruvchanligiga bog‘liq. Biroq bu model aksiyalari birjada faol savdo qilinadigan banklar uchungina qo‘llanishi mumkin.</w:t>
      </w:r>
    </w:p>
    <w:p>
      <w:pPr>
        <w:pStyle w:val="BodyText"/>
        <w:spacing w:lineRule="auto" w:line="360" w:before="0" w:after="0"/>
        <w:ind w:firstLine="709"/>
        <w:jc w:val="both"/>
        <w:rPr/>
      </w:pPr>
      <w:r>
        <w:rPr>
          <w:rFonts w:eastAsia="Times New Roman" w:cs="Times New Roman"/>
          <w:sz w:val="28"/>
        </w:rPr>
        <w:t>To‘rtinchi model ana shu mantiqdan kelib chiqadi. Aksiyalari bozorda savdo qilinmaydigan banklar uchun shu g‘oyaning buxgalteriya hisobi ma’lumotlariga asoslangan varianti – Z-score ko‘rsatkichi qo‘llanadi. Uning nazariy asosi A.D. Roy tomonidan qo‘yilgan bo‘lib, bank faoliyatiga J.H. Boyd va S.L. Graham tomonidan tatbiq etilgan.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pPr>
        <w:pStyle w:val="BodyText"/>
        <w:keepNext w:val="true"/>
        <w:spacing w:lineRule="auto" w:line="240" w:before="0" w:after="0"/>
        <w:ind w:hanging="0"/>
        <w:jc w:val="center"/>
        <w:rPr/>
      </w:pPr>
      <w:r>
        <w:rPr/>
        <w:drawing>
          <wp:inline distT="0" distB="0" distL="0" distR="0">
            <wp:extent cx="5760085" cy="2879725"/>
            <wp:effectExtent l="0" t="0" r="0" b="0"/>
            <wp:docPr id="54" name="1.1.6-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
              </a:graphicData>
            </a:graphic>
          </wp:inline>
        </w:drawing>
      </w:r>
    </w:p>
    <w:p>
      <w:pPr>
        <w:pStyle w:val="BodyText"/>
        <w:spacing w:lineRule="auto" w:line="240" w:before="120" w:after="240"/>
        <w:ind w:hanging="0"/>
        <w:jc w:val="center"/>
        <w:rPr/>
      </w:pPr>
      <w:r>
        <w:rPr>
          <w:rFonts w:eastAsia="Times New Roman" w:cs="Times New Roman"/>
          <w:b/>
          <w:sz w:val="28"/>
        </w:rPr>
        <w:t>1.1.6-rasm. Z-score ko‘rsatkichiga asoslangan modelning Yevropa banklari muammolarini bashorat qilish aniqligi, %</w:t>
      </w:r>
    </w:p>
    <w:p>
      <w:pPr>
        <w:pStyle w:val="BodyText"/>
        <w:spacing w:lineRule="auto" w:line="360" w:before="0" w:after="0"/>
        <w:ind w:firstLine="709"/>
        <w:jc w:val="both"/>
        <w:rPr/>
      </w:pPr>
      <w:r>
        <w:rPr>
          <w:rFonts w:eastAsia="Times New Roman" w:cs="Times New Roman"/>
          <w:sz w:val="28"/>
        </w:rPr>
        <w:t>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 Bu xulosa aksiyalar bozori rivojlanmagan O‘zbekiston sharoitida buxgalteriya ma’lumotlariga asoslangan integral baholash usullarining afzalligini asoslaydi.</w:t>
      </w:r>
    </w:p>
    <w:p>
      <w:pPr>
        <w:pStyle w:val="BodyText"/>
        <w:spacing w:lineRule="auto" w:line="360" w:before="0" w:after="0"/>
        <w:ind w:firstLine="709"/>
        <w:jc w:val="both"/>
        <w:rPr/>
      </w:pPr>
      <w:r>
        <w:rPr>
          <w:rFonts w:eastAsia="Times New Roman" w:cs="Times New Roman"/>
          <w:sz w:val="28"/>
        </w:rP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 Keyinchalik bu yondashuv asosida T. Adrian va M. Brunnermeier taklif etgan CoVaR kabi bozor ma’lumotlariga asoslangan tizimli risk ko‘rsatkichlari ishlab chiqildi.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Rule="auto" w:line="360" w:before="0" w:after="0"/>
        <w:ind w:firstLine="709"/>
        <w:jc w:val="both"/>
        <w:rPr/>
      </w:pPr>
      <w:r>
        <w:rPr>
          <w:rFonts w:eastAsia="Times New Roman" w:cs="Times New Roman"/>
          <w:sz w:val="28"/>
        </w:rPr>
        <w:t>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val="true"/>
        <w:spacing w:lineRule="auto" w:line="360" w:before="120" w:after="0"/>
        <w:ind w:hanging="0"/>
        <w:jc w:val="right"/>
        <w:rPr/>
      </w:pPr>
      <w:r>
        <w:rPr>
          <w:rFonts w:eastAsia="Times New Roman" w:cs="Times New Roman"/>
          <w:i/>
          <w:sz w:val="28"/>
        </w:rPr>
        <w:t>1.1.2-jadval</w:t>
      </w:r>
    </w:p>
    <w:p>
      <w:pPr>
        <w:pStyle w:val="BodyText"/>
        <w:keepNext w:val="true"/>
        <w:spacing w:lineRule="auto" w:line="240" w:before="0" w:after="120"/>
        <w:ind w:hanging="0"/>
        <w:jc w:val="center"/>
        <w:rPr/>
      </w:pPr>
      <w:r>
        <w:rPr>
          <w:rFonts w:eastAsia="Times New Roman" w:cs="Times New Roman"/>
          <w:b/>
          <w:bCs/>
          <w:sz w:val="28"/>
        </w:rPr>
        <w:t>Moliyaviy barqarorlikni tushuntiruvchi konseptual modellarning qiyosiy tavsifi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22"/>
        <w:gridCol w:w="2422"/>
        <w:gridCol w:w="2422"/>
        <w:gridCol w:w="2422"/>
      </w:tblGrid>
      <w:tr>
        <w:trPr>
          <w:tblHeader w:val="true"/>
          <w:cantSplit w:val="true"/>
        </w:trPr>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Model</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Asosiy g‘oyasi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Asosiy ko‘rsatkichi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Baholash metodikasi uchun xulosa</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yaratish va ommaviy mablag‘ talab qilish modeli (Diamond–Dybvig, Diamond–Rajan)</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Muddatlar transformatsiyasi bankni ishonch yo‘qolishiga zaif qiladi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 aktivlar, barqaror moliyalashtirish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va fondlash alohida blok sifatida baholanadi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Moliyaviy beqarorlik gipotezasi (Minskiy)</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Uzoq barqarorlik riskka moyillikni oshiradi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o‘sishi, qarz yuki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Ko‘rsatkichlarning dinamikasi va kredit o‘sishi kuzatiladi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Kapital-bufer va tarkibiy model (Tarullo, Merton)</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kutilmagan yo‘qotishlarni qoplaydi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yetarliligi, defoltgacha masofa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markaziy blok; baho minimumdan ortiq zaxiraga qarab beriladi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Z-score modeli (Roy, Boyd–Graham)</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To‘lovga qobiliyatsizlikkacha bo‘lgan masofa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Kapital/aktivlar, ROA va uning o‘zgaruvchanligi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Buxgalteriya ma’lumotlari asosida integral baho va bashorat</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Makroprudensial modellar (Borio, Adrian–Brunnermeier)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risk vaqt va kesim o‘lchovida to‘planadi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gepi, CoVaR, o‘zaro bog‘liqlik</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Mikro va makro baholash uyg‘unlashtiriladi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Kelajakka yo‘naltirilgan risk modeli (Bazel III, MHXS 9)</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Zararlar yuz berishidan oldin baholanadi va qoplanadi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Kutilgan kredit zararlari, stress-test natijalari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Baholashga prognoz va stress elementlari kiritiladi</w:t>
            </w:r>
          </w:p>
        </w:tc>
      </w:tr>
    </w:tbl>
    <w:p>
      <w:pPr>
        <w:pStyle w:val="BodyText"/>
        <w:spacing w:lineRule="auto" w:line="360" w:before="0" w:after="0"/>
        <w:ind w:firstLine="709"/>
        <w:jc w:val="both"/>
        <w:rPr/>
      </w:pPr>
      <w:r>
        <w:rPr>
          <w:rFonts w:eastAsia="Times New Roman" w:cs="Times New Roman"/>
          <w:sz w:val="28"/>
        </w:rP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Rule="auto" w:line="360" w:before="0" w:after="0"/>
        <w:ind w:firstLine="709"/>
        <w:jc w:val="both"/>
        <w:rPr/>
      </w:pPr>
      <w:r>
        <w:rPr>
          <w:rFonts w:eastAsia="Times New Roman" w:cs="Times New Roman"/>
          <w:sz w:val="28"/>
        </w:rP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pPr>
        <w:pStyle w:val="BodyText"/>
        <w:keepNext w:val="true"/>
        <w:spacing w:lineRule="auto" w:line="240" w:before="0" w:after="0"/>
        <w:ind w:hanging="0"/>
        <w:jc w:val="center"/>
        <w:rPr/>
      </w:pPr>
      <w:r>
        <w:rPr/>
        <mc:AlternateContent>
          <mc:Choice Requires="wpg">
            <w:drawing>
              <wp:inline distT="0" distB="0" distL="0" distR="0">
                <wp:extent cx="5904230" cy="2807970"/>
                <wp:effectExtent l="0" t="0" r="0" b="0"/>
                <wp:docPr id="55" name="1.1.7-rasm"/>
                <a:graphic xmlns:a="http://schemas.openxmlformats.org/drawingml/2006/main">
                  <a:graphicData uri="http://schemas.microsoft.com/office/word/2010/wordprocessingGroup">
                    <wpg:wgp>
                      <wpg:cNvGrpSpPr/>
                      <wpg:grpSpPr>
                        <a:xfrm>
                          <a:off x="0" y="0"/>
                          <a:ext cx="5904360" cy="2808000"/>
                          <a:chOff x="0" y="0"/>
                          <a:chExt cx="5904360" cy="2808000"/>
                        </a:xfrm>
                      </wpg:grpSpPr>
                      <wps:wsp>
                        <wps:cNvPr id="56" name="Shape 50"/>
                        <wps:cNvSpPr/>
                        <wps:spPr>
                          <a:xfrm>
                            <a:off x="0" y="0"/>
                            <a:ext cx="5901120" cy="278280"/>
                          </a:xfrm>
                          <a:prstGeom prst="roundRect">
                            <a:avLst>
                              <a:gd name="adj" fmla="val 10000"/>
                            </a:avLst>
                          </a:prstGeom>
                          <a:solidFill>
                            <a:srgbClr val="fbe5d6"/>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Makroiqtisodiy muhit va tizimli risklar</w:t>
                              </w:r>
                            </w:p>
                            <w:p>
                              <w:pPr>
                                <w:pStyle w:val="FrameContents"/>
                                <w:spacing w:before="0" w:after="200"/>
                                <w:rPr/>
                              </w:pPr>
                              <w:r>
                                <w:rPr/>
                              </w:r>
                            </w:p>
                          </w:txbxContent>
                        </wps:txbx>
                        <wps:bodyPr lIns="36360" rIns="36360" tIns="17640" bIns="17640" anchor="ctr">
                          <a:noAutofit/>
                        </wps:bodyPr>
                      </wps:wsp>
                      <wps:wsp>
                        <wps:cNvPr id="57" name="Shape 51"/>
                        <wps:cNvSpPr/>
                        <wps:spPr>
                          <a:xfrm>
                            <a:off x="0" y="372240"/>
                            <a:ext cx="1110600" cy="38988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Kapital</w:t>
                              </w:r>
                            </w:p>
                            <w:p>
                              <w:pPr>
                                <w:pStyle w:val="FrameContents"/>
                                <w:spacing w:before="0" w:after="200"/>
                                <w:rPr/>
                              </w:pPr>
                              <w:r>
                                <w:rPr/>
                              </w:r>
                            </w:p>
                          </w:txbxContent>
                        </wps:txbx>
                        <wps:bodyPr lIns="36360" rIns="36360" tIns="17640" bIns="17640" anchor="ctr">
                          <a:noAutofit/>
                        </wps:bodyPr>
                      </wps:wsp>
                      <wps:wsp>
                        <wps:cNvPr id="58" name="Connector 52"/>
                        <wps:cNvSpPr/>
                        <wps:spPr>
                          <a:xfrm>
                            <a:off x="555120" y="762480"/>
                            <a:ext cx="2395080" cy="166320"/>
                          </a:xfrm>
                          <a:prstGeom prst="straightConnector1">
                            <a:avLst/>
                          </a:prstGeom>
                          <a:noFill/>
                          <a:ln w="12700">
                            <a:solidFill>
                              <a:srgbClr val="7f7f7f"/>
                            </a:solidFill>
                            <a:round/>
                          </a:ln>
                        </wps:spPr>
                        <wps:style>
                          <a:lnRef idx="0"/>
                          <a:fillRef idx="0"/>
                          <a:effectRef idx="0"/>
                          <a:fontRef idx="minor"/>
                        </wps:style>
                        <wps:bodyPr/>
                      </wps:wsp>
                      <wps:wsp>
                        <wps:cNvPr id="59" name="Shape 53"/>
                        <wps:cNvSpPr/>
                        <wps:spPr>
                          <a:xfrm>
                            <a:off x="1198080" y="372240"/>
                            <a:ext cx="1110600" cy="38988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Aktivlar</w:t>
                              </w:r>
                            </w:p>
                            <w:p>
                              <w:pPr>
                                <w:pStyle w:val="Normal"/>
                                <w:spacing w:lineRule="auto" w:line="228" w:before="0" w:after="0"/>
                                <w:ind w:hanging="0"/>
                                <w:jc w:val="center"/>
                                <w:rPr/>
                              </w:pPr>
                              <w:r>
                                <w:rPr>
                                  <w:rFonts w:cs="Times New Roman"/>
                                  <w:b/>
                                  <w:color w:val="FFFFFF"/>
                                  <w:sz w:val="20"/>
                                  <w:szCs w:val="20"/>
                                </w:rPr>
                                <w:t>sifati</w:t>
                              </w:r>
                            </w:p>
                            <w:p>
                              <w:pPr>
                                <w:pStyle w:val="FrameContents"/>
                                <w:spacing w:before="0" w:after="200"/>
                                <w:rPr/>
                              </w:pPr>
                              <w:r>
                                <w:rPr/>
                              </w:r>
                            </w:p>
                          </w:txbxContent>
                        </wps:txbx>
                        <wps:bodyPr lIns="36360" rIns="36360" tIns="17640" bIns="17640" anchor="ctr">
                          <a:noAutofit/>
                        </wps:bodyPr>
                      </wps:wsp>
                      <wps:wsp>
                        <wps:cNvPr id="60" name="Connector 54"/>
                        <wps:cNvSpPr/>
                        <wps:spPr>
                          <a:xfrm>
                            <a:off x="1753920" y="762480"/>
                            <a:ext cx="1195560" cy="166320"/>
                          </a:xfrm>
                          <a:prstGeom prst="straightConnector1">
                            <a:avLst/>
                          </a:prstGeom>
                          <a:noFill/>
                          <a:ln w="12700">
                            <a:solidFill>
                              <a:srgbClr val="7f7f7f"/>
                            </a:solidFill>
                            <a:round/>
                          </a:ln>
                        </wps:spPr>
                        <wps:style>
                          <a:lnRef idx="0"/>
                          <a:fillRef idx="0"/>
                          <a:effectRef idx="0"/>
                          <a:fontRef idx="minor"/>
                        </wps:style>
                        <wps:bodyPr/>
                      </wps:wsp>
                      <wps:wsp>
                        <wps:cNvPr id="61" name="Shape 55"/>
                        <wps:cNvSpPr/>
                        <wps:spPr>
                          <a:xfrm>
                            <a:off x="2397240" y="372240"/>
                            <a:ext cx="1109880" cy="3898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Likvidlik</w:t>
                              </w:r>
                            </w:p>
                            <w:p>
                              <w:pPr>
                                <w:pStyle w:val="FrameContents"/>
                                <w:spacing w:before="0" w:after="200"/>
                                <w:rPr/>
                              </w:pPr>
                              <w:r>
                                <w:rPr/>
                              </w:r>
                            </w:p>
                          </w:txbxContent>
                        </wps:txbx>
                        <wps:bodyPr lIns="36360" rIns="36360" tIns="17640" bIns="17640" anchor="ctr">
                          <a:noAutofit/>
                        </wps:bodyPr>
                      </wps:wsp>
                      <wps:wsp>
                        <wps:cNvPr id="62" name="Connector 56"/>
                        <wps:cNvSpPr/>
                        <wps:spPr>
                          <a:xfrm flipH="1">
                            <a:off x="2950920" y="762480"/>
                            <a:ext cx="1440" cy="166320"/>
                          </a:xfrm>
                          <a:prstGeom prst="straightConnector1">
                            <a:avLst/>
                          </a:prstGeom>
                          <a:noFill/>
                          <a:ln w="12700">
                            <a:solidFill>
                              <a:srgbClr val="7f7f7f"/>
                            </a:solidFill>
                            <a:round/>
                          </a:ln>
                        </wps:spPr>
                        <wps:style>
                          <a:lnRef idx="0"/>
                          <a:fillRef idx="0"/>
                          <a:effectRef idx="0"/>
                          <a:fontRef idx="minor"/>
                        </wps:style>
                        <wps:bodyPr/>
                      </wps:wsp>
                      <wps:wsp>
                        <wps:cNvPr id="63" name="Shape 57"/>
                        <wps:cNvSpPr/>
                        <wps:spPr>
                          <a:xfrm>
                            <a:off x="3595320" y="372240"/>
                            <a:ext cx="1110600" cy="38988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Daromad-</w:t>
                              </w:r>
                            </w:p>
                            <w:p>
                              <w:pPr>
                                <w:pStyle w:val="Normal"/>
                                <w:spacing w:lineRule="auto" w:line="228" w:before="0" w:after="0"/>
                                <w:ind w:hanging="0"/>
                                <w:jc w:val="center"/>
                                <w:rPr/>
                              </w:pPr>
                              <w:r>
                                <w:rPr>
                                  <w:rFonts w:cs="Times New Roman"/>
                                  <w:b/>
                                  <w:color w:val="000000"/>
                                  <w:sz w:val="20"/>
                                  <w:szCs w:val="20"/>
                                </w:rPr>
                                <w:t>lilik</w:t>
                              </w:r>
                            </w:p>
                            <w:p>
                              <w:pPr>
                                <w:pStyle w:val="FrameContents"/>
                                <w:spacing w:before="0" w:after="200"/>
                                <w:rPr/>
                              </w:pPr>
                              <w:r>
                                <w:rPr/>
                              </w:r>
                            </w:p>
                          </w:txbxContent>
                        </wps:txbx>
                        <wps:bodyPr lIns="36360" rIns="36360" tIns="17640" bIns="17640" anchor="ctr">
                          <a:noAutofit/>
                        </wps:bodyPr>
                      </wps:wsp>
                      <wps:wsp>
                        <wps:cNvPr id="64" name="Connector 58"/>
                        <wps:cNvSpPr/>
                        <wps:spPr>
                          <a:xfrm flipH="1">
                            <a:off x="2950200" y="762480"/>
                            <a:ext cx="1199520" cy="166320"/>
                          </a:xfrm>
                          <a:prstGeom prst="straightConnector1">
                            <a:avLst/>
                          </a:prstGeom>
                          <a:noFill/>
                          <a:ln w="12700">
                            <a:solidFill>
                              <a:srgbClr val="7f7f7f"/>
                            </a:solidFill>
                            <a:round/>
                          </a:ln>
                        </wps:spPr>
                        <wps:style>
                          <a:lnRef idx="0"/>
                          <a:fillRef idx="0"/>
                          <a:effectRef idx="0"/>
                          <a:fontRef idx="minor"/>
                        </wps:style>
                        <wps:bodyPr/>
                      </wps:wsp>
                      <wps:wsp>
                        <wps:cNvPr id="65" name="Shape 59"/>
                        <wps:cNvSpPr/>
                        <wps:spPr>
                          <a:xfrm>
                            <a:off x="4793760" y="372240"/>
                            <a:ext cx="1110600" cy="389880"/>
                          </a:xfrm>
                          <a:prstGeom prst="roundRect">
                            <a:avLst>
                              <a:gd name="adj" fmla="val 10000"/>
                            </a:avLst>
                          </a:prstGeom>
                          <a:solidFill>
                            <a:srgbClr val="a5a5a5"/>
                          </a:solidFill>
                          <a:ln w="12700">
                            <a:solidFill>
                              <a:srgbClr val="a5a5a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Boshqaruv</w:t>
                              </w:r>
                            </w:p>
                            <w:p>
                              <w:pPr>
                                <w:pStyle w:val="Normal"/>
                                <w:spacing w:lineRule="auto" w:line="228" w:before="0" w:after="0"/>
                                <w:ind w:hanging="0"/>
                                <w:jc w:val="center"/>
                                <w:rPr/>
                              </w:pPr>
                              <w:r>
                                <w:rPr>
                                  <w:rFonts w:cs="Times New Roman"/>
                                  <w:b/>
                                  <w:color w:val="000000"/>
                                  <w:sz w:val="20"/>
                                  <w:szCs w:val="20"/>
                                </w:rPr>
                                <w:t>sifati</w:t>
                              </w:r>
                            </w:p>
                            <w:p>
                              <w:pPr>
                                <w:pStyle w:val="FrameContents"/>
                                <w:spacing w:before="0" w:after="200"/>
                                <w:rPr/>
                              </w:pPr>
                              <w:r>
                                <w:rPr/>
                              </w:r>
                            </w:p>
                          </w:txbxContent>
                        </wps:txbx>
                        <wps:bodyPr lIns="36360" rIns="36360" tIns="17640" bIns="17640" anchor="ctr">
                          <a:noAutofit/>
                        </wps:bodyPr>
                      </wps:wsp>
                      <wps:wsp>
                        <wps:cNvPr id="66" name="Connector 60"/>
                        <wps:cNvSpPr/>
                        <wps:spPr>
                          <a:xfrm flipH="1">
                            <a:off x="2950920" y="762480"/>
                            <a:ext cx="2398320" cy="166320"/>
                          </a:xfrm>
                          <a:prstGeom prst="straightConnector1">
                            <a:avLst/>
                          </a:prstGeom>
                          <a:noFill/>
                          <a:ln w="12700">
                            <a:solidFill>
                              <a:srgbClr val="7f7f7f"/>
                            </a:solidFill>
                            <a:round/>
                          </a:ln>
                        </wps:spPr>
                        <wps:style>
                          <a:lnRef idx="0"/>
                          <a:fillRef idx="0"/>
                          <a:effectRef idx="0"/>
                          <a:fontRef idx="minor"/>
                        </wps:style>
                        <wps:bodyPr/>
                      </wps:wsp>
                      <wps:wsp>
                        <wps:cNvPr id="67" name="Shape 61"/>
                        <wps:cNvSpPr/>
                        <wps:spPr>
                          <a:xfrm>
                            <a:off x="0" y="929520"/>
                            <a:ext cx="1893600" cy="46476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Daraja</w:t>
                              </w:r>
                            </w:p>
                            <w:p>
                              <w:pPr>
                                <w:pStyle w:val="Normal"/>
                                <w:spacing w:lineRule="auto" w:line="228" w:before="0" w:after="0"/>
                                <w:ind w:hanging="0"/>
                                <w:jc w:val="center"/>
                                <w:rPr/>
                              </w:pPr>
                              <w:r>
                                <w:rPr>
                                  <w:rFonts w:cs="Times New Roman"/>
                                  <w:color w:val="000000"/>
                                  <w:sz w:val="18"/>
                                  <w:szCs w:val="18"/>
                                </w:rPr>
                                <w:t>xalqaro va milliy</w:t>
                              </w:r>
                            </w:p>
                            <w:p>
                              <w:pPr>
                                <w:pStyle w:val="Normal"/>
                                <w:spacing w:lineRule="auto" w:line="228" w:before="0" w:after="0"/>
                                <w:ind w:hanging="0"/>
                                <w:jc w:val="center"/>
                                <w:rPr/>
                              </w:pPr>
                              <w:r>
                                <w:rPr>
                                  <w:rFonts w:cs="Times New Roman"/>
                                  <w:color w:val="000000"/>
                                  <w:sz w:val="18"/>
                                  <w:szCs w:val="18"/>
                                </w:rPr>
                                <w:t>chegaralarga nisbatan</w:t>
                              </w:r>
                            </w:p>
                            <w:p>
                              <w:pPr>
                                <w:pStyle w:val="FrameContents"/>
                                <w:spacing w:before="0" w:after="200"/>
                                <w:rPr/>
                              </w:pPr>
                              <w:r>
                                <w:rPr/>
                              </w:r>
                            </w:p>
                          </w:txbxContent>
                        </wps:txbx>
                        <wps:bodyPr lIns="36360" rIns="36360" tIns="17640" bIns="17640" anchor="ctr">
                          <a:noAutofit/>
                        </wps:bodyPr>
                      </wps:wsp>
                      <wps:wsp>
                        <wps:cNvPr id="68" name="Shape 62"/>
                        <wps:cNvSpPr/>
                        <wps:spPr>
                          <a:xfrm>
                            <a:off x="1985040" y="929520"/>
                            <a:ext cx="1893600" cy="46476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Dinamika</w:t>
                              </w:r>
                            </w:p>
                            <w:p>
                              <w:pPr>
                                <w:pStyle w:val="Normal"/>
                                <w:spacing w:lineRule="auto" w:line="228" w:before="0" w:after="0"/>
                                <w:ind w:hanging="0"/>
                                <w:jc w:val="center"/>
                                <w:rPr/>
                              </w:pPr>
                              <w:r>
                                <w:rPr>
                                  <w:rFonts w:cs="Times New Roman"/>
                                  <w:color w:val="000000"/>
                                  <w:sz w:val="18"/>
                                  <w:szCs w:val="18"/>
                                </w:rPr>
                                <w:t>3–5 yillik trend</w:t>
                              </w:r>
                            </w:p>
                            <w:p>
                              <w:pPr>
                                <w:pStyle w:val="Normal"/>
                                <w:spacing w:lineRule="auto" w:line="228" w:before="0" w:after="0"/>
                                <w:ind w:hanging="0"/>
                                <w:jc w:val="center"/>
                                <w:rPr/>
                              </w:pPr>
                              <w:r>
                                <w:rPr>
                                  <w:rFonts w:cs="Times New Roman"/>
                                  <w:color w:val="000000"/>
                                  <w:sz w:val="18"/>
                                  <w:szCs w:val="18"/>
                                </w:rPr>
                                <w:t>va tebranish</w:t>
                              </w:r>
                            </w:p>
                            <w:p>
                              <w:pPr>
                                <w:pStyle w:val="FrameContents"/>
                                <w:spacing w:before="0" w:after="200"/>
                                <w:rPr/>
                              </w:pPr>
                              <w:r>
                                <w:rPr/>
                              </w:r>
                            </w:p>
                          </w:txbxContent>
                        </wps:txbx>
                        <wps:bodyPr lIns="36360" rIns="36360" tIns="17640" bIns="17640" anchor="ctr">
                          <a:noAutofit/>
                        </wps:bodyPr>
                      </wps:wsp>
                      <wps:wsp>
                        <wps:cNvPr id="69" name="Shape 63"/>
                        <wps:cNvSpPr/>
                        <wps:spPr>
                          <a:xfrm>
                            <a:off x="3970800" y="929520"/>
                            <a:ext cx="1893600" cy="46476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Muvozanat</w:t>
                              </w:r>
                            </w:p>
                            <w:p>
                              <w:pPr>
                                <w:pStyle w:val="Normal"/>
                                <w:spacing w:lineRule="auto" w:line="228" w:before="0" w:after="0"/>
                                <w:ind w:hanging="0"/>
                                <w:jc w:val="center"/>
                                <w:rPr/>
                              </w:pPr>
                              <w:r>
                                <w:rPr>
                                  <w:rFonts w:cs="Times New Roman"/>
                                  <w:color w:val="000000"/>
                                  <w:sz w:val="18"/>
                                  <w:szCs w:val="18"/>
                                </w:rPr>
                                <w:t>bloklar o‘rtasidagi</w:t>
                              </w:r>
                            </w:p>
                            <w:p>
                              <w:pPr>
                                <w:pStyle w:val="Normal"/>
                                <w:spacing w:lineRule="auto" w:line="228" w:before="0" w:after="0"/>
                                <w:ind w:hanging="0"/>
                                <w:jc w:val="center"/>
                                <w:rPr/>
                              </w:pPr>
                              <w:r>
                                <w:rPr>
                                  <w:rFonts w:cs="Times New Roman"/>
                                  <w:color w:val="000000"/>
                                  <w:sz w:val="18"/>
                                  <w:szCs w:val="18"/>
                                </w:rPr>
                                <w:t>mutanosiblik</w:t>
                              </w:r>
                            </w:p>
                            <w:p>
                              <w:pPr>
                                <w:pStyle w:val="FrameContents"/>
                                <w:spacing w:before="0" w:after="200"/>
                                <w:rPr/>
                              </w:pPr>
                              <w:r>
                                <w:rPr/>
                              </w:r>
                            </w:p>
                          </w:txbxContent>
                        </wps:txbx>
                        <wps:bodyPr lIns="36360" rIns="36360" tIns="17640" bIns="17640" anchor="ctr">
                          <a:noAutofit/>
                        </wps:bodyPr>
                      </wps:wsp>
                      <wps:wsp>
                        <wps:cNvPr id="70" name="Connector 64"/>
                        <wps:cNvSpPr/>
                        <wps:spPr>
                          <a:xfrm>
                            <a:off x="2950920" y="1395000"/>
                            <a:ext cx="720" cy="16704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71" name="Shape 65"/>
                        <wps:cNvSpPr/>
                        <wps:spPr>
                          <a:xfrm>
                            <a:off x="1311120" y="1562760"/>
                            <a:ext cx="3278520" cy="35316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Integral moliyaviy barqarorlik ko‘rsatkichi</w:t>
                              </w:r>
                            </w:p>
                            <w:p>
                              <w:pPr>
                                <w:pStyle w:val="FrameContents"/>
                                <w:spacing w:before="0" w:after="200"/>
                                <w:rPr/>
                              </w:pPr>
                              <w:r>
                                <w:rPr/>
                              </w:r>
                            </w:p>
                          </w:txbxContent>
                        </wps:txbx>
                        <wps:bodyPr lIns="36360" rIns="36360" tIns="17640" bIns="17640" anchor="ctr">
                          <a:noAutofit/>
                        </wps:bodyPr>
                      </wps:wsp>
                      <wps:wsp>
                        <wps:cNvPr id="72" name="Connector 66"/>
                        <wps:cNvSpPr/>
                        <wps:spPr>
                          <a:xfrm flipH="1">
                            <a:off x="1492920" y="1915920"/>
                            <a:ext cx="654840" cy="18468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73" name="Connector 67"/>
                        <wps:cNvSpPr/>
                        <wps:spPr>
                          <a:xfrm>
                            <a:off x="3752280" y="1915920"/>
                            <a:ext cx="654840" cy="18468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74" name="Shape 68"/>
                        <wps:cNvSpPr/>
                        <wps:spPr>
                          <a:xfrm>
                            <a:off x="0" y="2101680"/>
                            <a:ext cx="2877840" cy="353160"/>
                          </a:xfrm>
                          <a:prstGeom prst="roundRect">
                            <a:avLst>
                              <a:gd name="adj" fmla="val 10000"/>
                            </a:avLst>
                          </a:prstGeom>
                          <a:solidFill>
                            <a:srgbClr val="e2efda"/>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Erta ogohlantirish signallari</w:t>
                              </w:r>
                            </w:p>
                            <w:p>
                              <w:pPr>
                                <w:pStyle w:val="FrameContents"/>
                                <w:spacing w:before="0" w:after="200"/>
                                <w:rPr/>
                              </w:pPr>
                              <w:r>
                                <w:rPr/>
                              </w:r>
                            </w:p>
                          </w:txbxContent>
                        </wps:txbx>
                        <wps:bodyPr lIns="36360" rIns="36360" tIns="17640" bIns="17640" anchor="ctr">
                          <a:noAutofit/>
                        </wps:bodyPr>
                      </wps:wsp>
                      <wps:wsp>
                        <wps:cNvPr id="75" name="Shape 69"/>
                        <wps:cNvSpPr/>
                        <wps:spPr>
                          <a:xfrm>
                            <a:off x="3023280" y="2101680"/>
                            <a:ext cx="2877840" cy="353160"/>
                          </a:xfrm>
                          <a:prstGeom prst="roundRect">
                            <a:avLst>
                              <a:gd name="adj" fmla="val 10000"/>
                            </a:avLst>
                          </a:prstGeom>
                          <a:solidFill>
                            <a:srgbClr val="e2efda"/>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Nazorat choralari</w:t>
                              </w:r>
                            </w:p>
                            <w:p>
                              <w:pPr>
                                <w:pStyle w:val="FrameContents"/>
                                <w:spacing w:before="0" w:after="200"/>
                                <w:rPr/>
                              </w:pPr>
                              <w:r>
                                <w:rPr/>
                              </w:r>
                            </w:p>
                          </w:txbxContent>
                        </wps:txbx>
                        <wps:bodyPr lIns="36360" rIns="36360" tIns="17640" bIns="17640" anchor="ctr">
                          <a:noAutofit/>
                        </wps:bodyPr>
                      </wps:wsp>
                      <wps:wsp>
                        <wps:cNvPr id="76" name="Shape 70"/>
                        <wps:cNvSpPr/>
                        <wps:spPr>
                          <a:xfrm>
                            <a:off x="0" y="2529720"/>
                            <a:ext cx="5901120" cy="278280"/>
                          </a:xfrm>
                          <a:prstGeom prst="roundRect">
                            <a:avLst>
                              <a:gd name="adj" fmla="val 10000"/>
                            </a:avLst>
                          </a:prstGeom>
                          <a:solidFill>
                            <a:srgbClr val="ffffff"/>
                          </a:solidFill>
                          <a:ln w="12700">
                            <a:solidFill>
                              <a:srgbClr val="7f7f7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Kelajakka yo‘naltirilgan baho: stress-test va kutilgan kredit zararlari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1.7-rasm" style="position:absolute;margin-left:0pt;margin-top:-110.55pt;width:464.9pt;height:221.1pt" coordorigin="0,-2211" coordsize="9298,4422">
                <v:shape id="shape_0" ID="Connector 52" path="m0,0l-2147483648,-2147483647e" stroked="t" o:allowincell="f" style="position:absolute;left:874;top:-1010;width:3771;height:261;mso-wrap-style:none;v-text-anchor:middle;mso-position-vertical:center" type="_x0000_t32">
                  <v:fill o:detectmouseclick="t" on="false"/>
                  <v:stroke color="#7f7f7f" weight="12600" joinstyle="round" endcap="flat"/>
                  <w10:wrap type="square"/>
                </v:shape>
                <v:shape id="shape_0" ID="Connector 54" path="m0,0l-2147483648,-2147483647e" stroked="t" o:allowincell="f" style="position:absolute;left:2762;top:-1010;width:1882;height:261;mso-wrap-style:none;v-text-anchor:middle;mso-position-vertical:center" type="_x0000_t32">
                  <v:fill o:detectmouseclick="t" on="false"/>
                  <v:stroke color="#7f7f7f" weight="12600" joinstyle="round" endcap="flat"/>
                  <w10:wrap type="square"/>
                </v:shape>
                <v:shape id="shape_0" ID="Connector 56" path="m0,0l-2147483648,-2147483647e" stroked="t" o:allowincell="f" style="position:absolute;left:4647;top:-1010;width:1;height:261;flip:x;mso-wrap-style:none;v-text-anchor:middle;mso-position-vertical:center" type="_x0000_t32">
                  <v:fill o:detectmouseclick="t" on="false"/>
                  <v:stroke color="#7f7f7f" weight="12600" joinstyle="round" endcap="flat"/>
                  <w10:wrap type="square"/>
                </v:shape>
                <v:shape id="shape_0" ID="Connector 58" path="m0,0l-2147483648,-2147483647e" stroked="t" o:allowincell="f" style="position:absolute;left:4646;top:-1010;width:1888;height:261;flip:x;mso-wrap-style:none;v-text-anchor:middle;mso-position-vertical:center" type="_x0000_t32">
                  <v:fill o:detectmouseclick="t" on="false"/>
                  <v:stroke color="#7f7f7f" weight="12600" joinstyle="round" endcap="flat"/>
                  <w10:wrap type="square"/>
                </v:shape>
                <v:shape id="shape_0" ID="Connector 60" path="m0,0l-2147483648,-2147483647e" stroked="t" o:allowincell="f" style="position:absolute;left:4647;top:-1010;width:3776;height:261;flip:x;mso-wrap-style:none;v-text-anchor:middle;mso-position-vertical:center" type="_x0000_t32">
                  <v:fill o:detectmouseclick="t" on="false"/>
                  <v:stroke color="#7f7f7f" weight="12600" joinstyle="round" endcap="flat"/>
                  <w10:wrap type="square"/>
                </v:shape>
                <v:shape id="shape_0" ID="Connector 64" path="m0,0l-2147483648,-2147483647e" stroked="t" o:allowincell="f" style="position:absolute;left:4647;top:-14;width:0;height:262;mso-wrap-style:none;v-text-anchor:middle;mso-position-vertical:center" type="_x0000_t32">
                  <v:fill o:detectmouseclick="t" on="false"/>
                  <v:stroke color="#404040" weight="19080" endarrow="block" endarrowwidth="medium" endarrowlength="medium" joinstyle="round" endcap="flat"/>
                  <w10:wrap type="square"/>
                </v:shape>
                <v:shape id="shape_0" ID="Connector 66" path="m0,0l-2147483648,-2147483647e" stroked="t" o:allowincell="f" style="position:absolute;left:2351;top:806;width:1030;height:290;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67" path="m0,0l-2147483648,-2147483647e" stroked="t" o:allowincell="f" style="position:absolute;left:5909;top:806;width:1030;height:290;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1.1.7-rasm. Tijorat banklari moliyaviy barqarorligini baholashning konseptual modeli</w:t>
      </w:r>
    </w:p>
    <w:p>
      <w:pPr>
        <w:pStyle w:val="BodyText"/>
        <w:spacing w:lineRule="auto" w:line="360" w:before="0" w:after="0"/>
        <w:ind w:firstLine="709"/>
        <w:jc w:val="both"/>
        <w:rPr/>
      </w:pPr>
      <w:r>
        <w:rPr>
          <w:rFonts w:eastAsia="Times New Roman" w:cs="Times New Roman"/>
          <w:sz w:val="28"/>
        </w:rP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Rule="auto" w:line="360" w:before="0" w:after="0"/>
        <w:ind w:firstLine="709"/>
        <w:jc w:val="both"/>
        <w:rPr/>
      </w:pPr>
      <w:bookmarkStart w:id="5" w:name="X3bc3af2dd64aa3d859b43cc63eba0df007461c7"/>
      <w:r>
        <w:rPr>
          <w:rFonts w:eastAsia="Times New Roman" w:cs="Times New Roman"/>
          <w:sz w:val="28"/>
        </w:rPr>
        <w:t>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bookmarkEnd w:id="5"/>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6" w:name="__RefHeading___Toc38188_2843893380"/>
      <w:bookmarkStart w:id="7" w:name="X14b3294ce8678c3fd3856a91dee6c3d5b919cac"/>
      <w:bookmarkEnd w:id="6"/>
      <w:r>
        <w:rPr>
          <w:rFonts w:eastAsia="Times New Roman" w:cs="Times New Roman" w:ascii="Times New Roman" w:hAnsi="Times New Roman"/>
          <w:b/>
          <w:i w:val="false"/>
          <w:sz w:val="28"/>
        </w:rPr>
        <w:t>1.2-§. Banklar moliyaviy barqarorligini baholashning xalqaro standartlari va metodologik yondashuvlari</w:t>
      </w:r>
    </w:p>
    <w:p>
      <w:pPr>
        <w:pStyle w:val="FirstParagraph"/>
        <w:spacing w:lineRule="auto" w:line="360" w:before="0" w:after="0"/>
        <w:ind w:firstLine="709"/>
        <w:jc w:val="both"/>
        <w:rPr/>
      </w:pPr>
      <w:r>
        <w:rPr>
          <w:rFonts w:eastAsia="Times New Roman" w:cs="Times New Roman"/>
          <w:sz w:val="28"/>
        </w:rP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Rule="auto" w:line="360" w:before="0" w:after="0"/>
        <w:ind w:firstLine="709"/>
        <w:jc w:val="both"/>
        <w:rPr/>
      </w:pPr>
      <w:r>
        <w:rPr>
          <w:rFonts w:eastAsia="Times New Roman" w:cs="Times New Roman"/>
          <w:sz w:val="28"/>
        </w:rP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 T.F. Cargill esa banklar orqali bilvosita moliyalashni G. Akerlofning «limonlar» muammosiga bozorning o‘zi topgan yechim sifatida baholaydi.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Rule="auto" w:line="360" w:before="0" w:after="0"/>
        <w:ind w:firstLine="709"/>
        <w:jc w:val="both"/>
        <w:rPr/>
      </w:pPr>
      <w:r>
        <w:rPr>
          <w:rFonts w:eastAsia="Times New Roman" w:cs="Times New Roman"/>
          <w:sz w:val="28"/>
        </w:rP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 Bu ajratish moliyaviy barqarorlikni alohida bank va bank tizimi darajasida baholash uchun nazariy asos bo‘ladi. Yuqoridagi nazariyalar asosida baholash zaruratining to‘rt asosini ajratish mumkin (1.2.1-jadval).</w:t>
      </w:r>
    </w:p>
    <w:p>
      <w:pPr>
        <w:pStyle w:val="BodyText"/>
        <w:keepNext w:val="true"/>
        <w:spacing w:lineRule="auto" w:line="360" w:before="120" w:after="0"/>
        <w:ind w:hanging="0"/>
        <w:jc w:val="right"/>
        <w:rPr/>
      </w:pPr>
      <w:r>
        <w:rPr>
          <w:rFonts w:eastAsia="Times New Roman" w:cs="Times New Roman"/>
          <w:i/>
          <w:sz w:val="28"/>
        </w:rPr>
        <w:t>1.2.1-jadval</w:t>
      </w:r>
    </w:p>
    <w:p>
      <w:pPr>
        <w:pStyle w:val="BodyText"/>
        <w:keepNext w:val="true"/>
        <w:spacing w:lineRule="auto" w:line="240" w:before="0" w:after="120"/>
        <w:ind w:hanging="0"/>
        <w:jc w:val="center"/>
        <w:rPr/>
      </w:pPr>
      <w:r>
        <w:rPr>
          <w:rFonts w:eastAsia="Times New Roman" w:cs="Times New Roman"/>
          <w:b/>
          <w:bCs/>
          <w:sz w:val="28"/>
        </w:rPr>
        <w:t>Banklar moliyaviy barqarorligini baholash zaruratining nazariy asoslari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48"/>
        <w:gridCol w:w="3289"/>
        <w:gridCol w:w="4052"/>
      </w:tblGrid>
      <w:tr>
        <w:trPr>
          <w:tblHeader w:val="true"/>
          <w:cantSplit w:val="true"/>
        </w:trPr>
        <w:tc>
          <w:tcPr>
            <w:tcW w:w="234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Nazariy asos</w:t>
            </w:r>
          </w:p>
        </w:tc>
        <w:tc>
          <w:tcPr>
            <w:tcW w:w="328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Mohiyati</w:t>
            </w:r>
          </w:p>
        </w:tc>
        <w:tc>
          <w:tcPr>
            <w:tcW w:w="405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Baholash metodikasi uchun xulosa</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Axborot asimmetriyasi</w:t>
            </w:r>
          </w:p>
        </w:tc>
        <w:tc>
          <w:tcPr>
            <w:tcW w:w="32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aktivlari sifatini tashqaridan aniqlash qiyin</w:t>
            </w:r>
          </w:p>
        </w:tc>
        <w:tc>
          <w:tcPr>
            <w:tcW w:w="40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Mustaqil tashqi baho zarur; natija hisobot sifati va standartiga bog‘liq</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 shartnomasining zaifligi</w:t>
            </w:r>
          </w:p>
        </w:tc>
        <w:tc>
          <w:tcPr>
            <w:tcW w:w="32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Ishonch yo‘qolsa, ommaviy mablag‘ talab qilish yuz berishi mumkin</w:t>
            </w:r>
          </w:p>
        </w:tc>
        <w:tc>
          <w:tcPr>
            <w:tcW w:w="40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va moliyalashtirish barqarorligi alohida blok sifatida baholanadi</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Kapitalning bufer funksiyasi</w:t>
            </w:r>
          </w:p>
        </w:tc>
        <w:tc>
          <w:tcPr>
            <w:tcW w:w="32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kutilmagan yo‘qotishlarni qoplaydi, ammo uning narxi bor</w:t>
            </w:r>
          </w:p>
        </w:tc>
        <w:tc>
          <w:tcPr>
            <w:tcW w:w="40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markaziy blok; baho minimumdan ortiq zaxiraga qarab beriladi</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risk va tashqi ta’sir</w:t>
            </w:r>
          </w:p>
        </w:tc>
        <w:tc>
          <w:tcPr>
            <w:tcW w:w="32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Bitta bank inqirozi butun tizimga tarqaladi</w:t>
            </w:r>
          </w:p>
        </w:tc>
        <w:tc>
          <w:tcPr>
            <w:tcW w:w="40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Alohida bank va tizim darajasidagi baholash uyg‘unlashtiriladi</w:t>
            </w:r>
          </w:p>
        </w:tc>
      </w:tr>
    </w:tbl>
    <w:p>
      <w:pPr>
        <w:pStyle w:val="BodyText"/>
        <w:spacing w:lineRule="auto" w:line="360" w:before="0" w:after="0"/>
        <w:ind w:firstLine="709"/>
        <w:jc w:val="both"/>
        <w:rPr/>
      </w:pPr>
      <w:r>
        <w:rPr>
          <w:rFonts w:eastAsia="Times New Roman" w:cs="Times New Roman"/>
          <w:sz w:val="28"/>
        </w:rP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 Mualliflar fikricha, barqarorlik ikki shartga – oqim va natijalarning kamida 3–5 yillik dinamikadagi stabilligiga hamda tizim elementlarining muvozanatiga tayanadi, masalan, kreditlar o‘sishi depozitlar, kapital, zaxiralar va foyda o‘sishi bilan birga borishi lozim. Bundan kelib chiqadiki, ayrim ko‘rsatkichlarning juda yuqori qiymati ham ijobiy baholanmasligi mumkin: kreditlarning keskin o‘sishi bir qarashda faollik belgisi bo‘lsa-da, u erta ogohlantirish signallari qatoriga kiritiladi, A.M. Karminskiyning ekonometrik modellarida esa kapitalning aktivlarga nisbati va kreditlar ulushi bank barqarorligiga optimal oraliq orqali ta’sir qilishi aniqlangan.</w:t>
      </w:r>
    </w:p>
    <w:p>
      <w:pPr>
        <w:pStyle w:val="BodyText"/>
        <w:spacing w:lineRule="auto" w:line="360" w:before="0" w:after="0"/>
        <w:ind w:firstLine="709"/>
        <w:jc w:val="both"/>
        <w:rPr/>
      </w:pPr>
      <w:r>
        <w:rPr>
          <w:rFonts w:eastAsia="Times New Roman" w:cs="Times New Roman"/>
          <w:sz w:val="28"/>
        </w:rPr>
        <w:t>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p>
    <w:p>
      <w:pPr>
        <w:pStyle w:val="BodyText"/>
        <w:spacing w:lineRule="auto" w:line="360" w:before="0" w:after="0"/>
        <w:ind w:firstLine="709"/>
        <w:jc w:val="both"/>
        <w:rPr/>
      </w:pPr>
      <w:r>
        <w:rPr>
          <w:rFonts w:eastAsia="Times New Roman" w:cs="Times New Roman"/>
          <w:sz w:val="28"/>
        </w:rP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 T.M. Karaliyev va I.F. Sayfiddinov O‘zbekistonda qo‘llanadigan CAMEL tizimida qiyosiy baholash yo‘qligini va aktivlar hamda likvidlik bloklari o‘rtasidagi ziddiyat hal qilinmaganini qayd etadi. Karminskiy esa reyting sifati kutilgan va haqiqiy natijalarning mos kelishi bilan belgilanishini, ya’ni baholash metodikasining o‘zi ham tarixiy ma’lumotlar asosida tekshirilishi lozimligini ta’kidlaydi.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Rule="auto" w:line="360" w:before="0" w:after="0"/>
        <w:ind w:firstLine="709"/>
        <w:jc w:val="both"/>
        <w:rPr/>
      </w:pPr>
      <w:r>
        <w:rPr>
          <w:rFonts w:eastAsia="Times New Roman" w:cs="Times New Roman"/>
          <w:sz w:val="28"/>
        </w:rP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 Lavrushin va Mamonova modellarni maqsadi, yig‘ma bahoni shakllantirish usuli, o‘rganish usuli va shaffofligi bo‘yicha tasniflaydi, M. Modina esa kredit riskini o‘lchash yondashuvlarini bir chekkasida iqtisodiy-statistik, ikkinchi chekkasida ekspert yondashuvi turgan uzluksiz shkala sifatida tasavvur qiladi. Ushbu tasniflarni umumlashtirib, baholash yondashuvlarini besh asosiy guruhga ajratish mumkin (1.2.2-jadval).</w:t>
      </w:r>
    </w:p>
    <w:p>
      <w:pPr>
        <w:pStyle w:val="BodyText"/>
        <w:keepNext w:val="true"/>
        <w:spacing w:lineRule="auto" w:line="360" w:before="120" w:after="0"/>
        <w:ind w:hanging="0"/>
        <w:jc w:val="right"/>
        <w:rPr/>
      </w:pPr>
      <w:r>
        <w:rPr>
          <w:rFonts w:eastAsia="Times New Roman" w:cs="Times New Roman"/>
          <w:i/>
          <w:sz w:val="28"/>
        </w:rPr>
        <w:t>1.2.2-jadval</w:t>
      </w:r>
    </w:p>
    <w:p>
      <w:pPr>
        <w:pStyle w:val="BodyText"/>
        <w:keepNext w:val="true"/>
        <w:spacing w:lineRule="auto" w:line="240" w:before="0" w:after="120"/>
        <w:ind w:hanging="0"/>
        <w:jc w:val="center"/>
        <w:rPr/>
      </w:pPr>
      <w:r>
        <w:rPr>
          <w:rFonts w:eastAsia="Times New Roman" w:cs="Times New Roman"/>
          <w:b/>
          <w:bCs/>
          <w:sz w:val="28"/>
        </w:rPr>
        <w:t>Moliyaviy barqarorlikni baholash yondashuvlarining qiyosiy tavsifi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95"/>
        <w:gridCol w:w="2350"/>
        <w:gridCol w:w="2525"/>
        <w:gridCol w:w="2818"/>
      </w:tblGrid>
      <w:tr>
        <w:trPr>
          <w:tblHeader w:val="true"/>
          <w:cantSplit w:val="true"/>
        </w:trPr>
        <w:tc>
          <w:tcPr>
            <w:tcW w:w="19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Yondashuv</w:t>
            </w:r>
          </w:p>
        </w:tc>
        <w:tc>
          <w:tcPr>
            <w:tcW w:w="235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Namunalar</w:t>
            </w:r>
          </w:p>
        </w:tc>
        <w:tc>
          <w:tcPr>
            <w:tcW w:w="252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Afzalliklari</w:t>
            </w:r>
          </w:p>
        </w:tc>
        <w:tc>
          <w:tcPr>
            <w:tcW w:w="28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Kamchiliklari</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Koeffitsiyentli (normativ)</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Markaziy bank normativlari, XVJ moliyaviy barqarorlik ko‘rsatkichlari</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Sodda, normativlar bilan bevosita bog‘liq</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Ko‘rsatkichlar tarqoq, yagona xulosa yo‘q</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Reyting (komponentli)</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CAMELS, Rossiya Bankining 4336-U ko‘rsatmasi</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Kompleks, xalqaro e’tirof etilgan</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Sub’ektiv, natijalar yopiq, vaznlar asoslanmagan</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Risklarga yo‘naltirilgan</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BAITE, RATE</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resurslarini riskka qarab taqsimlaydi</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Ichki axborot va yuqori malaka talab qiladi</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Statistik (ekonometrik)</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FIMS, logit va probit modellar, Z-score</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Obyektiv, bashorat kuchi o‘lchanadi</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Uzoq tarix va bankrotlik holatlari talab qilinadi</w:t>
            </w:r>
          </w:p>
        </w:tc>
      </w:tr>
      <w:tr>
        <w:trPr>
          <w:cantSplit w:val="true"/>
        </w:trPr>
        <w:tc>
          <w:tcPr>
            <w:tcW w:w="19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Bozor indikatorlariga asoslangan</w:t>
            </w:r>
          </w:p>
        </w:tc>
        <w:tc>
          <w:tcPr>
            <w:tcW w:w="235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Kredit-defolt svoplari spredlari, aksiya narxlari</w:t>
            </w:r>
          </w:p>
        </w:tc>
        <w:tc>
          <w:tcPr>
            <w:tcW w:w="252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Kelajakka yo‘naltirilgan, tezkor</w:t>
            </w:r>
          </w:p>
        </w:tc>
        <w:tc>
          <w:tcPr>
            <w:tcW w:w="28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Faqat birjada savdo qilinadigan banklar uchun</w:t>
            </w:r>
          </w:p>
        </w:tc>
      </w:tr>
    </w:tbl>
    <w:p>
      <w:pPr>
        <w:pStyle w:val="BodyText"/>
        <w:spacing w:lineRule="auto" w:line="360" w:before="0" w:after="0"/>
        <w:ind w:firstLine="709"/>
        <w:jc w:val="both"/>
        <w:rPr/>
      </w:pPr>
      <w:r>
        <w:rPr>
          <w:rFonts w:eastAsia="Times New Roman" w:cs="Times New Roman"/>
          <w:sz w:val="28"/>
        </w:rPr>
        <w:t>Jadvaldan ko‘rinib turibdiki, yondashuvlarning birortasi ham universal emas va Lavrushin tahriridagi monografiyada ham bank barqarorligini tahlil qilishning yagona universal metodikasi mavjud emasligi qayd etilgan. Koeffitsiyentli yondashuv normativlar bilan bog‘liq bo‘lsa-da, ko‘rsatkichlarni yagona bahoga keltirmaydi: masalan, B.T. Berdiyarov Xalqaro valyuta jamg‘armasining 24 ta ko‘rsatkichi asosida milliy baholash tizimini shakllantirishni taklif etgan, ammo ular integral bahoga birlashtirilmagan. Statistik yondashuvning eng sodda va samarali vositasi bo‘lgan Z-score ko‘rsatkichi distressga uchragan banklarning 75 foizini to‘g‘ri aniqlaydi, biroq u uzoq tarixiy ma’lumotlarni talab qiladi, Karminskiy esa defoltlar ulushi taxminan 1 foiz bo‘lganda tanlanmada nomutanosiblik yuzaga kelishini ko‘rsatadi. Bozor indikatorlari faqat aksiyalari birjada savdo qilinadigan banklar uchun qo‘llanishi mumkinligi 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Rule="auto" w:line="360" w:before="0" w:after="0"/>
        <w:ind w:firstLine="709"/>
        <w:jc w:val="both"/>
        <w:rPr/>
      </w:pPr>
      <w:r>
        <w:rPr>
          <w:rFonts w:eastAsia="Times New Roman" w:cs="Times New Roman"/>
          <w:sz w:val="28"/>
        </w:rPr>
        <w:t>Integral baholashning eng munozarali masalasi ko‘rsatkichlarga vazn berishdir. Lavrushin va Mamonova vazn koeffitsiyentlarini belgilash eng sub’ektiv masalalardan biri ekanini, ammo hozircha boshqa usul topilmaganini tan oladi, Lavrushin tahriridagi monografiyada esa Rossiyadagi to‘qqizta reyting metodikasida vaznlar ko‘pincha ekspert yo‘li bilan aniqlanishi yoki umuman tushuntirilmasligi ko‘rsatilgan. Ilmiy adabiyotda vaznlarni aniqlashning uch usuli uchraydi: ekspert usuli, teng vaznlar usuli va statistik usul. Ye.P. Shatalova vaznlar dastlab ekspert yo‘li bilan belgilanib, keyin verifikatsiyadan o‘tkazilishi kerakligini qayd etadi, L. Izzi, G. Oricchio va L. Vitale esa vaznlarni regressiya koeffitsiyentlaridan hisoblab, rivojlanayotgan mamlakatlar banklari uchun miqdoriy modulga 80 foiz, sifat moduliga 20 foiz vazn beradi. Bundan tashqari, har qanday baholash tizimi ikki turdagi xatoga yo‘l qo‘yishi mumkin: muammoli bankni barqaror deb baholash (birinchi tur xatosi) va barqaror bankni muammoli deb baholash (ikkinchi tur xatosi). Karminskiy birinchi tur xatosining narxi ancha yuqori ekanini ko‘rsatadi, shu sababli baholash chegaralarini ehtiyotkorlik tamoyiliga ko‘ra biroz qat’iyroq qo‘yish maqsadga muvofiq.</w:t>
      </w:r>
    </w:p>
    <w:p>
      <w:pPr>
        <w:pStyle w:val="BodyText"/>
        <w:spacing w:lineRule="auto" w:line="360" w:before="0" w:after="0"/>
        <w:ind w:firstLine="709"/>
        <w:jc w:val="both"/>
        <w:rPr/>
      </w:pPr>
      <w:r>
        <w:rPr>
          <w:rFonts w:eastAsia="Times New Roman" w:cs="Times New Roman"/>
          <w:sz w:val="28"/>
        </w:rP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pPr>
        <w:pStyle w:val="BodyText"/>
        <w:keepNext w:val="true"/>
        <w:spacing w:lineRule="auto" w:line="240" w:before="0" w:after="0"/>
        <w:ind w:hanging="0"/>
        <w:jc w:val="center"/>
        <w:rPr/>
      </w:pPr>
      <w:r>
        <w:rPr/>
        <mc:AlternateContent>
          <mc:Choice Requires="wpg">
            <w:drawing>
              <wp:inline distT="0" distB="0" distL="0" distR="0">
                <wp:extent cx="5904230" cy="2376170"/>
                <wp:effectExtent l="0" t="0" r="0" b="0"/>
                <wp:docPr id="77" name="1.2.1-rasm"/>
                <a:graphic xmlns:a="http://schemas.openxmlformats.org/drawingml/2006/main">
                  <a:graphicData uri="http://schemas.microsoft.com/office/word/2010/wordprocessingGroup">
                    <wpg:wgp>
                      <wpg:cNvGrpSpPr/>
                      <wpg:grpSpPr>
                        <a:xfrm>
                          <a:off x="0" y="0"/>
                          <a:ext cx="5904360" cy="2376000"/>
                          <a:chOff x="0" y="0"/>
                          <a:chExt cx="5904360" cy="2376000"/>
                        </a:xfrm>
                      </wpg:grpSpPr>
                      <wps:wsp>
                        <wps:cNvPr id="78" name="Shape 2"/>
                        <wps:cNvSpPr/>
                        <wps:spPr>
                          <a:xfrm>
                            <a:off x="0" y="0"/>
                            <a:ext cx="1271160" cy="49788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Bazel I</w:t>
                              </w:r>
                            </w:p>
                            <w:p>
                              <w:pPr>
                                <w:pStyle w:val="Normal"/>
                                <w:spacing w:lineRule="auto" w:line="228" w:before="0" w:after="0"/>
                                <w:ind w:hanging="0"/>
                                <w:jc w:val="center"/>
                                <w:rPr/>
                              </w:pPr>
                              <w:r>
                                <w:rPr>
                                  <w:rFonts w:cs="Times New Roman"/>
                                  <w:b/>
                                  <w:color w:val="FFFFFF"/>
                                  <w:sz w:val="22"/>
                                  <w:szCs w:val="22"/>
                                </w:rPr>
                                <w:t>(1988)</w:t>
                              </w:r>
                            </w:p>
                            <w:p>
                              <w:pPr>
                                <w:pStyle w:val="FrameContents"/>
                                <w:spacing w:before="0" w:after="200"/>
                                <w:rPr/>
                              </w:pPr>
                              <w:r>
                                <w:rPr/>
                              </w:r>
                            </w:p>
                          </w:txbxContent>
                        </wps:txbx>
                        <wps:bodyPr lIns="36360" rIns="36360" tIns="17640" bIns="17640" anchor="ctr">
                          <a:noAutofit/>
                        </wps:bodyPr>
                      </wps:wsp>
                      <wps:wsp>
                        <wps:cNvPr id="79" name="Connector 3"/>
                        <wps:cNvSpPr/>
                        <wps:spPr>
                          <a:xfrm>
                            <a:off x="635760" y="498600"/>
                            <a:ext cx="720" cy="190440"/>
                          </a:xfrm>
                          <a:prstGeom prst="straightConnector1">
                            <a:avLst/>
                          </a:prstGeom>
                          <a:noFill/>
                          <a:ln w="15875">
                            <a:solidFill>
                              <a:srgbClr val="7f7f7f"/>
                            </a:solidFill>
                            <a:round/>
                          </a:ln>
                        </wps:spPr>
                        <wps:style>
                          <a:lnRef idx="0"/>
                          <a:fillRef idx="0"/>
                          <a:effectRef idx="0"/>
                          <a:fontRef idx="minor"/>
                        </wps:style>
                        <wps:bodyPr/>
                      </wps:wsp>
                      <wps:wsp>
                        <wps:cNvPr id="80" name="Shape 4"/>
                        <wps:cNvSpPr/>
                        <wps:spPr>
                          <a:xfrm>
                            <a:off x="0" y="690120"/>
                            <a:ext cx="1271160" cy="168588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Faqat kredit riski;</w:t>
                              </w:r>
                            </w:p>
                            <w:p>
                              <w:pPr>
                                <w:pStyle w:val="Normal"/>
                                <w:spacing w:lineRule="auto" w:line="228" w:before="0" w:after="0"/>
                                <w:ind w:hanging="0"/>
                                <w:jc w:val="center"/>
                                <w:rPr/>
                              </w:pPr>
                              <w:r>
                                <w:rPr>
                                  <w:rFonts w:cs="Times New Roman"/>
                                  <w:color w:val="000000"/>
                                  <w:sz w:val="22"/>
                                  <w:szCs w:val="22"/>
                                </w:rPr>
                                <w:t>Tier 1 ≥ 4%;</w:t>
                              </w:r>
                            </w:p>
                            <w:p>
                              <w:pPr>
                                <w:pStyle w:val="Normal"/>
                                <w:spacing w:lineRule="auto" w:line="228" w:before="0" w:after="0"/>
                                <w:ind w:hanging="0"/>
                                <w:jc w:val="center"/>
                                <w:rPr/>
                              </w:pPr>
                              <w:r>
                                <w:rPr>
                                  <w:rFonts w:cs="Times New Roman"/>
                                  <w:color w:val="000000"/>
                                  <w:sz w:val="22"/>
                                  <w:szCs w:val="22"/>
                                </w:rPr>
                                <w:t>jami kapital ≥ 8%;</w:t>
                              </w:r>
                            </w:p>
                            <w:p>
                              <w:pPr>
                                <w:pStyle w:val="Normal"/>
                                <w:spacing w:lineRule="auto" w:line="228" w:before="0" w:after="0"/>
                                <w:ind w:hanging="0"/>
                                <w:jc w:val="center"/>
                                <w:rPr/>
                              </w:pPr>
                              <w:r>
                                <w:rPr>
                                  <w:rFonts w:cs="Times New Roman"/>
                                  <w:color w:val="000000"/>
                                  <w:sz w:val="22"/>
                                  <w:szCs w:val="22"/>
                                </w:rPr>
                                <w:t>risk vaznlari</w:t>
                              </w:r>
                            </w:p>
                            <w:p>
                              <w:pPr>
                                <w:pStyle w:val="Normal"/>
                                <w:spacing w:lineRule="auto" w:line="228" w:before="0" w:after="0"/>
                                <w:ind w:hanging="0"/>
                                <w:jc w:val="center"/>
                                <w:rPr/>
                              </w:pPr>
                              <w:r>
                                <w:rPr>
                                  <w:rFonts w:cs="Times New Roman"/>
                                  <w:color w:val="000000"/>
                                  <w:sz w:val="22"/>
                                  <w:szCs w:val="22"/>
                                </w:rPr>
                                <w:t>0, 20, 50, 100%</w:t>
                              </w:r>
                            </w:p>
                            <w:p>
                              <w:pPr>
                                <w:pStyle w:val="FrameContents"/>
                                <w:spacing w:before="0" w:after="200"/>
                                <w:rPr/>
                              </w:pPr>
                              <w:r>
                                <w:rPr/>
                              </w:r>
                            </w:p>
                          </w:txbxContent>
                        </wps:txbx>
                        <wps:bodyPr lIns="36360" rIns="36360" tIns="17640" bIns="17640" anchor="ctr">
                          <a:noAutofit/>
                        </wps:bodyPr>
                      </wps:wsp>
                      <wps:wsp>
                        <wps:cNvPr id="81" name="Connector 5"/>
                        <wps:cNvSpPr/>
                        <wps:spPr>
                          <a:xfrm>
                            <a:off x="1278720" y="249480"/>
                            <a:ext cx="25776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82" name="Shape 6"/>
                        <wps:cNvSpPr/>
                        <wps:spPr>
                          <a:xfrm>
                            <a:off x="1544400" y="0"/>
                            <a:ext cx="1270800" cy="497880"/>
                          </a:xfrm>
                          <a:prstGeom prst="roundRect">
                            <a:avLst>
                              <a:gd name="adj" fmla="val 10000"/>
                            </a:avLst>
                          </a:prstGeom>
                          <a:solidFill>
                            <a:srgbClr val="9dc3e6"/>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Bozor riski tuzatishi</w:t>
                              </w:r>
                            </w:p>
                            <w:p>
                              <w:pPr>
                                <w:pStyle w:val="Normal"/>
                                <w:spacing w:lineRule="auto" w:line="228" w:before="0" w:after="0"/>
                                <w:ind w:hanging="0"/>
                                <w:jc w:val="center"/>
                                <w:rPr/>
                              </w:pPr>
                              <w:r>
                                <w:rPr>
                                  <w:rFonts w:cs="Times New Roman"/>
                                  <w:b/>
                                  <w:color w:val="000000"/>
                                  <w:sz w:val="22"/>
                                  <w:szCs w:val="22"/>
                                </w:rPr>
                                <w:t>(1996)</w:t>
                              </w:r>
                            </w:p>
                            <w:p>
                              <w:pPr>
                                <w:pStyle w:val="FrameContents"/>
                                <w:spacing w:before="0" w:after="200"/>
                                <w:rPr/>
                              </w:pPr>
                              <w:r>
                                <w:rPr/>
                              </w:r>
                            </w:p>
                          </w:txbxContent>
                        </wps:txbx>
                        <wps:bodyPr lIns="36360" rIns="36360" tIns="17640" bIns="17640" anchor="ctr">
                          <a:noAutofit/>
                        </wps:bodyPr>
                      </wps:wsp>
                      <wps:wsp>
                        <wps:cNvPr id="83" name="Connector 7"/>
                        <wps:cNvSpPr/>
                        <wps:spPr>
                          <a:xfrm>
                            <a:off x="2179800" y="498600"/>
                            <a:ext cx="720" cy="190440"/>
                          </a:xfrm>
                          <a:prstGeom prst="straightConnector1">
                            <a:avLst/>
                          </a:prstGeom>
                          <a:noFill/>
                          <a:ln w="15875">
                            <a:solidFill>
                              <a:srgbClr val="7f7f7f"/>
                            </a:solidFill>
                            <a:round/>
                          </a:ln>
                        </wps:spPr>
                        <wps:style>
                          <a:lnRef idx="0"/>
                          <a:fillRef idx="0"/>
                          <a:effectRef idx="0"/>
                          <a:fontRef idx="minor"/>
                        </wps:style>
                        <wps:bodyPr/>
                      </wps:wsp>
                      <wps:wsp>
                        <wps:cNvPr id="84" name="Shape 8"/>
                        <wps:cNvSpPr/>
                        <wps:spPr>
                          <a:xfrm>
                            <a:off x="1544400" y="690120"/>
                            <a:ext cx="1270800" cy="168588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Bozor riski uchun</w:t>
                              </w:r>
                            </w:p>
                            <w:p>
                              <w:pPr>
                                <w:pStyle w:val="Normal"/>
                                <w:spacing w:lineRule="auto" w:line="228" w:before="0" w:after="0"/>
                                <w:ind w:hanging="0"/>
                                <w:jc w:val="center"/>
                                <w:rPr/>
                              </w:pPr>
                              <w:r>
                                <w:rPr>
                                  <w:rFonts w:cs="Times New Roman"/>
                                  <w:color w:val="000000"/>
                                  <w:sz w:val="22"/>
                                  <w:szCs w:val="22"/>
                                </w:rPr>
                                <w:t>kapital;</w:t>
                              </w:r>
                            </w:p>
                            <w:p>
                              <w:pPr>
                                <w:pStyle w:val="Normal"/>
                                <w:spacing w:lineRule="auto" w:line="228" w:before="0" w:after="0"/>
                                <w:ind w:hanging="0"/>
                                <w:jc w:val="center"/>
                                <w:rPr/>
                              </w:pPr>
                              <w:r>
                                <w:rPr>
                                  <w:rFonts w:cs="Times New Roman"/>
                                  <w:color w:val="000000"/>
                                  <w:sz w:val="22"/>
                                  <w:szCs w:val="22"/>
                                </w:rPr>
                                <w:t>VaR modeli;</w:t>
                              </w:r>
                            </w:p>
                            <w:p>
                              <w:pPr>
                                <w:pStyle w:val="Normal"/>
                                <w:spacing w:lineRule="auto" w:line="228" w:before="0" w:after="0"/>
                                <w:ind w:hanging="0"/>
                                <w:jc w:val="center"/>
                                <w:rPr/>
                              </w:pPr>
                              <w:r>
                                <w:rPr>
                                  <w:rFonts w:cs="Times New Roman"/>
                                  <w:color w:val="000000"/>
                                  <w:sz w:val="22"/>
                                  <w:szCs w:val="22"/>
                                </w:rPr>
                                <w:t>10 kunlik gorizont;</w:t>
                              </w:r>
                            </w:p>
                            <w:p>
                              <w:pPr>
                                <w:pStyle w:val="Normal"/>
                                <w:spacing w:lineRule="auto" w:line="228" w:before="0" w:after="0"/>
                                <w:ind w:hanging="0"/>
                                <w:jc w:val="center"/>
                                <w:rPr/>
                              </w:pPr>
                              <w:r>
                                <w:rPr>
                                  <w:rFonts w:cs="Times New Roman"/>
                                  <w:color w:val="000000"/>
                                  <w:sz w:val="22"/>
                                  <w:szCs w:val="22"/>
                                </w:rPr>
                                <w:t>×3 koeffitsiyent</w:t>
                              </w:r>
                            </w:p>
                            <w:p>
                              <w:pPr>
                                <w:pStyle w:val="FrameContents"/>
                                <w:spacing w:before="0" w:after="200"/>
                                <w:rPr/>
                              </w:pPr>
                              <w:r>
                                <w:rPr/>
                              </w:r>
                            </w:p>
                          </w:txbxContent>
                        </wps:txbx>
                        <wps:bodyPr lIns="36360" rIns="36360" tIns="17640" bIns="17640" anchor="ctr">
                          <a:noAutofit/>
                        </wps:bodyPr>
                      </wps:wsp>
                      <wps:wsp>
                        <wps:cNvPr id="85" name="Connector 9"/>
                        <wps:cNvSpPr/>
                        <wps:spPr>
                          <a:xfrm>
                            <a:off x="2823840" y="249480"/>
                            <a:ext cx="257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86" name="Shape 10"/>
                        <wps:cNvSpPr/>
                        <wps:spPr>
                          <a:xfrm>
                            <a:off x="3089160" y="0"/>
                            <a:ext cx="1270800" cy="49788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Bazel II</w:t>
                              </w:r>
                            </w:p>
                            <w:p>
                              <w:pPr>
                                <w:pStyle w:val="Normal"/>
                                <w:spacing w:lineRule="auto" w:line="228" w:before="0" w:after="0"/>
                                <w:ind w:hanging="0"/>
                                <w:jc w:val="center"/>
                                <w:rPr/>
                              </w:pPr>
                              <w:r>
                                <w:rPr>
                                  <w:rFonts w:cs="Times New Roman"/>
                                  <w:b/>
                                  <w:color w:val="FFFFFF"/>
                                  <w:sz w:val="22"/>
                                  <w:szCs w:val="22"/>
                                </w:rPr>
                                <w:t>(2004)</w:t>
                              </w:r>
                            </w:p>
                            <w:p>
                              <w:pPr>
                                <w:pStyle w:val="FrameContents"/>
                                <w:spacing w:before="0" w:after="200"/>
                                <w:rPr/>
                              </w:pPr>
                              <w:r>
                                <w:rPr/>
                              </w:r>
                            </w:p>
                          </w:txbxContent>
                        </wps:txbx>
                        <wps:bodyPr lIns="36360" rIns="36360" tIns="17640" bIns="17640" anchor="ctr">
                          <a:noAutofit/>
                        </wps:bodyPr>
                      </wps:wsp>
                      <wps:wsp>
                        <wps:cNvPr id="87" name="Connector 11"/>
                        <wps:cNvSpPr/>
                        <wps:spPr>
                          <a:xfrm>
                            <a:off x="3724920" y="498600"/>
                            <a:ext cx="720" cy="190440"/>
                          </a:xfrm>
                          <a:prstGeom prst="straightConnector1">
                            <a:avLst/>
                          </a:prstGeom>
                          <a:noFill/>
                          <a:ln w="15875">
                            <a:solidFill>
                              <a:srgbClr val="7f7f7f"/>
                            </a:solidFill>
                            <a:round/>
                          </a:ln>
                        </wps:spPr>
                        <wps:style>
                          <a:lnRef idx="0"/>
                          <a:fillRef idx="0"/>
                          <a:effectRef idx="0"/>
                          <a:fontRef idx="minor"/>
                        </wps:style>
                        <wps:bodyPr/>
                      </wps:wsp>
                      <wps:wsp>
                        <wps:cNvPr id="88" name="Shape 12"/>
                        <wps:cNvSpPr/>
                        <wps:spPr>
                          <a:xfrm>
                            <a:off x="3089160" y="690120"/>
                            <a:ext cx="1270800" cy="168588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Uch ustun;</w:t>
                              </w:r>
                            </w:p>
                            <w:p>
                              <w:pPr>
                                <w:pStyle w:val="Normal"/>
                                <w:spacing w:lineRule="auto" w:line="228" w:before="0" w:after="0"/>
                                <w:ind w:hanging="0"/>
                                <w:jc w:val="center"/>
                                <w:rPr/>
                              </w:pPr>
                              <w:r>
                                <w:rPr>
                                  <w:rFonts w:cs="Times New Roman"/>
                                  <w:color w:val="000000"/>
                                  <w:sz w:val="22"/>
                                  <w:szCs w:val="22"/>
                                </w:rPr>
                                <w:t>kredit, bozor va</w:t>
                              </w:r>
                            </w:p>
                            <w:p>
                              <w:pPr>
                                <w:pStyle w:val="Normal"/>
                                <w:spacing w:lineRule="auto" w:line="228" w:before="0" w:after="0"/>
                                <w:ind w:hanging="0"/>
                                <w:jc w:val="center"/>
                                <w:rPr/>
                              </w:pPr>
                              <w:r>
                                <w:rPr>
                                  <w:rFonts w:cs="Times New Roman"/>
                                  <w:color w:val="000000"/>
                                  <w:sz w:val="22"/>
                                  <w:szCs w:val="22"/>
                                </w:rPr>
                                <w:t>operatsion risklar;</w:t>
                              </w:r>
                            </w:p>
                            <w:p>
                              <w:pPr>
                                <w:pStyle w:val="Normal"/>
                                <w:spacing w:lineRule="auto" w:line="228" w:before="0" w:after="0"/>
                                <w:ind w:hanging="0"/>
                                <w:jc w:val="center"/>
                                <w:rPr/>
                              </w:pPr>
                              <w:r>
                                <w:rPr>
                                  <w:rFonts w:cs="Times New Roman"/>
                                  <w:color w:val="000000"/>
                                  <w:sz w:val="22"/>
                                  <w:szCs w:val="22"/>
                                </w:rPr>
                                <w:t>IRB yondashuvi</w:t>
                              </w:r>
                            </w:p>
                            <w:p>
                              <w:pPr>
                                <w:pStyle w:val="Normal"/>
                                <w:spacing w:lineRule="auto" w:line="228" w:before="0" w:after="0"/>
                                <w:ind w:hanging="0"/>
                                <w:jc w:val="center"/>
                                <w:rPr/>
                              </w:pPr>
                              <w:r>
                                <w:rPr>
                                  <w:rFonts w:cs="Times New Roman"/>
                                  <w:color w:val="000000"/>
                                  <w:sz w:val="22"/>
                                  <w:szCs w:val="22"/>
                                </w:rPr>
                                <w:t>(PD, LGD, EAD, M)</w:t>
                              </w:r>
                            </w:p>
                            <w:p>
                              <w:pPr>
                                <w:pStyle w:val="FrameContents"/>
                                <w:spacing w:before="0" w:after="200"/>
                                <w:rPr/>
                              </w:pPr>
                              <w:r>
                                <w:rPr/>
                              </w:r>
                            </w:p>
                          </w:txbxContent>
                        </wps:txbx>
                        <wps:bodyPr lIns="36360" rIns="36360" tIns="17640" bIns="17640" anchor="ctr">
                          <a:noAutofit/>
                        </wps:bodyPr>
                      </wps:wsp>
                      <wps:wsp>
                        <wps:cNvPr id="89" name="Connector 13"/>
                        <wps:cNvSpPr/>
                        <wps:spPr>
                          <a:xfrm>
                            <a:off x="4367520" y="249480"/>
                            <a:ext cx="25776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90" name="Shape 14"/>
                        <wps:cNvSpPr/>
                        <wps:spPr>
                          <a:xfrm>
                            <a:off x="4632840" y="0"/>
                            <a:ext cx="1271160" cy="4978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Bazel III</w:t>
                              </w:r>
                            </w:p>
                            <w:p>
                              <w:pPr>
                                <w:pStyle w:val="Normal"/>
                                <w:spacing w:lineRule="auto" w:line="228" w:before="0" w:after="0"/>
                                <w:ind w:hanging="0"/>
                                <w:jc w:val="center"/>
                                <w:rPr/>
                              </w:pPr>
                              <w:r>
                                <w:rPr>
                                  <w:rFonts w:cs="Times New Roman"/>
                                  <w:b/>
                                  <w:color w:val="FFFFFF"/>
                                  <w:sz w:val="22"/>
                                  <w:szCs w:val="22"/>
                                </w:rPr>
                                <w:t>(2010)</w:t>
                              </w:r>
                            </w:p>
                            <w:p>
                              <w:pPr>
                                <w:pStyle w:val="FrameContents"/>
                                <w:spacing w:before="0" w:after="200"/>
                                <w:rPr/>
                              </w:pPr>
                              <w:r>
                                <w:rPr/>
                              </w:r>
                            </w:p>
                          </w:txbxContent>
                        </wps:txbx>
                        <wps:bodyPr lIns="36360" rIns="36360" tIns="17640" bIns="17640" anchor="ctr">
                          <a:noAutofit/>
                        </wps:bodyPr>
                      </wps:wsp>
                      <wps:wsp>
                        <wps:cNvPr id="91" name="Connector 15"/>
                        <wps:cNvSpPr/>
                        <wps:spPr>
                          <a:xfrm>
                            <a:off x="5269320" y="498600"/>
                            <a:ext cx="720" cy="190440"/>
                          </a:xfrm>
                          <a:prstGeom prst="straightConnector1">
                            <a:avLst/>
                          </a:prstGeom>
                          <a:noFill/>
                          <a:ln w="15875">
                            <a:solidFill>
                              <a:srgbClr val="7f7f7f"/>
                            </a:solidFill>
                            <a:round/>
                          </a:ln>
                        </wps:spPr>
                        <wps:style>
                          <a:lnRef idx="0"/>
                          <a:fillRef idx="0"/>
                          <a:effectRef idx="0"/>
                          <a:fontRef idx="minor"/>
                        </wps:style>
                        <wps:bodyPr/>
                      </wps:wsp>
                      <wps:wsp>
                        <wps:cNvPr id="92" name="Shape 16"/>
                        <wps:cNvSpPr/>
                        <wps:spPr>
                          <a:xfrm>
                            <a:off x="4632840" y="690120"/>
                            <a:ext cx="1271160" cy="168588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CET1 ≥ 4,5%;</w:t>
                              </w:r>
                            </w:p>
                            <w:p>
                              <w:pPr>
                                <w:pStyle w:val="Normal"/>
                                <w:spacing w:lineRule="auto" w:line="228" w:before="0" w:after="0"/>
                                <w:ind w:hanging="0"/>
                                <w:jc w:val="center"/>
                                <w:rPr/>
                              </w:pPr>
                              <w:r>
                                <w:rPr>
                                  <w:rFonts w:cs="Times New Roman"/>
                                  <w:color w:val="000000"/>
                                  <w:sz w:val="22"/>
                                  <w:szCs w:val="22"/>
                                </w:rPr>
                                <w:t>konservatsiya va</w:t>
                              </w:r>
                            </w:p>
                            <w:p>
                              <w:pPr>
                                <w:pStyle w:val="Normal"/>
                                <w:spacing w:lineRule="auto" w:line="228" w:before="0" w:after="0"/>
                                <w:ind w:hanging="0"/>
                                <w:jc w:val="center"/>
                                <w:rPr/>
                              </w:pPr>
                              <w:r>
                                <w:rPr>
                                  <w:rFonts w:cs="Times New Roman"/>
                                  <w:color w:val="000000"/>
                                  <w:sz w:val="22"/>
                                  <w:szCs w:val="22"/>
                                </w:rPr>
                                <w:t>kontrsiklik buferlar;</w:t>
                              </w:r>
                            </w:p>
                            <w:p>
                              <w:pPr>
                                <w:pStyle w:val="Normal"/>
                                <w:spacing w:lineRule="auto" w:line="228" w:before="0" w:after="0"/>
                                <w:ind w:hanging="0"/>
                                <w:jc w:val="center"/>
                                <w:rPr/>
                              </w:pPr>
                              <w:r>
                                <w:rPr>
                                  <w:rFonts w:cs="Times New Roman"/>
                                  <w:color w:val="000000"/>
                                  <w:sz w:val="22"/>
                                  <w:szCs w:val="22"/>
                                </w:rPr>
                                <w:t>leverej ≥ 3%;</w:t>
                              </w:r>
                            </w:p>
                            <w:p>
                              <w:pPr>
                                <w:pStyle w:val="Normal"/>
                                <w:spacing w:lineRule="auto" w:line="228" w:before="0" w:after="0"/>
                                <w:ind w:hanging="0"/>
                                <w:jc w:val="center"/>
                                <w:rPr/>
                              </w:pPr>
                              <w:r>
                                <w:rPr>
                                  <w:rFonts w:cs="Times New Roman"/>
                                  <w:color w:val="000000"/>
                                  <w:sz w:val="22"/>
                                  <w:szCs w:val="22"/>
                                </w:rPr>
                                <w:t>LCR, NSFR ≥ 100%</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2.1-rasm" style="position:absolute;margin-left:0pt;margin-top:-93.55pt;width:464.9pt;height:187.1pt" coordorigin="0,-1871" coordsize="9298,3742">
                <v:shape id="shape_0" ID="Connector 3" path="m0,0l-2147483648,-2147483647e" stroked="t" o:allowincell="f" style="position:absolute;left:1001;top:-1086;width:0;height:299;mso-wrap-style:none;v-text-anchor:middle;mso-position-vertical:center" type="_x0000_t32">
                  <v:fill o:detectmouseclick="t" on="false"/>
                  <v:stroke color="#7f7f7f" weight="15840" joinstyle="round" endcap="flat"/>
                  <w10:wrap type="square"/>
                </v:shape>
                <v:shape id="shape_0" ID="Connector 5" path="m0,0l-2147483648,-2147483647e" stroked="t" o:allowincell="f" style="position:absolute;left:2014;top:-1478;width:405;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7" path="m0,0l-2147483648,-2147483647e" stroked="t" o:allowincell="f" style="position:absolute;left:3433;top:-1086;width:0;height:299;mso-wrap-style:none;v-text-anchor:middle;mso-position-vertical:center" type="_x0000_t32">
                  <v:fill o:detectmouseclick="t" on="false"/>
                  <v:stroke color="#7f7f7f" weight="15840" joinstyle="round" endcap="flat"/>
                  <w10:wrap type="square"/>
                </v:shape>
                <v:shape id="shape_0" ID="Connector 9" path="m0,0l-2147483648,-2147483647e" stroked="t" o:allowincell="f" style="position:absolute;left:4447;top:-1478;width:404;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1" path="m0,0l-2147483648,-2147483647e" stroked="t" o:allowincell="f" style="position:absolute;left:5866;top:-1086;width:0;height:299;mso-wrap-style:none;v-text-anchor:middle;mso-position-vertical:center" type="_x0000_t32">
                  <v:fill o:detectmouseclick="t" on="false"/>
                  <v:stroke color="#7f7f7f" weight="15840" joinstyle="round" endcap="flat"/>
                  <w10:wrap type="square"/>
                </v:shape>
                <v:shape id="shape_0" ID="Connector 13" path="m0,0l-2147483648,-2147483647e" stroked="t" o:allowincell="f" style="position:absolute;left:6878;top:-1478;width:405;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5" path="m0,0l-2147483648,-2147483647e" stroked="t" o:allowincell="f" style="position:absolute;left:8298;top:-1086;width:0;height:299;mso-wrap-style:none;v-text-anchor:middle;mso-position-vertical:center" type="_x0000_t32">
                  <v:fill o:detectmouseclick="t" on="false"/>
                  <v:stroke color="#7f7f7f" weight="15840"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1.2.1-rasm. Bazel kelishuvlarining rivojlanish bosqichlari</w:t>
      </w:r>
    </w:p>
    <w:p>
      <w:pPr>
        <w:pStyle w:val="BodyText"/>
        <w:spacing w:lineRule="auto" w:line="360" w:before="0" w:after="0"/>
        <w:ind w:firstLine="709"/>
        <w:jc w:val="both"/>
        <w:rPr/>
      </w:pPr>
      <w:r>
        <w:rPr>
          <w:rFonts w:eastAsia="Times New Roman" w:cs="Times New Roman"/>
          <w:sz w:val="28"/>
        </w:rP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 Tarullo ma’lumotiga ko‘ra, bu kelishuv 100 dan ortiq mamlakatda qabul qilingan, biroq protsiklik xususiyati, regulyativ arbitraj va kapital talabi bilan real risk o‘rtasidagi uzilish uning jiddiy kamchiliklari bo‘lgan. Xususan, Yaponiya banklarida kechiktirilgan soliq aktivlari kapitalning 15–40 foizini tashkil etgan va ular chiqarib tashlansa, tuzatilgan birinchi darajali kapital taxminan 2 foizgacha tushgan.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p>
    <w:p>
      <w:pPr>
        <w:pStyle w:val="BodyText"/>
        <w:spacing w:lineRule="auto" w:line="360" w:before="0" w:after="0"/>
        <w:ind w:firstLine="709"/>
        <w:jc w:val="both"/>
        <w:rPr/>
      </w:pPr>
      <w:r>
        <w:rPr>
          <w:rFonts w:eastAsia="Times New Roman" w:cs="Times New Roman"/>
          <w:sz w:val="28"/>
        </w:rPr>
        <w:t>2007–2009-yillardagi global moliyaviy inqiroz Bazel III ning qabul qilinishiga olib keldi. W. Tian uning mohiyatini «riskka sezgirlikdan kapital sig‘imkorlikka» siljish deb tavsiflaydi, Modina esa yangi kelishuvning ikki maqsadini – alohida banklarning stressga chidamliligini oshirish va protsiklikni cheklashni ajratadi.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 (1.2.2-rasm).</w:t>
      </w:r>
    </w:p>
    <w:p>
      <w:pPr>
        <w:pStyle w:val="BodyText"/>
        <w:keepNext w:val="true"/>
        <w:spacing w:lineRule="auto" w:line="240" w:before="0" w:after="0"/>
        <w:ind w:hanging="0"/>
        <w:jc w:val="center"/>
        <w:rPr/>
      </w:pPr>
      <w:r>
        <w:rPr/>
        <w:drawing>
          <wp:inline distT="0" distB="0" distL="0" distR="0">
            <wp:extent cx="5760085" cy="2879725"/>
            <wp:effectExtent l="0" t="0" r="0" b="0"/>
            <wp:docPr id="93" name="1.2.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pPr>
        <w:pStyle w:val="BodyText"/>
        <w:spacing w:lineRule="auto" w:line="240" w:before="120" w:after="240"/>
        <w:ind w:hanging="0"/>
        <w:jc w:val="center"/>
        <w:rPr/>
      </w:pPr>
      <w:r>
        <w:rPr>
          <w:rFonts w:eastAsia="Times New Roman" w:cs="Times New Roman"/>
          <w:b/>
          <w:sz w:val="28"/>
        </w:rPr>
        <w:t>1.2.2-rasm. Bazel II va Bazel III bo‘yicha kapital talablarining tuzilmasi</w:t>
      </w:r>
    </w:p>
    <w:p>
      <w:pPr>
        <w:pStyle w:val="BodyText"/>
        <w:spacing w:lineRule="auto" w:line="360" w:before="0" w:after="0"/>
        <w:ind w:firstLine="709"/>
        <w:jc w:val="both"/>
        <w:rPr/>
      </w:pPr>
      <w:r>
        <w:rPr>
          <w:rFonts w:eastAsia="Times New Roman" w:cs="Times New Roman"/>
          <w:sz w:val="28"/>
        </w:rPr>
        <w:t>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 Konservatsiya buferining o‘ziga xos jihati shundaki, u to‘g‘ridan-to‘g‘ri majburiy minimum emas, balki bank xatti-harakatini cheklovchi mexanizm hisoblanadi: asosiy kapital buferni hisobga olgan holda 7 foizdan past bo‘lsa, bank foydaning bir qismini dividend sifatida taqsimlay olmaydi (1.2.3-rasm).</w:t>
      </w:r>
    </w:p>
    <w:p>
      <w:pPr>
        <w:pStyle w:val="BodyText"/>
        <w:keepNext w:val="true"/>
        <w:spacing w:lineRule="auto" w:line="240" w:before="0" w:after="0"/>
        <w:ind w:hanging="0"/>
        <w:jc w:val="center"/>
        <w:rPr/>
      </w:pPr>
      <w:r>
        <w:rPr/>
        <w:drawing>
          <wp:inline distT="0" distB="0" distL="0" distR="0">
            <wp:extent cx="5760085" cy="2879725"/>
            <wp:effectExtent l="0" t="0" r="0" b="0"/>
            <wp:docPr id="94" name="1.2.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pPr>
        <w:pStyle w:val="BodyText"/>
        <w:spacing w:lineRule="auto" w:line="240" w:before="120" w:after="240"/>
        <w:ind w:hanging="0"/>
        <w:jc w:val="center"/>
        <w:rPr/>
      </w:pPr>
      <w:r>
        <w:rPr>
          <w:rFonts w:eastAsia="Times New Roman" w:cs="Times New Roman"/>
          <w:b/>
          <w:sz w:val="28"/>
        </w:rPr>
        <w:t>1.2.3-rasm. Konservatsiya buferi bo‘yicha foydani taqsimlash cheklovlari shkalasi</w:t>
      </w:r>
    </w:p>
    <w:p>
      <w:pPr>
        <w:pStyle w:val="BodyText"/>
        <w:spacing w:lineRule="auto" w:line="360" w:before="0" w:after="0"/>
        <w:ind w:firstLine="709"/>
        <w:jc w:val="both"/>
        <w:rPr/>
      </w:pPr>
      <w:r>
        <w:rPr>
          <w:rFonts w:eastAsia="Times New Roman" w:cs="Times New Roman"/>
          <w:sz w:val="28"/>
        </w:rPr>
        <w:t>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 Bunga qo‘shimcha ravishda Bazel III risk vaznlariga bog‘liq bo‘lmagan, kamida 3 foiz bo‘lishi lozim bo‘lgan leverej koeffitsiyentini joriy etdi, Tian uni ichki modellar xatosidan himoya qiluvchi oddiy zaxira chorasi deb ataydi.</w:t>
      </w:r>
    </w:p>
    <w:p>
      <w:pPr>
        <w:pStyle w:val="BodyText"/>
        <w:spacing w:lineRule="auto" w:line="360" w:before="0" w:after="0"/>
        <w:ind w:firstLine="709"/>
        <w:jc w:val="both"/>
        <w:rPr/>
      </w:pPr>
      <w:r>
        <w:rPr>
          <w:rFonts w:eastAsia="Times New Roman" w:cs="Times New Roman"/>
          <w:sz w:val="28"/>
        </w:rP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 Sof barqaror moliyalashtirish me’yori esa mavjud barqaror moliyalashtirishning talab qilinadigan barqaror moliyalashtirishga nisbati bo‘lib, bir yillik gorizontda aktivlar va passivlar muddatlari nomutanosibligini cheklaydi. Har ikki me’yorning natijasi asosan koeffitsiyentlarga bog‘liq bo‘lib, ularning asosiy qiymatlari 1.2.3-jadvalda keltirilgan.</w:t>
      </w:r>
    </w:p>
    <w:p>
      <w:pPr>
        <w:pStyle w:val="BodyText"/>
        <w:keepNext w:val="true"/>
        <w:spacing w:lineRule="auto" w:line="360" w:before="120" w:after="0"/>
        <w:ind w:hanging="0"/>
        <w:jc w:val="right"/>
        <w:rPr/>
      </w:pPr>
      <w:r>
        <w:rPr>
          <w:rFonts w:eastAsia="Times New Roman" w:cs="Times New Roman"/>
          <w:i/>
          <w:sz w:val="28"/>
        </w:rPr>
        <w:t>1.2.3-jadval</w:t>
      </w:r>
    </w:p>
    <w:p>
      <w:pPr>
        <w:pStyle w:val="BodyText"/>
        <w:keepNext w:val="true"/>
        <w:spacing w:lineRule="auto" w:line="240" w:before="0" w:after="120"/>
        <w:ind w:hanging="0"/>
        <w:jc w:val="center"/>
        <w:rPr/>
      </w:pPr>
      <w:r>
        <w:rPr>
          <w:rFonts w:eastAsia="Times New Roman" w:cs="Times New Roman"/>
          <w:b/>
          <w:bCs/>
          <w:sz w:val="28"/>
        </w:rPr>
        <w:t>Bazel III likvidlik me’yorlarida qo‘llanadigan asosiy koeffitsiyentlar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698"/>
        <w:gridCol w:w="1526"/>
        <w:gridCol w:w="3465"/>
      </w:tblGrid>
      <w:tr>
        <w:trPr>
          <w:tblHeader w:val="true"/>
          <w:cantSplit w:val="true"/>
        </w:trPr>
        <w:tc>
          <w:tcPr>
            <w:tcW w:w="469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Moddalar</w:t>
            </w:r>
          </w:p>
        </w:tc>
        <w:tc>
          <w:tcPr>
            <w:tcW w:w="152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Koeffitsiyent, %</w:t>
            </w:r>
          </w:p>
        </w:tc>
        <w:tc>
          <w:tcPr>
            <w:tcW w:w="346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Mazmuni</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Likvidlikni qoplash me’yori: yuqori sifatli likvid aktivlar</w:t>
            </w:r>
          </w:p>
        </w:tc>
        <w:tc>
          <w:tcPr>
            <w:tcW w:w="1526"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3465"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1-daraja: naqd pul, markaziy bankdagi zaxiralar, nol risk vaznli davlat qimmatli qog‘ozlari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Cheklovsiz, diskontsiz</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2A-daraja: 20 foiz risk vaznli qimmatli qog‘ozlar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likvid aktivlarning 40 foizidan oshmaydi</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2B-daraja: korporativ obligatsiyalar, aksiyalar va boshqalar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50–75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likvid aktivlarning 15 foizidan oshmaydi</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Likvidlikni qoplash me’yori: pul chiqimi koeffitsiyentlari</w:t>
            </w:r>
          </w:p>
        </w:tc>
        <w:tc>
          <w:tcPr>
            <w:tcW w:w="1526"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3465"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Barqaror chakana depozitlar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Sug‘urtalangan, operatsion bog‘liq</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Kamroq barqaror chakana depozitlar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 va undan yuqori</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Nomoliyaviy korporatsiyalarning operatsion bo‘lmagan mablag‘lari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Sug‘urtalanmagan qismi</w:t>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Moliya institutlarining operatsion bo‘lmagan mablag‘lari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Sof barqaror moliyalashtirish me’yori: mavjud barqaror moliyalashtirish</w:t>
            </w:r>
          </w:p>
        </w:tc>
        <w:tc>
          <w:tcPr>
            <w:tcW w:w="1526"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3465"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va muddati bir yildan ortiq majburiyatlar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Barqaror chakana depozitlar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Kamroq barqaror chakana depozitlar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Nomoliyaviy korporatsiyalarning bir yilgacha mablag‘lari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Sof barqaror moliyalashtirish me’yori: talab qilinadigan barqaror moliyalashtirish</w:t>
            </w:r>
          </w:p>
        </w:tc>
        <w:tc>
          <w:tcPr>
            <w:tcW w:w="1526"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3465"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1-daraja likvid aktivlar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 yilgacha muddatli chakana va kichik biznes kreditlari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 vazni 35 foizgacha bo‘lgan ipoteka kreditlari</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Boshqa ishlaydigan kreditlar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85</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46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w:t>
            </w:r>
          </w:p>
        </w:tc>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346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bl>
    <w:p>
      <w:pPr>
        <w:pStyle w:val="BodyText"/>
        <w:spacing w:lineRule="auto" w:line="360" w:before="0" w:after="0"/>
        <w:ind w:firstLine="709"/>
        <w:jc w:val="both"/>
        <w:rPr/>
      </w:pPr>
      <w:r>
        <w:rPr>
          <w:rFonts w:eastAsia="Times New Roman" w:cs="Times New Roman"/>
          <w:sz w:val="28"/>
        </w:rPr>
        <w:t>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 O‘zbekistonda esa Bazel III talablarini bosqichma-bosqich joriy etish 2015-yilda boshlangan bo‘lib, likvidlikni qoplash me’yorining minimal darajasi 2016-yil 1-yanvardan 80 foiz, 2017-yil 1-yanvardan 90 foiz, 2018-yil 1-yanvardan 100 foiz qilib belgilangan.</w:t>
      </w:r>
    </w:p>
    <w:p>
      <w:pPr>
        <w:pStyle w:val="BodyText"/>
        <w:spacing w:lineRule="auto" w:line="360" w:before="0" w:after="0"/>
        <w:ind w:firstLine="709"/>
        <w:jc w:val="both"/>
        <w:rPr/>
      </w:pPr>
      <w:r>
        <w:rPr>
          <w:rFonts w:eastAsia="Times New Roman" w:cs="Times New Roman"/>
          <w:sz w:val="28"/>
        </w:rP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 N.E. Sokolinskaya bu o‘zgarishni yuzaga kelgan zararlarga asoslangan yondashuv o‘rniga prognoz yondashuvining kiritilishi deb tavsiflaydi. Standartga ko‘ra, moliyaviy aktivlar kredit sifatining o‘zgarishiga qarab uch bosqichga ajratiladi (1.2.4-rasm).</w:t>
      </w:r>
    </w:p>
    <w:p>
      <w:pPr>
        <w:pStyle w:val="BodyText"/>
        <w:keepNext w:val="true"/>
        <w:spacing w:lineRule="auto" w:line="240" w:before="0" w:after="0"/>
        <w:ind w:hanging="0"/>
        <w:jc w:val="center"/>
        <w:rPr/>
      </w:pPr>
      <w:r>
        <w:rPr/>
        <mc:AlternateContent>
          <mc:Choice Requires="wpg">
            <w:drawing>
              <wp:inline distT="0" distB="0" distL="0" distR="0">
                <wp:extent cx="5904230" cy="2447925"/>
                <wp:effectExtent l="0" t="0" r="0" b="0"/>
                <wp:docPr id="95" name="1.2.4-rasm"/>
                <a:graphic xmlns:a="http://schemas.openxmlformats.org/drawingml/2006/main">
                  <a:graphicData uri="http://schemas.microsoft.com/office/word/2010/wordprocessingGroup">
                    <wpg:wgp>
                      <wpg:cNvGrpSpPr/>
                      <wpg:grpSpPr>
                        <a:xfrm>
                          <a:off x="0" y="0"/>
                          <a:ext cx="5904360" cy="2448000"/>
                          <a:chOff x="0" y="0"/>
                          <a:chExt cx="5904360" cy="2448000"/>
                        </a:xfrm>
                      </wpg:grpSpPr>
                      <wps:wsp>
                        <wps:cNvPr id="96" name="Shape 17"/>
                        <wps:cNvSpPr/>
                        <wps:spPr>
                          <a:xfrm>
                            <a:off x="0" y="0"/>
                            <a:ext cx="5904360" cy="200520"/>
                          </a:xfrm>
                          <a:prstGeom prst="roundRect">
                            <a:avLst>
                              <a:gd name="adj" fmla="val 10000"/>
                            </a:avLst>
                          </a:prstGeom>
                          <a:noFill/>
                          <a:ln w="0">
                            <a:noFill/>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2"/>
                                  <w:szCs w:val="22"/>
                                </w:rPr>
                                <w:t>Dastlabki tan olingandan keyin kredit sifatining yomonlashuvi</w:t>
                              </w:r>
                            </w:p>
                            <w:p>
                              <w:pPr>
                                <w:pStyle w:val="FrameContents"/>
                                <w:spacing w:before="0" w:after="200"/>
                                <w:rPr/>
                              </w:pPr>
                              <w:r>
                                <w:rPr/>
                              </w:r>
                            </w:p>
                          </w:txbxContent>
                        </wps:txbx>
                        <wps:bodyPr lIns="36360" rIns="36360" tIns="17640" bIns="17640" anchor="ctr">
                          <a:noAutofit/>
                        </wps:bodyPr>
                      </wps:wsp>
                      <wps:wsp>
                        <wps:cNvPr id="97" name="Connector 18"/>
                        <wps:cNvSpPr/>
                        <wps:spPr>
                          <a:xfrm>
                            <a:off x="36360" y="273600"/>
                            <a:ext cx="5831280" cy="1440"/>
                          </a:xfrm>
                          <a:prstGeom prst="straightConnector1">
                            <a:avLst/>
                          </a:prstGeom>
                          <a:noFill/>
                          <a:ln w="31750">
                            <a:solidFill>
                              <a:srgbClr val="7f7f7f"/>
                            </a:solidFill>
                            <a:round/>
                            <a:tailEnd len="med" type="triangle" w="med"/>
                          </a:ln>
                        </wps:spPr>
                        <wps:style>
                          <a:lnRef idx="0"/>
                          <a:fillRef idx="0"/>
                          <a:effectRef idx="0"/>
                          <a:fontRef idx="minor"/>
                        </wps:style>
                        <wps:bodyPr/>
                      </wps:wsp>
                      <wps:wsp>
                        <wps:cNvPr id="98" name="Shape 19"/>
                        <wps:cNvSpPr/>
                        <wps:spPr>
                          <a:xfrm>
                            <a:off x="0" y="383400"/>
                            <a:ext cx="1857960" cy="30996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4"/>
                                  <w:szCs w:val="24"/>
                                </w:rPr>
                                <w:t>1-bosqich</w:t>
                              </w:r>
                            </w:p>
                            <w:p>
                              <w:pPr>
                                <w:pStyle w:val="FrameContents"/>
                                <w:spacing w:before="0" w:after="200"/>
                                <w:rPr/>
                              </w:pPr>
                              <w:r>
                                <w:rPr/>
                              </w:r>
                            </w:p>
                          </w:txbxContent>
                        </wps:txbx>
                        <wps:bodyPr lIns="36360" rIns="36360" tIns="17640" bIns="17640" anchor="ctr">
                          <a:noAutofit/>
                        </wps:bodyPr>
                      </wps:wsp>
                      <wps:wsp>
                        <wps:cNvPr id="99" name="Shape 20"/>
                        <wps:cNvSpPr/>
                        <wps:spPr>
                          <a:xfrm>
                            <a:off x="0" y="767880"/>
                            <a:ext cx="1857960" cy="49284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Kredit riski sezilarli</w:t>
                              </w:r>
                            </w:p>
                            <w:p>
                              <w:pPr>
                                <w:pStyle w:val="Normal"/>
                                <w:spacing w:lineRule="auto" w:line="228" w:before="0" w:after="0"/>
                                <w:ind w:hanging="0"/>
                                <w:jc w:val="center"/>
                                <w:rPr/>
                              </w:pPr>
                              <w:r>
                                <w:rPr>
                                  <w:rFonts w:cs="Times New Roman"/>
                                  <w:color w:val="000000"/>
                                  <w:sz w:val="22"/>
                                  <w:szCs w:val="22"/>
                                </w:rPr>
                                <w:t>oshmagan aktivlar</w:t>
                              </w:r>
                            </w:p>
                            <w:p>
                              <w:pPr>
                                <w:pStyle w:val="FrameContents"/>
                                <w:spacing w:before="0" w:after="200"/>
                                <w:rPr/>
                              </w:pPr>
                              <w:r>
                                <w:rPr/>
                              </w:r>
                            </w:p>
                          </w:txbxContent>
                        </wps:txbx>
                        <wps:bodyPr lIns="36360" rIns="36360" tIns="17640" bIns="17640" anchor="ctr">
                          <a:noAutofit/>
                        </wps:bodyPr>
                      </wps:wsp>
                      <wps:wsp>
                        <wps:cNvPr id="100" name="Shape 21"/>
                        <wps:cNvSpPr/>
                        <wps:spPr>
                          <a:xfrm>
                            <a:off x="0" y="1334160"/>
                            <a:ext cx="1857960" cy="49212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12 oylik kutilgan</w:t>
                              </w:r>
                            </w:p>
                            <w:p>
                              <w:pPr>
                                <w:pStyle w:val="Normal"/>
                                <w:spacing w:lineRule="auto" w:line="228" w:before="0" w:after="0"/>
                                <w:ind w:hanging="0"/>
                                <w:jc w:val="center"/>
                                <w:rPr/>
                              </w:pPr>
                              <w:r>
                                <w:rPr>
                                  <w:rFonts w:cs="Times New Roman"/>
                                  <w:b/>
                                  <w:color w:val="000000"/>
                                  <w:sz w:val="22"/>
                                  <w:szCs w:val="22"/>
                                </w:rPr>
                                <w:t>kredit zararlari</w:t>
                              </w:r>
                            </w:p>
                            <w:p>
                              <w:pPr>
                                <w:pStyle w:val="FrameContents"/>
                                <w:spacing w:before="0" w:after="200"/>
                                <w:rPr/>
                              </w:pPr>
                              <w:r>
                                <w:rPr/>
                              </w:r>
                            </w:p>
                          </w:txbxContent>
                        </wps:txbx>
                        <wps:bodyPr lIns="36360" rIns="36360" tIns="17640" bIns="17640" anchor="ctr">
                          <a:noAutofit/>
                        </wps:bodyPr>
                      </wps:wsp>
                      <wps:wsp>
                        <wps:cNvPr id="101" name="Shape 22"/>
                        <wps:cNvSpPr/>
                        <wps:spPr>
                          <a:xfrm>
                            <a:off x="0" y="1900440"/>
                            <a:ext cx="1857960" cy="54720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Foiz daromadi yalpi</w:t>
                              </w:r>
                            </w:p>
                            <w:p>
                              <w:pPr>
                                <w:pStyle w:val="Normal"/>
                                <w:spacing w:lineRule="auto" w:line="228" w:before="0" w:after="0"/>
                                <w:ind w:hanging="0"/>
                                <w:jc w:val="center"/>
                                <w:rPr/>
                              </w:pPr>
                              <w:r>
                                <w:rPr>
                                  <w:rFonts w:cs="Times New Roman"/>
                                  <w:color w:val="000000"/>
                                  <w:sz w:val="22"/>
                                  <w:szCs w:val="22"/>
                                </w:rPr>
                                <w:t>balans qiymatiga</w:t>
                              </w:r>
                            </w:p>
                            <w:p>
                              <w:pPr>
                                <w:pStyle w:val="Normal"/>
                                <w:spacing w:lineRule="auto" w:line="228" w:before="0" w:after="0"/>
                                <w:ind w:hanging="0"/>
                                <w:jc w:val="center"/>
                                <w:rPr/>
                              </w:pPr>
                              <w:r>
                                <w:rPr>
                                  <w:rFonts w:cs="Times New Roman"/>
                                  <w:color w:val="000000"/>
                                  <w:sz w:val="22"/>
                                  <w:szCs w:val="22"/>
                                </w:rPr>
                                <w:t>hisoblanadi</w:t>
                              </w:r>
                            </w:p>
                            <w:p>
                              <w:pPr>
                                <w:pStyle w:val="FrameContents"/>
                                <w:spacing w:before="0" w:after="200"/>
                                <w:rPr/>
                              </w:pPr>
                              <w:r>
                                <w:rPr/>
                              </w:r>
                            </w:p>
                          </w:txbxContent>
                        </wps:txbx>
                        <wps:bodyPr lIns="36360" rIns="36360" tIns="17640" bIns="17640" anchor="ctr">
                          <a:noAutofit/>
                        </wps:bodyPr>
                      </wps:wsp>
                      <wps:wsp>
                        <wps:cNvPr id="102" name="Shape 23"/>
                        <wps:cNvSpPr/>
                        <wps:spPr>
                          <a:xfrm>
                            <a:off x="2004840" y="383400"/>
                            <a:ext cx="1857960" cy="30996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4"/>
                                  <w:szCs w:val="24"/>
                                </w:rPr>
                                <w:t>2-bosqich</w:t>
                              </w:r>
                            </w:p>
                            <w:p>
                              <w:pPr>
                                <w:pStyle w:val="FrameContents"/>
                                <w:spacing w:before="0" w:after="200"/>
                                <w:rPr/>
                              </w:pPr>
                              <w:r>
                                <w:rPr/>
                              </w:r>
                            </w:p>
                          </w:txbxContent>
                        </wps:txbx>
                        <wps:bodyPr lIns="36360" rIns="36360" tIns="17640" bIns="17640" anchor="ctr">
                          <a:noAutofit/>
                        </wps:bodyPr>
                      </wps:wsp>
                      <wps:wsp>
                        <wps:cNvPr id="103" name="Shape 24"/>
                        <wps:cNvSpPr/>
                        <wps:spPr>
                          <a:xfrm>
                            <a:off x="2004840" y="767880"/>
                            <a:ext cx="1857960" cy="49284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Kredit riski sezilarli</w:t>
                              </w:r>
                            </w:p>
                            <w:p>
                              <w:pPr>
                                <w:pStyle w:val="Normal"/>
                                <w:spacing w:lineRule="auto" w:line="228" w:before="0" w:after="0"/>
                                <w:ind w:hanging="0"/>
                                <w:jc w:val="center"/>
                                <w:rPr/>
                              </w:pPr>
                              <w:r>
                                <w:rPr>
                                  <w:rFonts w:cs="Times New Roman"/>
                                  <w:color w:val="000000"/>
                                  <w:sz w:val="22"/>
                                  <w:szCs w:val="22"/>
                                </w:rPr>
                                <w:t>oshgan aktivlar</w:t>
                              </w:r>
                            </w:p>
                            <w:p>
                              <w:pPr>
                                <w:pStyle w:val="FrameContents"/>
                                <w:spacing w:before="0" w:after="200"/>
                                <w:rPr/>
                              </w:pPr>
                              <w:r>
                                <w:rPr/>
                              </w:r>
                            </w:p>
                          </w:txbxContent>
                        </wps:txbx>
                        <wps:bodyPr lIns="36360" rIns="36360" tIns="17640" bIns="17640" anchor="ctr">
                          <a:noAutofit/>
                        </wps:bodyPr>
                      </wps:wsp>
                      <wps:wsp>
                        <wps:cNvPr id="104" name="Shape 25"/>
                        <wps:cNvSpPr/>
                        <wps:spPr>
                          <a:xfrm>
                            <a:off x="2004840" y="1334160"/>
                            <a:ext cx="1857960" cy="49212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Butun muddat uchun</w:t>
                              </w:r>
                            </w:p>
                            <w:p>
                              <w:pPr>
                                <w:pStyle w:val="Normal"/>
                                <w:spacing w:lineRule="auto" w:line="228" w:before="0" w:after="0"/>
                                <w:ind w:hanging="0"/>
                                <w:jc w:val="center"/>
                                <w:rPr/>
                              </w:pPr>
                              <w:r>
                                <w:rPr>
                                  <w:rFonts w:cs="Times New Roman"/>
                                  <w:b/>
                                  <w:color w:val="000000"/>
                                  <w:sz w:val="22"/>
                                  <w:szCs w:val="22"/>
                                </w:rPr>
                                <w:t>kutilgan kredit zararlari</w:t>
                              </w:r>
                            </w:p>
                            <w:p>
                              <w:pPr>
                                <w:pStyle w:val="FrameContents"/>
                                <w:spacing w:before="0" w:after="200"/>
                                <w:rPr/>
                              </w:pPr>
                              <w:r>
                                <w:rPr/>
                              </w:r>
                            </w:p>
                          </w:txbxContent>
                        </wps:txbx>
                        <wps:bodyPr lIns="36360" rIns="36360" tIns="17640" bIns="17640" anchor="ctr">
                          <a:noAutofit/>
                        </wps:bodyPr>
                      </wps:wsp>
                      <wps:wsp>
                        <wps:cNvPr id="105" name="Shape 26"/>
                        <wps:cNvSpPr/>
                        <wps:spPr>
                          <a:xfrm>
                            <a:off x="2004840" y="1900440"/>
                            <a:ext cx="1857960" cy="54720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Foiz daromadi yalpi</w:t>
                              </w:r>
                            </w:p>
                            <w:p>
                              <w:pPr>
                                <w:pStyle w:val="Normal"/>
                                <w:spacing w:lineRule="auto" w:line="228" w:before="0" w:after="0"/>
                                <w:ind w:hanging="0"/>
                                <w:jc w:val="center"/>
                                <w:rPr/>
                              </w:pPr>
                              <w:r>
                                <w:rPr>
                                  <w:rFonts w:cs="Times New Roman"/>
                                  <w:color w:val="000000"/>
                                  <w:sz w:val="22"/>
                                  <w:szCs w:val="22"/>
                                </w:rPr>
                                <w:t>balans qiymatiga</w:t>
                              </w:r>
                            </w:p>
                            <w:p>
                              <w:pPr>
                                <w:pStyle w:val="Normal"/>
                                <w:spacing w:lineRule="auto" w:line="228" w:before="0" w:after="0"/>
                                <w:ind w:hanging="0"/>
                                <w:jc w:val="center"/>
                                <w:rPr/>
                              </w:pPr>
                              <w:r>
                                <w:rPr>
                                  <w:rFonts w:cs="Times New Roman"/>
                                  <w:color w:val="000000"/>
                                  <w:sz w:val="22"/>
                                  <w:szCs w:val="22"/>
                                </w:rPr>
                                <w:t>hisoblanadi</w:t>
                              </w:r>
                            </w:p>
                            <w:p>
                              <w:pPr>
                                <w:pStyle w:val="FrameContents"/>
                                <w:spacing w:before="0" w:after="200"/>
                                <w:rPr/>
                              </w:pPr>
                              <w:r>
                                <w:rPr/>
                              </w:r>
                            </w:p>
                          </w:txbxContent>
                        </wps:txbx>
                        <wps:bodyPr lIns="36360" rIns="36360" tIns="17640" bIns="17640" anchor="ctr">
                          <a:noAutofit/>
                        </wps:bodyPr>
                      </wps:wsp>
                      <wps:wsp>
                        <wps:cNvPr id="106" name="Shape 27"/>
                        <wps:cNvSpPr/>
                        <wps:spPr>
                          <a:xfrm>
                            <a:off x="4009320" y="383400"/>
                            <a:ext cx="1857960" cy="30996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4"/>
                                  <w:szCs w:val="24"/>
                                </w:rPr>
                                <w:t>3-bosqich</w:t>
                              </w:r>
                            </w:p>
                            <w:p>
                              <w:pPr>
                                <w:pStyle w:val="FrameContents"/>
                                <w:spacing w:before="0" w:after="200"/>
                                <w:rPr/>
                              </w:pPr>
                              <w:r>
                                <w:rPr/>
                              </w:r>
                            </w:p>
                          </w:txbxContent>
                        </wps:txbx>
                        <wps:bodyPr lIns="36360" rIns="36360" tIns="17640" bIns="17640" anchor="ctr">
                          <a:noAutofit/>
                        </wps:bodyPr>
                      </wps:wsp>
                      <wps:wsp>
                        <wps:cNvPr id="107" name="Shape 28"/>
                        <wps:cNvSpPr/>
                        <wps:spPr>
                          <a:xfrm>
                            <a:off x="4009320" y="767880"/>
                            <a:ext cx="1857960" cy="49284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Qadrsizlangan</w:t>
                              </w:r>
                            </w:p>
                            <w:p>
                              <w:pPr>
                                <w:pStyle w:val="Normal"/>
                                <w:spacing w:lineRule="auto" w:line="228" w:before="0" w:after="0"/>
                                <w:ind w:hanging="0"/>
                                <w:jc w:val="center"/>
                                <w:rPr/>
                              </w:pPr>
                              <w:r>
                                <w:rPr>
                                  <w:rFonts w:cs="Times New Roman"/>
                                  <w:color w:val="000000"/>
                                  <w:sz w:val="22"/>
                                  <w:szCs w:val="22"/>
                                </w:rPr>
                                <w:t>(defolt) aktivlar</w:t>
                              </w:r>
                            </w:p>
                            <w:p>
                              <w:pPr>
                                <w:pStyle w:val="FrameContents"/>
                                <w:spacing w:before="0" w:after="200"/>
                                <w:rPr/>
                              </w:pPr>
                              <w:r>
                                <w:rPr/>
                              </w:r>
                            </w:p>
                          </w:txbxContent>
                        </wps:txbx>
                        <wps:bodyPr lIns="36360" rIns="36360" tIns="17640" bIns="17640" anchor="ctr">
                          <a:noAutofit/>
                        </wps:bodyPr>
                      </wps:wsp>
                      <wps:wsp>
                        <wps:cNvPr id="108" name="Shape 29"/>
                        <wps:cNvSpPr/>
                        <wps:spPr>
                          <a:xfrm>
                            <a:off x="4009320" y="1334160"/>
                            <a:ext cx="1857960" cy="49212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Butun muddat uchun</w:t>
                              </w:r>
                            </w:p>
                            <w:p>
                              <w:pPr>
                                <w:pStyle w:val="Normal"/>
                                <w:spacing w:lineRule="auto" w:line="228" w:before="0" w:after="0"/>
                                <w:ind w:hanging="0"/>
                                <w:jc w:val="center"/>
                                <w:rPr/>
                              </w:pPr>
                              <w:r>
                                <w:rPr>
                                  <w:rFonts w:cs="Times New Roman"/>
                                  <w:b/>
                                  <w:color w:val="000000"/>
                                  <w:sz w:val="22"/>
                                  <w:szCs w:val="22"/>
                                </w:rPr>
                                <w:t>kutilgan kredit zararlari</w:t>
                              </w:r>
                            </w:p>
                            <w:p>
                              <w:pPr>
                                <w:pStyle w:val="FrameContents"/>
                                <w:spacing w:before="0" w:after="200"/>
                                <w:rPr/>
                              </w:pPr>
                              <w:r>
                                <w:rPr/>
                              </w:r>
                            </w:p>
                          </w:txbxContent>
                        </wps:txbx>
                        <wps:bodyPr lIns="36360" rIns="36360" tIns="17640" bIns="17640" anchor="ctr">
                          <a:noAutofit/>
                        </wps:bodyPr>
                      </wps:wsp>
                      <wps:wsp>
                        <wps:cNvPr id="109" name="Shape 30"/>
                        <wps:cNvSpPr/>
                        <wps:spPr>
                          <a:xfrm>
                            <a:off x="4009320" y="1900440"/>
                            <a:ext cx="1857960" cy="54720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Foiz daromadi sof</w:t>
                              </w:r>
                            </w:p>
                            <w:p>
                              <w:pPr>
                                <w:pStyle w:val="Normal"/>
                                <w:spacing w:lineRule="auto" w:line="228" w:before="0" w:after="0"/>
                                <w:ind w:hanging="0"/>
                                <w:jc w:val="center"/>
                                <w:rPr/>
                              </w:pPr>
                              <w:r>
                                <w:rPr>
                                  <w:rFonts w:cs="Times New Roman"/>
                                  <w:color w:val="000000"/>
                                  <w:sz w:val="22"/>
                                  <w:szCs w:val="22"/>
                                </w:rPr>
                                <w:t>(zaxiradan keyingi)</w:t>
                              </w:r>
                            </w:p>
                            <w:p>
                              <w:pPr>
                                <w:pStyle w:val="Normal"/>
                                <w:spacing w:lineRule="auto" w:line="228" w:before="0" w:after="0"/>
                                <w:ind w:hanging="0"/>
                                <w:jc w:val="center"/>
                                <w:rPr/>
                              </w:pPr>
                              <w:r>
                                <w:rPr>
                                  <w:rFonts w:cs="Times New Roman"/>
                                  <w:color w:val="000000"/>
                                  <w:sz w:val="22"/>
                                  <w:szCs w:val="22"/>
                                </w:rPr>
                                <w:t>qiymatga hisoblanadi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2.4-rasm" style="position:absolute;margin-left:0pt;margin-top:-96.4pt;width:464.9pt;height:192.75pt" coordorigin="0,-1928" coordsize="9298,3855">
                <v:shape id="shape_0" ID="Connector 18" path="m0,0l-2147483648,-2147483647e" stroked="t" o:allowincell="f" style="position:absolute;left:57;top:-1497;width:9182;height:1;mso-wrap-style:none;v-text-anchor:middle;mso-position-vertical:center" type="_x0000_t32">
                  <v:fill o:detectmouseclick="t" on="false"/>
                  <v:stroke color="#7f7f7f" weight="3168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1.2.4-rasm. MHXS 9 bo‘yicha kutilgan kredit zararlarini baholashning uch bosqichli modeli</w:t>
      </w:r>
    </w:p>
    <w:p>
      <w:pPr>
        <w:pStyle w:val="BodyText"/>
        <w:spacing w:lineRule="auto" w:line="360" w:before="0" w:after="0"/>
        <w:ind w:firstLine="709"/>
        <w:jc w:val="both"/>
        <w:rPr/>
      </w:pPr>
      <w:r>
        <w:rPr>
          <w:rFonts w:eastAsia="Times New Roman" w:cs="Times New Roman"/>
          <w:sz w:val="28"/>
        </w:rP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 Ikkinchidan, milliy hisobot va MHXS bo‘yicha hisoblangan ko‘rsatkichlar farqi bankning haqiqiy holatini aniqlashda qo‘shimcha axborot manbai bo‘ladi: muallif keltirgan misolda bitta bank 2015-yilda milliy hisobotda 63,7 mlrd rubl zarar, MHXS bo‘yicha esa 4,35 mlrd rubl foyda ko‘rsatgan. Bazel III ga oid monografiyada ham Rossiya bank sektorida zaxiralar va muddati o‘tgan qarzlar ulushi o‘rtasidagi korrelyatsiya atigi 0,24 ni tashkil etgani, ya’ni amaldagi zaxira yaratish amaliyoti kutilgan yo‘qotishlarni qoplash maqsadiga javob bermasligi ko‘rsatilgan. O‘zbekiston banklari misolida bu farq ikkinchi bobda tahlil qilinadi.</w:t>
      </w:r>
    </w:p>
    <w:p>
      <w:pPr>
        <w:pStyle w:val="BodyText"/>
        <w:spacing w:lineRule="auto" w:line="360" w:before="0" w:after="0"/>
        <w:ind w:firstLine="709"/>
        <w:jc w:val="both"/>
        <w:rPr/>
      </w:pPr>
      <w:r>
        <w:rPr>
          <w:rFonts w:eastAsia="Times New Roman" w:cs="Times New Roman"/>
          <w:sz w:val="28"/>
        </w:rP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 Shu bilan birga, qo‘llanmada asosiy ko‘rsatkichlarning o‘zi cheklangan bashorat kuchiga ega ekani, ammo ular monitoring vositasi va kengroq tahliliy yondashuvlar uchun dastlabki ma’lumot sifatida foydali ekani qayd etilgan. Demak, bu ko‘rsatkichlar baholash ko‘rsatkichlari tarkibini xalqaro miqyosda unifikatsiya qiladi, biroq mezoniy qiymatlar va yagona integral baho bermaydi.</w:t>
      </w:r>
    </w:p>
    <w:p>
      <w:pPr>
        <w:pStyle w:val="BodyText"/>
        <w:spacing w:lineRule="auto" w:line="360" w:before="0" w:after="0"/>
        <w:ind w:firstLine="709"/>
        <w:jc w:val="both"/>
        <w:rPr/>
      </w:pPr>
      <w:r>
        <w:rPr>
          <w:rFonts w:eastAsia="Times New Roman" w:cs="Times New Roman"/>
          <w:sz w:val="28"/>
        </w:rPr>
        <w:t>Ko‘rib chiqilgan standartlar va tizimlarning baholash metodikasi uchun ahamiyatini umumlashtirish ularni qiyosiy tavsiflash imkonini beradi (1.2.4-jadval).</w:t>
      </w:r>
    </w:p>
    <w:p>
      <w:pPr>
        <w:pStyle w:val="BodyText"/>
        <w:keepNext w:val="true"/>
        <w:spacing w:lineRule="auto" w:line="360" w:before="120" w:after="0"/>
        <w:ind w:hanging="0"/>
        <w:jc w:val="right"/>
        <w:rPr/>
      </w:pPr>
      <w:r>
        <w:rPr>
          <w:rFonts w:eastAsia="Times New Roman" w:cs="Times New Roman"/>
          <w:i/>
          <w:sz w:val="28"/>
        </w:rPr>
        <w:t>1.2.4-jadval</w:t>
      </w:r>
    </w:p>
    <w:p>
      <w:pPr>
        <w:pStyle w:val="BodyText"/>
        <w:keepNext w:val="true"/>
        <w:spacing w:lineRule="auto" w:line="240" w:before="0" w:after="120"/>
        <w:ind w:hanging="0"/>
        <w:jc w:val="center"/>
        <w:rPr/>
      </w:pPr>
      <w:r>
        <w:rPr>
          <w:rFonts w:eastAsia="Times New Roman" w:cs="Times New Roman"/>
          <w:b/>
          <w:bCs/>
          <w:sz w:val="28"/>
        </w:rPr>
        <w:t>Banklar moliyaviy barqarorligini baholash bo‘yicha xalqaro standartlar va tizimlarning qiyosiy tavsifi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26"/>
        <w:gridCol w:w="1585"/>
        <w:gridCol w:w="1528"/>
        <w:gridCol w:w="1702"/>
        <w:gridCol w:w="1644"/>
        <w:gridCol w:w="1703"/>
      </w:tblGrid>
      <w:tr>
        <w:trPr>
          <w:tblHeader w:val="true"/>
          <w:cantSplit w:val="true"/>
        </w:trPr>
        <w:tc>
          <w:tcPr>
            <w:tcW w:w="152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Mezon</w:t>
            </w:r>
          </w:p>
        </w:tc>
        <w:tc>
          <w:tcPr>
            <w:tcW w:w="158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Bazel III</w:t>
            </w:r>
          </w:p>
        </w:tc>
        <w:tc>
          <w:tcPr>
            <w:tcW w:w="15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MHXS 9</w:t>
            </w:r>
          </w:p>
        </w:tc>
        <w:tc>
          <w:tcPr>
            <w:tcW w:w="170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XVJ moliyaviy barqarorlik ko‘rsatkichlari</w:t>
            </w:r>
          </w:p>
        </w:tc>
        <w:tc>
          <w:tcPr>
            <w:tcW w:w="164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CAMELS</w:t>
            </w:r>
          </w:p>
        </w:tc>
        <w:tc>
          <w:tcPr>
            <w:tcW w:w="170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Reyting agentliklari</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maqsad</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Minimal prudensial talablar</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zararlarini to‘g‘ri aks ettirish</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Sektor barqarorligini kuzatish</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reytingi</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Investorlarga axborot</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Baholash darajasi</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va tizim</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sektori</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Qamraydigan bloklar</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likvidlik</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aktivlar, daromad, likvidlik, bozor riski</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aktivlar, boshqaruv, daromad, likvidlik, bozor riski</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Biznes va moliyaviy profil</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Mezoniy qiymatlar</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Bor (minimumlar)</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 (tamoyillar)</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Bor (ballar)</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Ichki</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Yagona integral baho</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Bor (1–5)</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Bor (reyting)</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Natijaning oshkoraligi</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Normativlar ochiq</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Yopiq</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cheklovi</w:t>
            </w:r>
          </w:p>
        </w:tc>
        <w:tc>
          <w:tcPr>
            <w:tcW w:w="15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 va daromadlilikni qamramaydi</w:t>
            </w:r>
          </w:p>
        </w:tc>
        <w:tc>
          <w:tcPr>
            <w:tcW w:w="15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Faqat kredit riski</w:t>
            </w:r>
          </w:p>
        </w:tc>
        <w:tc>
          <w:tcPr>
            <w:tcW w:w="170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Integral baho yo‘q</w:t>
            </w:r>
          </w:p>
        </w:tc>
        <w:tc>
          <w:tcPr>
            <w:tcW w:w="16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Sub’ektiv, yopiq</w:t>
            </w:r>
          </w:p>
        </w:tc>
        <w:tc>
          <w:tcPr>
            <w:tcW w:w="170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Hamma banklarni qamramaydi</w:t>
            </w:r>
          </w:p>
        </w:tc>
      </w:tr>
    </w:tbl>
    <w:p>
      <w:pPr>
        <w:pStyle w:val="BodyText"/>
        <w:spacing w:lineRule="auto" w:line="360" w:before="0" w:after="0"/>
        <w:ind w:firstLine="709"/>
        <w:jc w:val="both"/>
        <w:rPr/>
      </w:pPr>
      <w:r>
        <w:rPr>
          <w:rFonts w:eastAsia="Times New Roman" w:cs="Times New Roman"/>
          <w:sz w:val="28"/>
        </w:rP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 biroq O‘zbekistonda ular faqat bir qism banklarni qamraydi. Shu bilan birga, bu standartlar bir-birini to‘ldiradi va ularning afzalliklarini birlashtirish orqali takomillashtirilgan integral baholash tizimini qurish mumkin (1.2.5-rasm).</w:t>
      </w:r>
    </w:p>
    <w:p>
      <w:pPr>
        <w:pStyle w:val="BodyText"/>
        <w:keepNext w:val="true"/>
        <w:spacing w:lineRule="auto" w:line="240" w:before="0" w:after="0"/>
        <w:ind w:hanging="0"/>
        <w:jc w:val="center"/>
        <w:rPr/>
      </w:pPr>
      <w:r>
        <w:rPr/>
        <mc:AlternateContent>
          <mc:Choice Requires="wpg">
            <w:drawing>
              <wp:inline distT="0" distB="0" distL="0" distR="0">
                <wp:extent cx="5939790" cy="3060065"/>
                <wp:effectExtent l="0" t="0" r="0" b="0"/>
                <wp:docPr id="110" name="1.2.5-rasm"/>
                <a:graphic xmlns:a="http://schemas.openxmlformats.org/drawingml/2006/main">
                  <a:graphicData uri="http://schemas.microsoft.com/office/word/2010/wordprocessingGroup">
                    <wpg:wgp>
                      <wpg:cNvGrpSpPr/>
                      <wpg:grpSpPr>
                        <a:xfrm>
                          <a:off x="0" y="0"/>
                          <a:ext cx="5939640" cy="3060000"/>
                          <a:chOff x="0" y="0"/>
                          <a:chExt cx="5939640" cy="3060000"/>
                        </a:xfrm>
                      </wpg:grpSpPr>
                      <wps:wsp>
                        <wps:cNvPr id="111" name="Shape 31"/>
                        <wps:cNvSpPr/>
                        <wps:spPr>
                          <a:xfrm>
                            <a:off x="0" y="0"/>
                            <a:ext cx="1311120" cy="215280"/>
                          </a:xfrm>
                          <a:prstGeom prst="roundRect">
                            <a:avLst>
                              <a:gd name="adj" fmla="val 10000"/>
                            </a:avLst>
                          </a:prstGeom>
                          <a:noFill/>
                          <a:ln w="0">
                            <a:noFill/>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Xalqaro standartlar</w:t>
                              </w:r>
                            </w:p>
                            <w:p>
                              <w:pPr>
                                <w:pStyle w:val="FrameContents"/>
                                <w:spacing w:before="0" w:after="200"/>
                                <w:rPr/>
                              </w:pPr>
                              <w:r>
                                <w:rPr/>
                              </w:r>
                            </w:p>
                          </w:txbxContent>
                        </wps:txbx>
                        <wps:bodyPr lIns="36360" rIns="36360" tIns="17640" bIns="17640" anchor="ctr">
                          <a:noAutofit/>
                        </wps:bodyPr>
                      </wps:wsp>
                      <wps:wsp>
                        <wps:cNvPr id="112" name="Shape 32"/>
                        <wps:cNvSpPr/>
                        <wps:spPr>
                          <a:xfrm>
                            <a:off x="2150640" y="0"/>
                            <a:ext cx="1748160" cy="215280"/>
                          </a:xfrm>
                          <a:prstGeom prst="roundRect">
                            <a:avLst>
                              <a:gd name="adj" fmla="val 10000"/>
                            </a:avLst>
                          </a:prstGeom>
                          <a:noFill/>
                          <a:ln w="0">
                            <a:noFill/>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Baholash bloklari</w:t>
                              </w:r>
                            </w:p>
                            <w:p>
                              <w:pPr>
                                <w:pStyle w:val="FrameContents"/>
                                <w:spacing w:before="0" w:after="200"/>
                                <w:rPr/>
                              </w:pPr>
                              <w:r>
                                <w:rPr/>
                              </w:r>
                            </w:p>
                          </w:txbxContent>
                        </wps:txbx>
                        <wps:bodyPr lIns="36360" rIns="36360" tIns="17640" bIns="17640" anchor="ctr">
                          <a:noAutofit/>
                        </wps:bodyPr>
                      </wps:wsp>
                      <wps:wsp>
                        <wps:cNvPr id="113" name="Connector 33"/>
                        <wps:cNvSpPr/>
                        <wps:spPr>
                          <a:xfrm>
                            <a:off x="1311840" y="485640"/>
                            <a:ext cx="838080" cy="720"/>
                          </a:xfrm>
                          <a:prstGeom prst="straightConnector1">
                            <a:avLst/>
                          </a:prstGeom>
                          <a:noFill/>
                          <a:ln w="12700">
                            <a:solidFill>
                              <a:srgbClr val="70ad47"/>
                            </a:solidFill>
                            <a:round/>
                          </a:ln>
                        </wps:spPr>
                        <wps:style>
                          <a:lnRef idx="0"/>
                          <a:fillRef idx="0"/>
                          <a:effectRef idx="0"/>
                          <a:fontRef idx="minor"/>
                        </wps:style>
                        <wps:bodyPr/>
                      </wps:wsp>
                      <wps:wsp>
                        <wps:cNvPr id="114" name="Connector 34"/>
                        <wps:cNvSpPr/>
                        <wps:spPr>
                          <a:xfrm>
                            <a:off x="1311840" y="485640"/>
                            <a:ext cx="838080" cy="1781640"/>
                          </a:xfrm>
                          <a:prstGeom prst="straightConnector1">
                            <a:avLst/>
                          </a:prstGeom>
                          <a:noFill/>
                          <a:ln w="12700">
                            <a:solidFill>
                              <a:srgbClr val="70ad47"/>
                            </a:solidFill>
                            <a:round/>
                          </a:ln>
                        </wps:spPr>
                        <wps:style>
                          <a:lnRef idx="0"/>
                          <a:fillRef idx="0"/>
                          <a:effectRef idx="0"/>
                          <a:fontRef idx="minor"/>
                        </wps:style>
                        <wps:bodyPr/>
                      </wps:wsp>
                      <wps:wsp>
                        <wps:cNvPr id="115" name="Connector 35"/>
                        <wps:cNvSpPr/>
                        <wps:spPr>
                          <a:xfrm>
                            <a:off x="1311840" y="1080000"/>
                            <a:ext cx="838080" cy="720"/>
                          </a:xfrm>
                          <a:prstGeom prst="straightConnector1">
                            <a:avLst/>
                          </a:prstGeom>
                          <a:noFill/>
                          <a:ln w="12700">
                            <a:solidFill>
                              <a:srgbClr val="eb6834"/>
                            </a:solidFill>
                            <a:round/>
                          </a:ln>
                        </wps:spPr>
                        <wps:style>
                          <a:lnRef idx="0"/>
                          <a:fillRef idx="0"/>
                          <a:effectRef idx="0"/>
                          <a:fontRef idx="minor"/>
                        </wps:style>
                        <wps:bodyPr/>
                      </wps:wsp>
                      <wps:wsp>
                        <wps:cNvPr id="116" name="Connector 36"/>
                        <wps:cNvSpPr/>
                        <wps:spPr>
                          <a:xfrm flipV="1">
                            <a:off x="1311840" y="485640"/>
                            <a:ext cx="838080" cy="1188000"/>
                          </a:xfrm>
                          <a:prstGeom prst="straightConnector1">
                            <a:avLst/>
                          </a:prstGeom>
                          <a:noFill/>
                          <a:ln w="12700">
                            <a:solidFill>
                              <a:srgbClr val="5b9bd5"/>
                            </a:solidFill>
                            <a:round/>
                          </a:ln>
                        </wps:spPr>
                        <wps:style>
                          <a:lnRef idx="0"/>
                          <a:fillRef idx="0"/>
                          <a:effectRef idx="0"/>
                          <a:fontRef idx="minor"/>
                        </wps:style>
                        <wps:bodyPr/>
                      </wps:wsp>
                      <wps:wsp>
                        <wps:cNvPr id="117" name="Connector 37"/>
                        <wps:cNvSpPr/>
                        <wps:spPr>
                          <a:xfrm flipV="1">
                            <a:off x="1311840" y="1080000"/>
                            <a:ext cx="838080" cy="593640"/>
                          </a:xfrm>
                          <a:prstGeom prst="straightConnector1">
                            <a:avLst/>
                          </a:prstGeom>
                          <a:noFill/>
                          <a:ln w="12700">
                            <a:solidFill>
                              <a:srgbClr val="5b9bd5"/>
                            </a:solidFill>
                            <a:round/>
                          </a:ln>
                        </wps:spPr>
                        <wps:style>
                          <a:lnRef idx="0"/>
                          <a:fillRef idx="0"/>
                          <a:effectRef idx="0"/>
                          <a:fontRef idx="minor"/>
                        </wps:style>
                        <wps:bodyPr/>
                      </wps:wsp>
                      <wps:wsp>
                        <wps:cNvPr id="118" name="Connector 38"/>
                        <wps:cNvSpPr/>
                        <wps:spPr>
                          <a:xfrm>
                            <a:off x="1311840" y="1674360"/>
                            <a:ext cx="838080" cy="720"/>
                          </a:xfrm>
                          <a:prstGeom prst="straightConnector1">
                            <a:avLst/>
                          </a:prstGeom>
                          <a:noFill/>
                          <a:ln w="12700">
                            <a:solidFill>
                              <a:srgbClr val="5b9bd5"/>
                            </a:solidFill>
                            <a:round/>
                          </a:ln>
                        </wps:spPr>
                        <wps:style>
                          <a:lnRef idx="0"/>
                          <a:fillRef idx="0"/>
                          <a:effectRef idx="0"/>
                          <a:fontRef idx="minor"/>
                        </wps:style>
                        <wps:bodyPr/>
                      </wps:wsp>
                      <wps:wsp>
                        <wps:cNvPr id="119" name="Connector 39"/>
                        <wps:cNvSpPr/>
                        <wps:spPr>
                          <a:xfrm>
                            <a:off x="1311840" y="1674360"/>
                            <a:ext cx="838080" cy="592920"/>
                          </a:xfrm>
                          <a:prstGeom prst="straightConnector1">
                            <a:avLst/>
                          </a:prstGeom>
                          <a:noFill/>
                          <a:ln w="12700">
                            <a:solidFill>
                              <a:srgbClr val="5b9bd5"/>
                            </a:solidFill>
                            <a:round/>
                          </a:ln>
                        </wps:spPr>
                        <wps:style>
                          <a:lnRef idx="0"/>
                          <a:fillRef idx="0"/>
                          <a:effectRef idx="0"/>
                          <a:fontRef idx="minor"/>
                        </wps:style>
                        <wps:bodyPr/>
                      </wps:wsp>
                      <wps:wsp>
                        <wps:cNvPr id="120" name="Connector 40"/>
                        <wps:cNvSpPr/>
                        <wps:spPr>
                          <a:xfrm>
                            <a:off x="1311840" y="1674360"/>
                            <a:ext cx="838080" cy="1187280"/>
                          </a:xfrm>
                          <a:prstGeom prst="straightConnector1">
                            <a:avLst/>
                          </a:prstGeom>
                          <a:noFill/>
                          <a:ln w="12700">
                            <a:solidFill>
                              <a:srgbClr val="5b9bd5"/>
                            </a:solidFill>
                            <a:round/>
                          </a:ln>
                        </wps:spPr>
                        <wps:style>
                          <a:lnRef idx="0"/>
                          <a:fillRef idx="0"/>
                          <a:effectRef idx="0"/>
                          <a:fontRef idx="minor"/>
                        </wps:style>
                        <wps:bodyPr/>
                      </wps:wsp>
                      <wps:wsp>
                        <wps:cNvPr id="121" name="Connector 41"/>
                        <wps:cNvSpPr/>
                        <wps:spPr>
                          <a:xfrm flipV="1">
                            <a:off x="1311840" y="485280"/>
                            <a:ext cx="838080" cy="1781640"/>
                          </a:xfrm>
                          <a:prstGeom prst="straightConnector1">
                            <a:avLst/>
                          </a:prstGeom>
                          <a:noFill/>
                          <a:ln w="12700">
                            <a:solidFill>
                              <a:srgbClr val="2a78d6"/>
                            </a:solidFill>
                            <a:round/>
                          </a:ln>
                        </wps:spPr>
                        <wps:style>
                          <a:lnRef idx="0"/>
                          <a:fillRef idx="0"/>
                          <a:effectRef idx="0"/>
                          <a:fontRef idx="minor"/>
                        </wps:style>
                        <wps:bodyPr/>
                      </wps:wsp>
                      <wps:wsp>
                        <wps:cNvPr id="122" name="Connector 42"/>
                        <wps:cNvSpPr/>
                        <wps:spPr>
                          <a:xfrm flipV="1">
                            <a:off x="1311840" y="1080000"/>
                            <a:ext cx="838080" cy="1188000"/>
                          </a:xfrm>
                          <a:prstGeom prst="straightConnector1">
                            <a:avLst/>
                          </a:prstGeom>
                          <a:noFill/>
                          <a:ln w="12700">
                            <a:solidFill>
                              <a:srgbClr val="2a78d6"/>
                            </a:solidFill>
                            <a:round/>
                          </a:ln>
                        </wps:spPr>
                        <wps:style>
                          <a:lnRef idx="0"/>
                          <a:fillRef idx="0"/>
                          <a:effectRef idx="0"/>
                          <a:fontRef idx="minor"/>
                        </wps:style>
                        <wps:bodyPr/>
                      </wps:wsp>
                      <wps:wsp>
                        <wps:cNvPr id="123" name="Connector 43"/>
                        <wps:cNvSpPr/>
                        <wps:spPr>
                          <a:xfrm flipV="1">
                            <a:off x="1311840" y="1674360"/>
                            <a:ext cx="838080" cy="592920"/>
                          </a:xfrm>
                          <a:prstGeom prst="straightConnector1">
                            <a:avLst/>
                          </a:prstGeom>
                          <a:noFill/>
                          <a:ln w="12700">
                            <a:solidFill>
                              <a:srgbClr val="2a78d6"/>
                            </a:solidFill>
                            <a:round/>
                          </a:ln>
                        </wps:spPr>
                        <wps:style>
                          <a:lnRef idx="0"/>
                          <a:fillRef idx="0"/>
                          <a:effectRef idx="0"/>
                          <a:fontRef idx="minor"/>
                        </wps:style>
                        <wps:bodyPr/>
                      </wps:wsp>
                      <wps:wsp>
                        <wps:cNvPr id="124" name="Connector 44"/>
                        <wps:cNvSpPr/>
                        <wps:spPr>
                          <a:xfrm>
                            <a:off x="1311840" y="2268720"/>
                            <a:ext cx="838080" cy="720"/>
                          </a:xfrm>
                          <a:prstGeom prst="straightConnector1">
                            <a:avLst/>
                          </a:prstGeom>
                          <a:noFill/>
                          <a:ln w="12700">
                            <a:solidFill>
                              <a:srgbClr val="2a78d6"/>
                            </a:solidFill>
                            <a:round/>
                          </a:ln>
                        </wps:spPr>
                        <wps:style>
                          <a:lnRef idx="0"/>
                          <a:fillRef idx="0"/>
                          <a:effectRef idx="0"/>
                          <a:fontRef idx="minor"/>
                        </wps:style>
                        <wps:bodyPr/>
                      </wps:wsp>
                      <wps:wsp>
                        <wps:cNvPr id="125" name="Connector 45"/>
                        <wps:cNvSpPr/>
                        <wps:spPr>
                          <a:xfrm>
                            <a:off x="1311840" y="2268720"/>
                            <a:ext cx="838080" cy="592920"/>
                          </a:xfrm>
                          <a:prstGeom prst="straightConnector1">
                            <a:avLst/>
                          </a:prstGeom>
                          <a:noFill/>
                          <a:ln w="12700">
                            <a:solidFill>
                              <a:srgbClr val="2a78d6"/>
                            </a:solidFill>
                            <a:round/>
                          </a:ln>
                        </wps:spPr>
                        <wps:style>
                          <a:lnRef idx="0"/>
                          <a:fillRef idx="0"/>
                          <a:effectRef idx="0"/>
                          <a:fontRef idx="minor"/>
                        </wps:style>
                        <wps:bodyPr/>
                      </wps:wsp>
                      <wps:wsp>
                        <wps:cNvPr id="126" name="Connector 46"/>
                        <wps:cNvSpPr/>
                        <wps:spPr>
                          <a:xfrm flipV="1">
                            <a:off x="1311840" y="485280"/>
                            <a:ext cx="838080" cy="2376000"/>
                          </a:xfrm>
                          <a:prstGeom prst="straightConnector1">
                            <a:avLst/>
                          </a:prstGeom>
                          <a:noFill/>
                          <a:ln w="12700">
                            <a:solidFill>
                              <a:srgbClr val="7f7f7f"/>
                            </a:solidFill>
                            <a:round/>
                          </a:ln>
                        </wps:spPr>
                        <wps:style>
                          <a:lnRef idx="0"/>
                          <a:fillRef idx="0"/>
                          <a:effectRef idx="0"/>
                          <a:fontRef idx="minor"/>
                        </wps:style>
                        <wps:bodyPr/>
                      </wps:wsp>
                      <wps:wsp>
                        <wps:cNvPr id="127" name="Connector 47"/>
                        <wps:cNvSpPr/>
                        <wps:spPr>
                          <a:xfrm flipV="1">
                            <a:off x="1311840" y="1079640"/>
                            <a:ext cx="838080" cy="1781640"/>
                          </a:xfrm>
                          <a:prstGeom prst="straightConnector1">
                            <a:avLst/>
                          </a:prstGeom>
                          <a:noFill/>
                          <a:ln w="12700">
                            <a:solidFill>
                              <a:srgbClr val="7f7f7f"/>
                            </a:solidFill>
                            <a:round/>
                          </a:ln>
                        </wps:spPr>
                        <wps:style>
                          <a:lnRef idx="0"/>
                          <a:fillRef idx="0"/>
                          <a:effectRef idx="0"/>
                          <a:fontRef idx="minor"/>
                        </wps:style>
                        <wps:bodyPr/>
                      </wps:wsp>
                      <wps:wsp>
                        <wps:cNvPr id="128" name="Connector 48"/>
                        <wps:cNvSpPr/>
                        <wps:spPr>
                          <a:xfrm flipV="1">
                            <a:off x="1311840" y="1674360"/>
                            <a:ext cx="838080" cy="1187280"/>
                          </a:xfrm>
                          <a:prstGeom prst="straightConnector1">
                            <a:avLst/>
                          </a:prstGeom>
                          <a:noFill/>
                          <a:ln w="12700">
                            <a:solidFill>
                              <a:srgbClr val="7f7f7f"/>
                            </a:solidFill>
                            <a:round/>
                          </a:ln>
                        </wps:spPr>
                        <wps:style>
                          <a:lnRef idx="0"/>
                          <a:fillRef idx="0"/>
                          <a:effectRef idx="0"/>
                          <a:fontRef idx="minor"/>
                        </wps:style>
                        <wps:bodyPr/>
                      </wps:wsp>
                      <wps:wsp>
                        <wps:cNvPr id="129" name="Connector 49"/>
                        <wps:cNvSpPr/>
                        <wps:spPr>
                          <a:xfrm flipV="1">
                            <a:off x="1311840" y="2268720"/>
                            <a:ext cx="838080" cy="592920"/>
                          </a:xfrm>
                          <a:prstGeom prst="straightConnector1">
                            <a:avLst/>
                          </a:prstGeom>
                          <a:noFill/>
                          <a:ln w="12700">
                            <a:solidFill>
                              <a:srgbClr val="7f7f7f"/>
                            </a:solidFill>
                            <a:round/>
                          </a:ln>
                        </wps:spPr>
                        <wps:style>
                          <a:lnRef idx="0"/>
                          <a:fillRef idx="0"/>
                          <a:effectRef idx="0"/>
                          <a:fontRef idx="minor"/>
                        </wps:style>
                        <wps:bodyPr/>
                      </wps:wsp>
                      <wps:wsp>
                        <wps:cNvPr id="130" name="Shape 50"/>
                        <wps:cNvSpPr/>
                        <wps:spPr>
                          <a:xfrm>
                            <a:off x="0" y="288360"/>
                            <a:ext cx="1311120" cy="3956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Bazel III</w:t>
                              </w:r>
                            </w:p>
                            <w:p>
                              <w:pPr>
                                <w:pStyle w:val="FrameContents"/>
                                <w:spacing w:before="0" w:after="200"/>
                                <w:rPr/>
                              </w:pPr>
                              <w:r>
                                <w:rPr/>
                              </w:r>
                            </w:p>
                          </w:txbxContent>
                        </wps:txbx>
                        <wps:bodyPr lIns="36360" rIns="36360" tIns="17640" bIns="17640" anchor="ctr">
                          <a:noAutofit/>
                        </wps:bodyPr>
                      </wps:wsp>
                      <wps:wsp>
                        <wps:cNvPr id="131" name="Shape 51"/>
                        <wps:cNvSpPr/>
                        <wps:spPr>
                          <a:xfrm>
                            <a:off x="0" y="882000"/>
                            <a:ext cx="1311120" cy="3956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MHXS 9</w:t>
                              </w:r>
                            </w:p>
                            <w:p>
                              <w:pPr>
                                <w:pStyle w:val="FrameContents"/>
                                <w:spacing w:before="0" w:after="200"/>
                                <w:rPr/>
                              </w:pPr>
                              <w:r>
                                <w:rPr/>
                              </w:r>
                            </w:p>
                          </w:txbxContent>
                        </wps:txbx>
                        <wps:bodyPr lIns="36360" rIns="36360" tIns="17640" bIns="17640" anchor="ctr">
                          <a:noAutofit/>
                        </wps:bodyPr>
                      </wps:wsp>
                      <wps:wsp>
                        <wps:cNvPr id="132" name="Shape 52"/>
                        <wps:cNvSpPr/>
                        <wps:spPr>
                          <a:xfrm>
                            <a:off x="0" y="1475640"/>
                            <a:ext cx="1311120" cy="396360"/>
                          </a:xfrm>
                          <a:prstGeom prst="roundRect">
                            <a:avLst>
                              <a:gd name="adj" fmla="val 10000"/>
                            </a:avLst>
                          </a:prstGeom>
                          <a:solidFill>
                            <a:srgbClr val="9dc3e6"/>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XVJ barqarorlik</w:t>
                              </w:r>
                            </w:p>
                            <w:p>
                              <w:pPr>
                                <w:pStyle w:val="Normal"/>
                                <w:spacing w:lineRule="auto" w:line="228" w:before="0" w:after="0"/>
                                <w:ind w:hanging="0"/>
                                <w:jc w:val="center"/>
                                <w:rPr/>
                              </w:pPr>
                              <w:r>
                                <w:rPr>
                                  <w:rFonts w:cs="Times New Roman"/>
                                  <w:b/>
                                  <w:color w:val="000000"/>
                                  <w:sz w:val="22"/>
                                  <w:szCs w:val="22"/>
                                </w:rPr>
                                <w:t>ko‘rsatkichlari</w:t>
                              </w:r>
                            </w:p>
                            <w:p>
                              <w:pPr>
                                <w:pStyle w:val="FrameContents"/>
                                <w:spacing w:before="0" w:after="200"/>
                                <w:rPr/>
                              </w:pPr>
                              <w:r>
                                <w:rPr/>
                              </w:r>
                            </w:p>
                          </w:txbxContent>
                        </wps:txbx>
                        <wps:bodyPr lIns="36360" rIns="36360" tIns="17640" bIns="17640" anchor="ctr">
                          <a:noAutofit/>
                        </wps:bodyPr>
                      </wps:wsp>
                      <wps:wsp>
                        <wps:cNvPr id="133" name="Shape 53"/>
                        <wps:cNvSpPr/>
                        <wps:spPr>
                          <a:xfrm>
                            <a:off x="0" y="2070720"/>
                            <a:ext cx="1311120" cy="3956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CAMELS</w:t>
                              </w:r>
                            </w:p>
                            <w:p>
                              <w:pPr>
                                <w:pStyle w:val="FrameContents"/>
                                <w:spacing w:before="0" w:after="200"/>
                                <w:rPr/>
                              </w:pPr>
                              <w:r>
                                <w:rPr/>
                              </w:r>
                            </w:p>
                          </w:txbxContent>
                        </wps:txbx>
                        <wps:bodyPr lIns="36360" rIns="36360" tIns="17640" bIns="17640" anchor="ctr">
                          <a:noAutofit/>
                        </wps:bodyPr>
                      </wps:wsp>
                      <wps:wsp>
                        <wps:cNvPr id="134" name="Shape 54"/>
                        <wps:cNvSpPr/>
                        <wps:spPr>
                          <a:xfrm>
                            <a:off x="0" y="2664360"/>
                            <a:ext cx="1311120" cy="395640"/>
                          </a:xfrm>
                          <a:prstGeom prst="roundRect">
                            <a:avLst>
                              <a:gd name="adj" fmla="val 10000"/>
                            </a:avLst>
                          </a:prstGeom>
                          <a:solidFill>
                            <a:srgbClr val="a5a5a5"/>
                          </a:solidFill>
                          <a:ln w="12700">
                            <a:solidFill>
                              <a:srgbClr val="a5a5a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Reyting agentliklari</w:t>
                              </w:r>
                            </w:p>
                            <w:p>
                              <w:pPr>
                                <w:pStyle w:val="FrameContents"/>
                                <w:spacing w:before="0" w:after="200"/>
                                <w:rPr/>
                              </w:pPr>
                              <w:r>
                                <w:rPr/>
                              </w:r>
                            </w:p>
                          </w:txbxContent>
                        </wps:txbx>
                        <wps:bodyPr lIns="36360" rIns="36360" tIns="17640" bIns="17640" anchor="ctr">
                          <a:noAutofit/>
                        </wps:bodyPr>
                      </wps:wsp>
                      <wps:wsp>
                        <wps:cNvPr id="135" name="Shape 55"/>
                        <wps:cNvSpPr/>
                        <wps:spPr>
                          <a:xfrm>
                            <a:off x="2150640" y="288360"/>
                            <a:ext cx="1748160" cy="39564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Kapital yetarliligi</w:t>
                              </w:r>
                            </w:p>
                            <w:p>
                              <w:pPr>
                                <w:pStyle w:val="FrameContents"/>
                                <w:spacing w:before="0" w:after="200"/>
                                <w:rPr/>
                              </w:pPr>
                              <w:r>
                                <w:rPr/>
                              </w:r>
                            </w:p>
                          </w:txbxContent>
                        </wps:txbx>
                        <wps:bodyPr lIns="36360" rIns="36360" tIns="17640" bIns="17640" anchor="ctr">
                          <a:noAutofit/>
                        </wps:bodyPr>
                      </wps:wsp>
                      <wps:wsp>
                        <wps:cNvPr id="136" name="Shape 56"/>
                        <wps:cNvSpPr/>
                        <wps:spPr>
                          <a:xfrm>
                            <a:off x="2150640" y="882000"/>
                            <a:ext cx="1748160" cy="39564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Aktivlar sifati</w:t>
                              </w:r>
                            </w:p>
                            <w:p>
                              <w:pPr>
                                <w:pStyle w:val="FrameContents"/>
                                <w:spacing w:before="0" w:after="200"/>
                                <w:rPr/>
                              </w:pPr>
                              <w:r>
                                <w:rPr/>
                              </w:r>
                            </w:p>
                          </w:txbxContent>
                        </wps:txbx>
                        <wps:bodyPr lIns="36360" rIns="36360" tIns="17640" bIns="17640" anchor="ctr">
                          <a:noAutofit/>
                        </wps:bodyPr>
                      </wps:wsp>
                      <wps:wsp>
                        <wps:cNvPr id="137" name="Shape 57"/>
                        <wps:cNvSpPr/>
                        <wps:spPr>
                          <a:xfrm>
                            <a:off x="2150640" y="1475640"/>
                            <a:ext cx="1748160" cy="39636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Daromadlilik</w:t>
                              </w:r>
                            </w:p>
                            <w:p>
                              <w:pPr>
                                <w:pStyle w:val="FrameContents"/>
                                <w:spacing w:before="0" w:after="200"/>
                                <w:rPr/>
                              </w:pPr>
                              <w:r>
                                <w:rPr/>
                              </w:r>
                            </w:p>
                          </w:txbxContent>
                        </wps:txbx>
                        <wps:bodyPr lIns="36360" rIns="36360" tIns="17640" bIns="17640" anchor="ctr">
                          <a:noAutofit/>
                        </wps:bodyPr>
                      </wps:wsp>
                      <wps:wsp>
                        <wps:cNvPr id="138" name="Shape 58"/>
                        <wps:cNvSpPr/>
                        <wps:spPr>
                          <a:xfrm>
                            <a:off x="2150640" y="2070720"/>
                            <a:ext cx="1748160" cy="39564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Likvidlik</w:t>
                              </w:r>
                            </w:p>
                            <w:p>
                              <w:pPr>
                                <w:pStyle w:val="FrameContents"/>
                                <w:spacing w:before="0" w:after="200"/>
                                <w:rPr/>
                              </w:pPr>
                              <w:r>
                                <w:rPr/>
                              </w:r>
                            </w:p>
                          </w:txbxContent>
                        </wps:txbx>
                        <wps:bodyPr lIns="36360" rIns="36360" tIns="17640" bIns="17640" anchor="ctr">
                          <a:noAutofit/>
                        </wps:bodyPr>
                      </wps:wsp>
                      <wps:wsp>
                        <wps:cNvPr id="139" name="Shape 59"/>
                        <wps:cNvSpPr/>
                        <wps:spPr>
                          <a:xfrm>
                            <a:off x="2150640" y="2664360"/>
                            <a:ext cx="1748160" cy="395640"/>
                          </a:xfrm>
                          <a:prstGeom prst="roundRect">
                            <a:avLst>
                              <a:gd name="adj" fmla="val 10000"/>
                            </a:avLst>
                          </a:prstGeom>
                          <a:solidFill>
                            <a:srgbClr val="deebf7"/>
                          </a:solidFill>
                          <a:ln w="12700">
                            <a:solidFill>
                              <a:srgbClr val="5b9bd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Bozor (valyuta) riskiga</w:t>
                              </w:r>
                            </w:p>
                            <w:p>
                              <w:pPr>
                                <w:pStyle w:val="Normal"/>
                                <w:spacing w:lineRule="auto" w:line="228" w:before="0" w:after="0"/>
                                <w:ind w:hanging="0"/>
                                <w:jc w:val="center"/>
                                <w:rPr/>
                              </w:pPr>
                              <w:r>
                                <w:rPr>
                                  <w:rFonts w:cs="Times New Roman"/>
                                  <w:color w:val="000000"/>
                                  <w:sz w:val="22"/>
                                  <w:szCs w:val="22"/>
                                </w:rPr>
                                <w:t>sezgirlik</w:t>
                              </w:r>
                            </w:p>
                            <w:p>
                              <w:pPr>
                                <w:pStyle w:val="FrameContents"/>
                                <w:spacing w:before="0" w:after="200"/>
                                <w:rPr/>
                              </w:pPr>
                              <w:r>
                                <w:rPr/>
                              </w:r>
                            </w:p>
                          </w:txbxContent>
                        </wps:txbx>
                        <wps:bodyPr lIns="36360" rIns="36360" tIns="17640" bIns="17640" anchor="ctr">
                          <a:noAutofit/>
                        </wps:bodyPr>
                      </wps:wsp>
                      <wps:wsp>
                        <wps:cNvPr id="140" name="Connector 60"/>
                        <wps:cNvSpPr/>
                        <wps:spPr>
                          <a:xfrm>
                            <a:off x="3900240" y="485640"/>
                            <a:ext cx="654840" cy="115200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1" name="Connector 61"/>
                        <wps:cNvSpPr/>
                        <wps:spPr>
                          <a:xfrm>
                            <a:off x="3900240" y="1080000"/>
                            <a:ext cx="654840" cy="55800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2" name="Connector 62"/>
                        <wps:cNvSpPr/>
                        <wps:spPr>
                          <a:xfrm flipV="1">
                            <a:off x="3900240" y="1639080"/>
                            <a:ext cx="654840" cy="356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3" name="Connector 63"/>
                        <wps:cNvSpPr/>
                        <wps:spPr>
                          <a:xfrm flipV="1">
                            <a:off x="3900240" y="1638360"/>
                            <a:ext cx="654840" cy="62928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4" name="Connector 64"/>
                        <wps:cNvSpPr/>
                        <wps:spPr>
                          <a:xfrm flipV="1">
                            <a:off x="3900240" y="1638360"/>
                            <a:ext cx="654840" cy="12236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5" name="Shape 65"/>
                        <wps:cNvSpPr/>
                        <wps:spPr>
                          <a:xfrm>
                            <a:off x="4555440" y="1134000"/>
                            <a:ext cx="1384200" cy="10076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4"/>
                                  <w:szCs w:val="24"/>
                                </w:rPr>
                                <w:t>Moliyaviy</w:t>
                              </w:r>
                            </w:p>
                            <w:p>
                              <w:pPr>
                                <w:pStyle w:val="Normal"/>
                                <w:spacing w:lineRule="auto" w:line="228" w:before="0" w:after="0"/>
                                <w:ind w:hanging="0"/>
                                <w:jc w:val="center"/>
                                <w:rPr/>
                              </w:pPr>
                              <w:r>
                                <w:rPr>
                                  <w:rFonts w:cs="Times New Roman"/>
                                  <w:b/>
                                  <w:color w:val="FFFFFF"/>
                                  <w:sz w:val="24"/>
                                  <w:szCs w:val="24"/>
                                </w:rPr>
                                <w:t>barqarorlikning</w:t>
                              </w:r>
                            </w:p>
                            <w:p>
                              <w:pPr>
                                <w:pStyle w:val="Normal"/>
                                <w:spacing w:lineRule="auto" w:line="228" w:before="0" w:after="0"/>
                                <w:ind w:hanging="0"/>
                                <w:jc w:val="center"/>
                                <w:rPr/>
                              </w:pPr>
                              <w:r>
                                <w:rPr>
                                  <w:rFonts w:cs="Times New Roman"/>
                                  <w:b/>
                                  <w:color w:val="FFFFFF"/>
                                  <w:sz w:val="24"/>
                                  <w:szCs w:val="24"/>
                                </w:rPr>
                                <w:t>integral bahosi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2.5-rasm" style="position:absolute;margin-left:0pt;margin-top:-120.5pt;width:467.7pt;height:240.95pt" coordorigin="0,-2410" coordsize="9354,4819">
                <v:shape id="shape_0" ID="Connector 33" path="m0,0l-2147483648,-2147483647e" stroked="t" o:allowincell="f" style="position:absolute;left:2066;top:-1645;width:1319;height:0;mso-wrap-style:none;v-text-anchor:middle;mso-position-vertical:center" type="_x0000_t32">
                  <v:fill o:detectmouseclick="t" on="false"/>
                  <v:stroke color="#70ad47" weight="12600" joinstyle="round" endcap="flat"/>
                  <w10:wrap type="square"/>
                </v:shape>
                <v:shape id="shape_0" ID="Connector 34" path="m0,0l-2147483648,-2147483647e" stroked="t" o:allowincell="f" style="position:absolute;left:2066;top:-1645;width:1319;height:2805;mso-wrap-style:none;v-text-anchor:middle;mso-position-vertical:center" type="_x0000_t32">
                  <v:fill o:detectmouseclick="t" on="false"/>
                  <v:stroke color="#70ad47" weight="12600" joinstyle="round" endcap="flat"/>
                  <w10:wrap type="square"/>
                </v:shape>
                <v:shape id="shape_0" ID="Connector 35" path="m0,0l-2147483648,-2147483647e" stroked="t" o:allowincell="f" style="position:absolute;left:2066;top:-709;width:1319;height:0;mso-wrap-style:none;v-text-anchor:middle;mso-position-vertical:center" type="_x0000_t32">
                  <v:fill o:detectmouseclick="t" on="false"/>
                  <v:stroke color="#eb6834" weight="12600" joinstyle="round" endcap="flat"/>
                  <w10:wrap type="square"/>
                </v:shape>
                <v:shape id="shape_0" ID="Connector 36" path="m0,0l-2147483648,-2147483647e" stroked="t" o:allowincell="f" style="position:absolute;left:2066;top:-1645;width:1319;height:1870;flip:y;mso-wrap-style:none;v-text-anchor:middle;mso-position-vertical:center" type="_x0000_t32">
                  <v:fill o:detectmouseclick="t" on="false"/>
                  <v:stroke color="#5b9bd5" weight="12600" joinstyle="round" endcap="flat"/>
                  <w10:wrap type="square"/>
                </v:shape>
                <v:shape id="shape_0" ID="Connector 37" path="m0,0l-2147483648,-2147483647e" stroked="t" o:allowincell="f" style="position:absolute;left:2066;top:-709;width:1319;height:934;flip:y;mso-wrap-style:none;v-text-anchor:middle;mso-position-vertical:center" type="_x0000_t32">
                  <v:fill o:detectmouseclick="t" on="false"/>
                  <v:stroke color="#5b9bd5" weight="12600" joinstyle="round" endcap="flat"/>
                  <w10:wrap type="square"/>
                </v:shape>
                <v:shape id="shape_0" ID="Connector 38" path="m0,0l-2147483648,-2147483647e" stroked="t" o:allowincell="f" style="position:absolute;left:2066;top:227;width:1319;height:0;mso-wrap-style:none;v-text-anchor:middle;mso-position-vertical:center" type="_x0000_t32">
                  <v:fill o:detectmouseclick="t" on="false"/>
                  <v:stroke color="#5b9bd5" weight="12600" joinstyle="round" endcap="flat"/>
                  <w10:wrap type="square"/>
                </v:shape>
                <v:shape id="shape_0" ID="Connector 39" path="m0,0l-2147483648,-2147483647e" stroked="t" o:allowincell="f" style="position:absolute;left:2066;top:227;width:1319;height:933;mso-wrap-style:none;v-text-anchor:middle;mso-position-vertical:center" type="_x0000_t32">
                  <v:fill o:detectmouseclick="t" on="false"/>
                  <v:stroke color="#5b9bd5" weight="12600" joinstyle="round" endcap="flat"/>
                  <w10:wrap type="square"/>
                </v:shape>
                <v:shape id="shape_0" ID="Connector 40" path="m0,0l-2147483648,-2147483647e" stroked="t" o:allowincell="f" style="position:absolute;left:2066;top:227;width:1319;height:1869;mso-wrap-style:none;v-text-anchor:middle;mso-position-vertical:center" type="_x0000_t32">
                  <v:fill o:detectmouseclick="t" on="false"/>
                  <v:stroke color="#5b9bd5" weight="12600" joinstyle="round" endcap="flat"/>
                  <w10:wrap type="square"/>
                </v:shape>
                <v:shape id="shape_0" ID="Connector 41" path="m0,0l-2147483648,-2147483647e" stroked="t" o:allowincell="f" style="position:absolute;left:2066;top:-1646;width:1319;height:2805;flip:y;mso-wrap-style:none;v-text-anchor:middle;mso-position-vertical:center" type="_x0000_t32">
                  <v:fill o:detectmouseclick="t" on="false"/>
                  <v:stroke color="#2a78d6" weight="12600" joinstyle="round" endcap="flat"/>
                  <w10:wrap type="square"/>
                </v:shape>
                <v:shape id="shape_0" ID="Connector 42" path="m0,0l-2147483648,-2147483647e" stroked="t" o:allowincell="f" style="position:absolute;left:2066;top:-709;width:1319;height:1870;flip:y;mso-wrap-style:none;v-text-anchor:middle;mso-position-vertical:center" type="_x0000_t32">
                  <v:fill o:detectmouseclick="t" on="false"/>
                  <v:stroke color="#2a78d6" weight="12600" joinstyle="round" endcap="flat"/>
                  <w10:wrap type="square"/>
                </v:shape>
                <v:shape id="shape_0" ID="Connector 43" path="m0,0l-2147483648,-2147483647e" stroked="t" o:allowincell="f" style="position:absolute;left:2066;top:227;width:1319;height:933;flip:y;mso-wrap-style:none;v-text-anchor:middle;mso-position-vertical:center" type="_x0000_t32">
                  <v:fill o:detectmouseclick="t" on="false"/>
                  <v:stroke color="#2a78d6" weight="12600" joinstyle="round" endcap="flat"/>
                  <w10:wrap type="square"/>
                </v:shape>
                <v:shape id="shape_0" ID="Connector 44" path="m0,0l-2147483648,-2147483647e" stroked="t" o:allowincell="f" style="position:absolute;left:2066;top:1163;width:1319;height:0;mso-wrap-style:none;v-text-anchor:middle;mso-position-vertical:center" type="_x0000_t32">
                  <v:fill o:detectmouseclick="t" on="false"/>
                  <v:stroke color="#2a78d6" weight="12600" joinstyle="round" endcap="flat"/>
                  <w10:wrap type="square"/>
                </v:shape>
                <v:shape id="shape_0" ID="Connector 45" path="m0,0l-2147483648,-2147483647e" stroked="t" o:allowincell="f" style="position:absolute;left:2066;top:1163;width:1319;height:933;mso-wrap-style:none;v-text-anchor:middle;mso-position-vertical:center" type="_x0000_t32">
                  <v:fill o:detectmouseclick="t" on="false"/>
                  <v:stroke color="#2a78d6" weight="12600" joinstyle="round" endcap="flat"/>
                  <w10:wrap type="square"/>
                </v:shape>
                <v:shape id="shape_0" ID="Connector 46" path="m0,0l-2147483648,-2147483647e" stroked="t" o:allowincell="f" style="position:absolute;left:2066;top:-1646;width:1319;height:3741;flip:y;mso-wrap-style:none;v-text-anchor:middle;mso-position-vertical:center" type="_x0000_t32">
                  <v:fill o:detectmouseclick="t" on="false"/>
                  <v:stroke color="#7f7f7f" weight="12600" joinstyle="round" endcap="flat"/>
                  <w10:wrap type="square"/>
                </v:shape>
                <v:shape id="shape_0" ID="Connector 47" path="m0,0l-2147483648,-2147483647e" stroked="t" o:allowincell="f" style="position:absolute;left:2066;top:-710;width:1319;height:2805;flip:y;mso-wrap-style:none;v-text-anchor:middle;mso-position-vertical:center" type="_x0000_t32">
                  <v:fill o:detectmouseclick="t" on="false"/>
                  <v:stroke color="#7f7f7f" weight="12600" joinstyle="round" endcap="flat"/>
                  <w10:wrap type="square"/>
                </v:shape>
                <v:shape id="shape_0" ID="Connector 48" path="m0,0l-2147483648,-2147483647e" stroked="t" o:allowincell="f" style="position:absolute;left:2066;top:227;width:1319;height:1869;flip:y;mso-wrap-style:none;v-text-anchor:middle;mso-position-vertical:center" type="_x0000_t32">
                  <v:fill o:detectmouseclick="t" on="false"/>
                  <v:stroke color="#7f7f7f" weight="12600" joinstyle="round" endcap="flat"/>
                  <w10:wrap type="square"/>
                </v:shape>
                <v:shape id="shape_0" ID="Connector 49" path="m0,0l-2147483648,-2147483647e" stroked="t" o:allowincell="f" style="position:absolute;left:2066;top:1163;width:1319;height:933;flip:y;mso-wrap-style:none;v-text-anchor:middle;mso-position-vertical:center" type="_x0000_t32">
                  <v:fill o:detectmouseclick="t" on="false"/>
                  <v:stroke color="#7f7f7f" weight="12600" joinstyle="round" endcap="flat"/>
                  <w10:wrap type="square"/>
                </v:shape>
                <v:shape id="shape_0" ID="Connector 60" path="m0,0l-2147483648,-2147483647e" stroked="t" o:allowincell="f" style="position:absolute;left:6142;top:-1645;width:1030;height:1813;mso-wrap-style:none;v-text-anchor:middle;mso-position-vertical:center" type="_x0000_t32">
                  <v:fill o:detectmouseclick="t" on="false"/>
                  <v:stroke color="#404040" weight="15840" endarrow="block" endarrowwidth="medium" endarrowlength="medium" joinstyle="round" endcap="flat"/>
                  <w10:wrap type="square"/>
                </v:shape>
                <v:shape id="shape_0" ID="Connector 61" path="m0,0l-2147483648,-2147483647e" stroked="t" o:allowincell="f" style="position:absolute;left:6142;top:-709;width:1030;height:878;mso-wrap-style:none;v-text-anchor:middle;mso-position-vertical:center" type="_x0000_t32">
                  <v:fill o:detectmouseclick="t" on="false"/>
                  <v:stroke color="#404040" weight="15840" endarrow="block" endarrowwidth="medium" endarrowlength="medium" joinstyle="round" endcap="flat"/>
                  <w10:wrap type="square"/>
                </v:shape>
                <v:shape id="shape_0" ID="Connector 62" path="m0,0l-2147483648,-2147483647e" stroked="t" o:allowincell="f" style="position:absolute;left:6142;top:171;width:1030;height:55;flip:y;mso-wrap-style:none;v-text-anchor:middle;mso-position-vertical:center" type="_x0000_t32">
                  <v:fill o:detectmouseclick="t" on="false"/>
                  <v:stroke color="#404040" weight="15840" endarrow="block" endarrowwidth="medium" endarrowlength="medium" joinstyle="round" endcap="flat"/>
                  <w10:wrap type="square"/>
                </v:shape>
                <v:shape id="shape_0" ID="Connector 63" path="m0,0l-2147483648,-2147483647e" stroked="t" o:allowincell="f" style="position:absolute;left:6142;top:170;width:1030;height:990;flip:y;mso-wrap-style:none;v-text-anchor:middle;mso-position-vertical:center" type="_x0000_t32">
                  <v:fill o:detectmouseclick="t" on="false"/>
                  <v:stroke color="#404040" weight="15840" endarrow="block" endarrowwidth="medium" endarrowlength="medium" joinstyle="round" endcap="flat"/>
                  <w10:wrap type="square"/>
                </v:shape>
                <v:shape id="shape_0" ID="Connector 64" path="m0,0l-2147483648,-2147483647e" stroked="t" o:allowincell="f" style="position:absolute;left:6142;top:170;width:1030;height:1926;flip:y;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1.2.5-rasm. Xalqaro standartlarning moliyaviy barqarorlikni integral baholash bloklari bilan bog‘liqligi</w:t>
      </w:r>
    </w:p>
    <w:p>
      <w:pPr>
        <w:pStyle w:val="BodyText"/>
        <w:spacing w:lineRule="auto" w:line="360" w:before="0" w:after="0"/>
        <w:ind w:firstLine="709"/>
        <w:jc w:val="both"/>
        <w:rPr/>
      </w:pPr>
      <w:r>
        <w:rPr>
          <w:rFonts w:eastAsia="Times New Roman" w:cs="Times New Roman"/>
          <w:sz w:val="28"/>
        </w:rP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p>
    <w:p>
      <w:pPr>
        <w:pStyle w:val="BodyText"/>
        <w:spacing w:lineRule="auto" w:line="360" w:before="0" w:after="0"/>
        <w:ind w:firstLine="709"/>
        <w:jc w:val="both"/>
        <w:rPr/>
      </w:pPr>
      <w:bookmarkStart w:id="8" w:name="X14b3294ce8678c3fd3856a91dee6c3d5b919cac"/>
      <w:r>
        <w:rPr>
          <w:rFonts w:eastAsia="Times New Roman" w:cs="Times New Roman"/>
          <w:sz w:val="28"/>
        </w:rPr>
        <w:t>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bookmarkEnd w:id="8"/>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9" w:name="__RefHeading___Toc38190_2843893380"/>
      <w:bookmarkStart w:id="10" w:name="X0a8f05e5cd7bad167a6c1dddfdd9ff0edf10251"/>
      <w:bookmarkEnd w:id="9"/>
      <w:r>
        <w:rPr>
          <w:rFonts w:eastAsia="Times New Roman" w:cs="Times New Roman" w:ascii="Times New Roman" w:hAnsi="Times New Roman"/>
          <w:b/>
          <w:i w:val="false"/>
          <w:sz w:val="28"/>
        </w:rPr>
        <w:t>1.3-§. Xorijiy mamlakatlarda banklar moliyaviy barqarorligini tartibga solish va baholash tajribasi</w:t>
      </w:r>
    </w:p>
    <w:p>
      <w:pPr>
        <w:pStyle w:val="FirstParagraph"/>
        <w:spacing w:lineRule="auto" w:line="360" w:before="0" w:after="0"/>
        <w:ind w:firstLine="709"/>
        <w:jc w:val="both"/>
        <w:rPr/>
      </w:pPr>
      <w:r>
        <w:rPr>
          <w:rFonts w:eastAsia="Times New Roman" w:cs="Times New Roman"/>
          <w:sz w:val="28"/>
        </w:rP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Rule="auto" w:line="360" w:before="0" w:after="0"/>
        <w:ind w:firstLine="709"/>
        <w:jc w:val="both"/>
        <w:rPr/>
      </w:pPr>
      <w:r>
        <w:rPr>
          <w:rFonts w:eastAsia="Times New Roman" w:cs="Times New Roman"/>
          <w:sz w:val="28"/>
        </w:rP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Rule="auto" w:line="360" w:before="0" w:after="0"/>
        <w:ind w:firstLine="709"/>
        <w:jc w:val="both"/>
        <w:rPr/>
      </w:pPr>
      <w:r>
        <w:rPr>
          <w:rFonts w:eastAsia="Times New Roman" w:cs="Times New Roman"/>
          <w:sz w:val="28"/>
        </w:rP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 Ushbu toifalar va ularga mansub milliy tizimlar 1.3.1-rasmda umumlashtirildi.</w:t>
      </w:r>
    </w:p>
    <w:p>
      <w:pPr>
        <w:pStyle w:val="BodyText"/>
        <w:keepNext w:val="true"/>
        <w:spacing w:lineRule="auto" w:line="240" w:before="0" w:after="0"/>
        <w:ind w:hanging="0"/>
        <w:jc w:val="center"/>
        <w:rPr/>
      </w:pPr>
      <w:r>
        <w:rPr/>
        <mc:AlternateContent>
          <mc:Choice Requires="wpg">
            <w:drawing>
              <wp:inline distT="0" distB="0" distL="0" distR="0">
                <wp:extent cx="5904230" cy="2303780"/>
                <wp:effectExtent l="0" t="0" r="0" b="0"/>
                <wp:docPr id="146" name="1.3.1-rasm"/>
                <a:graphic xmlns:a="http://schemas.openxmlformats.org/drawingml/2006/main">
                  <a:graphicData uri="http://schemas.microsoft.com/office/word/2010/wordprocessingGroup">
                    <wpg:wgp>
                      <wpg:cNvGrpSpPr/>
                      <wpg:grpSpPr>
                        <a:xfrm>
                          <a:off x="0" y="0"/>
                          <a:ext cx="5904360" cy="2303640"/>
                          <a:chOff x="0" y="0"/>
                          <a:chExt cx="5904360" cy="2303640"/>
                        </a:xfrm>
                      </wpg:grpSpPr>
                      <wps:wsp>
                        <wps:cNvPr id="147" name="Shape 2"/>
                        <wps:cNvSpPr/>
                        <wps:spPr>
                          <a:xfrm>
                            <a:off x="1316520" y="0"/>
                            <a:ext cx="3290040" cy="3740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Banklar moliyaviy barqarorligini baholash tizimlari</w:t>
                              </w:r>
                            </w:p>
                            <w:p>
                              <w:pPr>
                                <w:pStyle w:val="Normal"/>
                                <w:spacing w:lineRule="auto" w:line="228" w:before="0" w:after="0"/>
                                <w:ind w:hanging="0"/>
                                <w:jc w:val="center"/>
                                <w:rPr/>
                              </w:pPr>
                              <w:r>
                                <w:rPr>
                                  <w:rFonts w:cs="Times New Roman"/>
                                  <w:b/>
                                  <w:color w:val="FFFFFF"/>
                                  <w:sz w:val="22"/>
                                  <w:szCs w:val="22"/>
                                </w:rPr>
                                <w:t>(Xalqaro hisob-kitoblar banki tasnifi)</w:t>
                              </w:r>
                            </w:p>
                            <w:p>
                              <w:pPr>
                                <w:pStyle w:val="FrameContents"/>
                                <w:spacing w:before="0" w:after="200"/>
                                <w:rPr/>
                              </w:pPr>
                              <w:r>
                                <w:rPr/>
                              </w:r>
                            </w:p>
                          </w:txbxContent>
                        </wps:txbx>
                        <wps:bodyPr lIns="36360" rIns="36360" tIns="17640" bIns="17640" anchor="ctr">
                          <a:noAutofit/>
                        </wps:bodyPr>
                      </wps:wsp>
                      <wps:wsp>
                        <wps:cNvPr id="148" name="Connector 3"/>
                        <wps:cNvSpPr/>
                        <wps:spPr>
                          <a:xfrm flipH="1">
                            <a:off x="703440" y="374760"/>
                            <a:ext cx="2257560" cy="2433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49" name="Shape 4"/>
                        <wps:cNvSpPr/>
                        <wps:spPr>
                          <a:xfrm>
                            <a:off x="0" y="617760"/>
                            <a:ext cx="1407240" cy="41220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Nazorat reyting</w:t>
                              </w:r>
                            </w:p>
                            <w:p>
                              <w:pPr>
                                <w:pStyle w:val="Normal"/>
                                <w:spacing w:lineRule="auto" w:line="228" w:before="0" w:after="0"/>
                                <w:ind w:hanging="0"/>
                                <w:jc w:val="center"/>
                                <w:rPr/>
                              </w:pPr>
                              <w:r>
                                <w:rPr>
                                  <w:rFonts w:cs="Times New Roman"/>
                                  <w:b/>
                                  <w:color w:val="FFFFFF"/>
                                  <w:sz w:val="21"/>
                                  <w:szCs w:val="21"/>
                                </w:rPr>
                                <w:t>tizimlari</w:t>
                              </w:r>
                            </w:p>
                            <w:p>
                              <w:pPr>
                                <w:pStyle w:val="FrameContents"/>
                                <w:spacing w:before="0" w:after="200"/>
                                <w:rPr/>
                              </w:pPr>
                              <w:r>
                                <w:rPr/>
                              </w:r>
                            </w:p>
                          </w:txbxContent>
                        </wps:txbx>
                        <wps:bodyPr lIns="36360" rIns="36360" tIns="17640" bIns="17640" anchor="ctr">
                          <a:noAutofit/>
                        </wps:bodyPr>
                      </wps:wsp>
                      <wps:wsp>
                        <wps:cNvPr id="150" name="Shape 5"/>
                        <wps:cNvSpPr/>
                        <wps:spPr>
                          <a:xfrm>
                            <a:off x="0" y="1086480"/>
                            <a:ext cx="1407240" cy="86184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CAMELS (AQSh)</w:t>
                              </w:r>
                            </w:p>
                            <w:p>
                              <w:pPr>
                                <w:pStyle w:val="Normal"/>
                                <w:spacing w:lineRule="auto" w:line="228" w:before="0" w:after="0"/>
                                <w:ind w:hanging="0"/>
                                <w:jc w:val="center"/>
                                <w:rPr/>
                              </w:pPr>
                              <w:r>
                                <w:rPr>
                                  <w:rFonts w:cs="Times New Roman"/>
                                  <w:color w:val="000000"/>
                                  <w:sz w:val="20"/>
                                  <w:szCs w:val="20"/>
                                </w:rPr>
                                <w:t>ORAP (Fransiya)</w:t>
                              </w:r>
                            </w:p>
                            <w:p>
                              <w:pPr>
                                <w:pStyle w:val="Normal"/>
                                <w:spacing w:lineRule="auto" w:line="228" w:before="0" w:after="0"/>
                                <w:ind w:hanging="0"/>
                                <w:jc w:val="center"/>
                                <w:rPr/>
                              </w:pPr>
                              <w:r>
                                <w:rPr>
                                  <w:rFonts w:cs="Times New Roman"/>
                                  <w:color w:val="000000"/>
                                  <w:sz w:val="20"/>
                                  <w:szCs w:val="20"/>
                                </w:rPr>
                                <w:t>PATROL (Italiya)</w:t>
                              </w:r>
                            </w:p>
                            <w:p>
                              <w:pPr>
                                <w:pStyle w:val="Normal"/>
                                <w:spacing w:lineRule="auto" w:line="228" w:before="0" w:after="0"/>
                                <w:ind w:hanging="0"/>
                                <w:jc w:val="center"/>
                                <w:rPr/>
                              </w:pPr>
                              <w:r>
                                <w:rPr>
                                  <w:rFonts w:cs="Times New Roman"/>
                                  <w:color w:val="000000"/>
                                  <w:sz w:val="20"/>
                                  <w:szCs w:val="20"/>
                                </w:rPr>
                                <w:t>Rossiya banki</w:t>
                              </w:r>
                            </w:p>
                            <w:p>
                              <w:pPr>
                                <w:pStyle w:val="Normal"/>
                                <w:spacing w:lineRule="auto" w:line="228" w:before="0" w:after="0"/>
                                <w:ind w:hanging="0"/>
                                <w:jc w:val="center"/>
                                <w:rPr/>
                              </w:pPr>
                              <w:r>
                                <w:rPr>
                                  <w:rFonts w:cs="Times New Roman"/>
                                  <w:color w:val="000000"/>
                                  <w:sz w:val="20"/>
                                  <w:szCs w:val="20"/>
                                </w:rPr>
                                <w:t>reytingi</w:t>
                              </w:r>
                            </w:p>
                            <w:p>
                              <w:pPr>
                                <w:pStyle w:val="FrameContents"/>
                                <w:spacing w:before="0" w:after="200"/>
                                <w:rPr/>
                              </w:pPr>
                              <w:r>
                                <w:rPr/>
                              </w:r>
                            </w:p>
                          </w:txbxContent>
                        </wps:txbx>
                        <wps:bodyPr lIns="36360" rIns="36360" tIns="17640" bIns="17640" anchor="ctr">
                          <a:noAutofit/>
                        </wps:bodyPr>
                      </wps:wsp>
                      <wps:wsp>
                        <wps:cNvPr id="151" name="Connector 6"/>
                        <wps:cNvSpPr/>
                        <wps:spPr>
                          <a:xfrm flipH="1">
                            <a:off x="2201400" y="374760"/>
                            <a:ext cx="758160" cy="2433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52" name="Shape 7"/>
                        <wps:cNvSpPr/>
                        <wps:spPr>
                          <a:xfrm>
                            <a:off x="1498680" y="617760"/>
                            <a:ext cx="1407240" cy="41220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Koeffitsiyentlar va</w:t>
                              </w:r>
                            </w:p>
                            <w:p>
                              <w:pPr>
                                <w:pStyle w:val="Normal"/>
                                <w:spacing w:lineRule="auto" w:line="228" w:before="0" w:after="0"/>
                                <w:ind w:hanging="0"/>
                                <w:jc w:val="center"/>
                                <w:rPr/>
                              </w:pPr>
                              <w:r>
                                <w:rPr>
                                  <w:rFonts w:cs="Times New Roman"/>
                                  <w:b/>
                                  <w:color w:val="FFFFFF"/>
                                  <w:sz w:val="21"/>
                                  <w:szCs w:val="21"/>
                                </w:rPr>
                                <w:t>guruhlab tahlil</w:t>
                              </w:r>
                            </w:p>
                            <w:p>
                              <w:pPr>
                                <w:pStyle w:val="FrameContents"/>
                                <w:spacing w:before="0" w:after="200"/>
                                <w:rPr/>
                              </w:pPr>
                              <w:r>
                                <w:rPr/>
                              </w:r>
                            </w:p>
                          </w:txbxContent>
                        </wps:txbx>
                        <wps:bodyPr lIns="36360" rIns="36360" tIns="17640" bIns="17640" anchor="ctr">
                          <a:noAutofit/>
                        </wps:bodyPr>
                      </wps:wsp>
                      <wps:wsp>
                        <wps:cNvPr id="153" name="Shape 8"/>
                        <wps:cNvSpPr/>
                        <wps:spPr>
                          <a:xfrm>
                            <a:off x="1498680" y="1086480"/>
                            <a:ext cx="1407240" cy="8618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BAKIS (Germaniya)</w:t>
                              </w:r>
                            </w:p>
                            <w:p>
                              <w:pPr>
                                <w:pStyle w:val="Normal"/>
                                <w:spacing w:lineRule="auto" w:line="228" w:before="0" w:after="0"/>
                                <w:ind w:hanging="0"/>
                                <w:jc w:val="center"/>
                                <w:rPr/>
                              </w:pPr>
                              <w:r>
                                <w:rPr>
                                  <w:rFonts w:cs="Times New Roman"/>
                                  <w:color w:val="000000"/>
                                  <w:sz w:val="20"/>
                                  <w:szCs w:val="20"/>
                                </w:rPr>
                                <w:t>EBA risk</w:t>
                              </w:r>
                            </w:p>
                            <w:p>
                              <w:pPr>
                                <w:pStyle w:val="Normal"/>
                                <w:spacing w:lineRule="auto" w:line="228" w:before="0" w:after="0"/>
                                <w:ind w:hanging="0"/>
                                <w:jc w:val="center"/>
                                <w:rPr/>
                              </w:pPr>
                              <w:r>
                                <w:rPr>
                                  <w:rFonts w:cs="Times New Roman"/>
                                  <w:color w:val="000000"/>
                                  <w:sz w:val="20"/>
                                  <w:szCs w:val="20"/>
                                </w:rPr>
                                <w:t>indikatorlari</w:t>
                              </w:r>
                            </w:p>
                            <w:p>
                              <w:pPr>
                                <w:pStyle w:val="Normal"/>
                                <w:spacing w:lineRule="auto" w:line="228" w:before="0" w:after="0"/>
                                <w:ind w:hanging="0"/>
                                <w:jc w:val="center"/>
                                <w:rPr/>
                              </w:pPr>
                              <w:r>
                                <w:rPr>
                                  <w:rFonts w:cs="Times New Roman"/>
                                  <w:color w:val="000000"/>
                                  <w:sz w:val="20"/>
                                  <w:szCs w:val="20"/>
                                </w:rPr>
                                <w:t>(Yevropa Ittifoqi)</w:t>
                              </w:r>
                            </w:p>
                            <w:p>
                              <w:pPr>
                                <w:pStyle w:val="FrameContents"/>
                                <w:spacing w:before="0" w:after="200"/>
                                <w:rPr/>
                              </w:pPr>
                              <w:r>
                                <w:rPr/>
                              </w:r>
                            </w:p>
                          </w:txbxContent>
                        </wps:txbx>
                        <wps:bodyPr lIns="36360" rIns="36360" tIns="17640" bIns="17640" anchor="ctr">
                          <a:noAutofit/>
                        </wps:bodyPr>
                      </wps:wsp>
                      <wps:wsp>
                        <wps:cNvPr id="154" name="Connector 9"/>
                        <wps:cNvSpPr/>
                        <wps:spPr>
                          <a:xfrm>
                            <a:off x="2961720" y="374760"/>
                            <a:ext cx="739800" cy="2433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55" name="Shape 10"/>
                        <wps:cNvSpPr/>
                        <wps:spPr>
                          <a:xfrm>
                            <a:off x="2998440" y="617760"/>
                            <a:ext cx="1407240" cy="41220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1"/>
                                  <w:szCs w:val="21"/>
                                </w:rPr>
                                <w:t>Risklarni kompleks</w:t>
                              </w:r>
                            </w:p>
                            <w:p>
                              <w:pPr>
                                <w:pStyle w:val="Normal"/>
                                <w:spacing w:lineRule="auto" w:line="228" w:before="0" w:after="0"/>
                                <w:ind w:hanging="0"/>
                                <w:jc w:val="center"/>
                                <w:rPr/>
                              </w:pPr>
                              <w:r>
                                <w:rPr>
                                  <w:rFonts w:cs="Times New Roman"/>
                                  <w:b/>
                                  <w:color w:val="FFFFFF"/>
                                  <w:sz w:val="21"/>
                                  <w:szCs w:val="21"/>
                                </w:rPr>
                                <w:t>baholash</w:t>
                              </w:r>
                            </w:p>
                            <w:p>
                              <w:pPr>
                                <w:pStyle w:val="FrameContents"/>
                                <w:spacing w:before="0" w:after="200"/>
                                <w:rPr/>
                              </w:pPr>
                              <w:r>
                                <w:rPr/>
                              </w:r>
                            </w:p>
                          </w:txbxContent>
                        </wps:txbx>
                        <wps:bodyPr lIns="36360" rIns="36360" tIns="17640" bIns="17640" anchor="ctr">
                          <a:noAutofit/>
                        </wps:bodyPr>
                      </wps:wsp>
                      <wps:wsp>
                        <wps:cNvPr id="156" name="Shape 11"/>
                        <wps:cNvSpPr/>
                        <wps:spPr>
                          <a:xfrm>
                            <a:off x="2998440" y="1086480"/>
                            <a:ext cx="1407240" cy="8618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BAITE, RATE</w:t>
                              </w:r>
                            </w:p>
                            <w:p>
                              <w:pPr>
                                <w:pStyle w:val="Normal"/>
                                <w:spacing w:lineRule="auto" w:line="228" w:before="0" w:after="0"/>
                                <w:ind w:hanging="0"/>
                                <w:jc w:val="center"/>
                                <w:rPr/>
                              </w:pPr>
                              <w:r>
                                <w:rPr>
                                  <w:rFonts w:cs="Times New Roman"/>
                                  <w:color w:val="000000"/>
                                  <w:sz w:val="20"/>
                                  <w:szCs w:val="20"/>
                                </w:rPr>
                                <w:t>(Buyuk Britaniya)</w:t>
                              </w:r>
                            </w:p>
                            <w:p>
                              <w:pPr>
                                <w:pStyle w:val="Normal"/>
                                <w:spacing w:lineRule="auto" w:line="228" w:before="0" w:after="0"/>
                                <w:ind w:hanging="0"/>
                                <w:jc w:val="center"/>
                                <w:rPr/>
                              </w:pPr>
                              <w:r>
                                <w:rPr>
                                  <w:rFonts w:cs="Times New Roman"/>
                                  <w:color w:val="000000"/>
                                  <w:sz w:val="20"/>
                                  <w:szCs w:val="20"/>
                                </w:rPr>
                                <w:t>RAST</w:t>
                              </w:r>
                            </w:p>
                            <w:p>
                              <w:pPr>
                                <w:pStyle w:val="Normal"/>
                                <w:spacing w:lineRule="auto" w:line="228" w:before="0" w:after="0"/>
                                <w:ind w:hanging="0"/>
                                <w:jc w:val="center"/>
                                <w:rPr/>
                              </w:pPr>
                              <w:r>
                                <w:rPr>
                                  <w:rFonts w:cs="Times New Roman"/>
                                  <w:color w:val="000000"/>
                                  <w:sz w:val="20"/>
                                  <w:szCs w:val="20"/>
                                </w:rPr>
                                <w:t>(Niderlandiya)</w:t>
                              </w:r>
                            </w:p>
                            <w:p>
                              <w:pPr>
                                <w:pStyle w:val="FrameContents"/>
                                <w:spacing w:before="0" w:after="200"/>
                                <w:rPr/>
                              </w:pPr>
                              <w:r>
                                <w:rPr/>
                              </w:r>
                            </w:p>
                          </w:txbxContent>
                        </wps:txbx>
                        <wps:bodyPr lIns="36360" rIns="36360" tIns="17640" bIns="17640" anchor="ctr">
                          <a:noAutofit/>
                        </wps:bodyPr>
                      </wps:wsp>
                      <wps:wsp>
                        <wps:cNvPr id="157" name="Connector 12"/>
                        <wps:cNvSpPr/>
                        <wps:spPr>
                          <a:xfrm>
                            <a:off x="2961720" y="374760"/>
                            <a:ext cx="2238480" cy="2433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158" name="Shape 13"/>
                        <wps:cNvSpPr/>
                        <wps:spPr>
                          <a:xfrm>
                            <a:off x="4497120" y="617760"/>
                            <a:ext cx="1407240" cy="41220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1"/>
                                  <w:szCs w:val="21"/>
                                </w:rPr>
                                <w:t>Statistik</w:t>
                              </w:r>
                            </w:p>
                            <w:p>
                              <w:pPr>
                                <w:pStyle w:val="Normal"/>
                                <w:spacing w:lineRule="auto" w:line="228" w:before="0" w:after="0"/>
                                <w:ind w:hanging="0"/>
                                <w:jc w:val="center"/>
                                <w:rPr/>
                              </w:pPr>
                              <w:r>
                                <w:rPr>
                                  <w:rFonts w:cs="Times New Roman"/>
                                  <w:b/>
                                  <w:color w:val="000000"/>
                                  <w:sz w:val="21"/>
                                  <w:szCs w:val="21"/>
                                </w:rPr>
                                <w:t>modellar</w:t>
                              </w:r>
                            </w:p>
                            <w:p>
                              <w:pPr>
                                <w:pStyle w:val="FrameContents"/>
                                <w:spacing w:before="0" w:after="200"/>
                                <w:rPr/>
                              </w:pPr>
                              <w:r>
                                <w:rPr/>
                              </w:r>
                            </w:p>
                          </w:txbxContent>
                        </wps:txbx>
                        <wps:bodyPr lIns="36360" rIns="36360" tIns="17640" bIns="17640" anchor="ctr">
                          <a:noAutofit/>
                        </wps:bodyPr>
                      </wps:wsp>
                      <wps:wsp>
                        <wps:cNvPr id="159" name="Shape 14"/>
                        <wps:cNvSpPr/>
                        <wps:spPr>
                          <a:xfrm>
                            <a:off x="4497120" y="1086480"/>
                            <a:ext cx="1407240" cy="86184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FIMS, SEER,</w:t>
                              </w:r>
                            </w:p>
                            <w:p>
                              <w:pPr>
                                <w:pStyle w:val="Normal"/>
                                <w:spacing w:lineRule="auto" w:line="228" w:before="0" w:after="0"/>
                                <w:ind w:hanging="0"/>
                                <w:jc w:val="center"/>
                                <w:rPr/>
                              </w:pPr>
                              <w:r>
                                <w:rPr>
                                  <w:rFonts w:cs="Times New Roman"/>
                                  <w:color w:val="000000"/>
                                  <w:sz w:val="20"/>
                                  <w:szCs w:val="20"/>
                                </w:rPr>
                                <w:t>SCOR (AQSh)</w:t>
                              </w:r>
                            </w:p>
                            <w:p>
                              <w:pPr>
                                <w:pStyle w:val="Normal"/>
                                <w:spacing w:lineRule="auto" w:line="228" w:before="0" w:after="0"/>
                                <w:ind w:hanging="0"/>
                                <w:jc w:val="center"/>
                                <w:rPr/>
                              </w:pPr>
                              <w:r>
                                <w:rPr>
                                  <w:rFonts w:cs="Times New Roman"/>
                                  <w:color w:val="000000"/>
                                  <w:sz w:val="20"/>
                                  <w:szCs w:val="20"/>
                                </w:rPr>
                                <w:t>SAABA ekspert</w:t>
                              </w:r>
                            </w:p>
                            <w:p>
                              <w:pPr>
                                <w:pStyle w:val="Normal"/>
                                <w:spacing w:lineRule="auto" w:line="228" w:before="0" w:after="0"/>
                                <w:ind w:hanging="0"/>
                                <w:jc w:val="center"/>
                                <w:rPr/>
                              </w:pPr>
                              <w:r>
                                <w:rPr>
                                  <w:rFonts w:cs="Times New Roman"/>
                                  <w:color w:val="000000"/>
                                  <w:sz w:val="20"/>
                                  <w:szCs w:val="20"/>
                                </w:rPr>
                                <w:t>tizimi (Fransiya)</w:t>
                              </w:r>
                            </w:p>
                            <w:p>
                              <w:pPr>
                                <w:pStyle w:val="FrameContents"/>
                                <w:spacing w:before="0" w:after="200"/>
                                <w:rPr/>
                              </w:pPr>
                              <w:r>
                                <w:rPr/>
                              </w:r>
                            </w:p>
                          </w:txbxContent>
                        </wps:txbx>
                        <wps:bodyPr lIns="36360" rIns="36360" tIns="17640" bIns="17640" anchor="ctr">
                          <a:noAutofit/>
                        </wps:bodyPr>
                      </wps:wsp>
                      <wps:wsp>
                        <wps:cNvPr id="160" name="Shape 15"/>
                        <wps:cNvSpPr/>
                        <wps:spPr>
                          <a:xfrm>
                            <a:off x="0" y="2023920"/>
                            <a:ext cx="5886360" cy="28008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0"/>
                                  <w:szCs w:val="20"/>
                                </w:rPr>
                                <w:t>Joriy holatni baholash  ←————————————————→  Kelgusi holatni bashorat qilish</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3.1-rasm" style="position:absolute;margin-left:0pt;margin-top:-90.7pt;width:464.9pt;height:181.4pt" coordorigin="0,-1814" coordsize="9298,3628">
                <v:shape id="shape_0" ID="Connector 3" path="m0,0l-2147483648,-2147483647e" stroked="t" o:allowincell="f" style="position:absolute;left:1108;top:-1224;width:3554;height:382;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6" path="m0,0l-2147483648,-2147483647e" stroked="t" o:allowincell="f" style="position:absolute;left:3467;top:-1224;width:1193;height:382;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9" path="m0,0l-2147483648,-2147483647e" stroked="t" o:allowincell="f" style="position:absolute;left:4664;top:-1224;width:1164;height:382;mso-wrap-style:none;v-text-anchor:middle;mso-position-vertical:center" type="_x0000_t32">
                  <v:fill o:detectmouseclick="t" on="false"/>
                  <v:stroke color="#404040" weight="15840" endarrow="block" endarrowwidth="medium" endarrowlength="medium" joinstyle="round" endcap="flat"/>
                  <w10:wrap type="square"/>
                </v:shape>
                <v:shape id="shape_0" ID="Connector 12" path="m0,0l-2147483648,-2147483647e" stroked="t" o:allowincell="f" style="position:absolute;left:4664;top:-1224;width:3524;height:382;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1.3.1-rasm. Xorijiy mamlakatlarda banklar moliyaviy barqarorligini baholash tizimlarining tasnifi</w:t>
      </w:r>
    </w:p>
    <w:p>
      <w:pPr>
        <w:pStyle w:val="BodyText"/>
        <w:spacing w:lineRule="auto" w:line="360" w:before="0" w:after="0"/>
        <w:ind w:firstLine="709"/>
        <w:jc w:val="both"/>
        <w:rPr/>
      </w:pPr>
      <w:r>
        <w:rPr>
          <w:rFonts w:eastAsia="Times New Roman" w:cs="Times New Roman"/>
          <w:sz w:val="28"/>
        </w:rP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val="true"/>
        <w:spacing w:lineRule="auto" w:line="360" w:before="120" w:after="0"/>
        <w:ind w:hanging="0"/>
        <w:jc w:val="right"/>
        <w:rPr/>
      </w:pPr>
      <w:r>
        <w:rPr>
          <w:rFonts w:eastAsia="Times New Roman" w:cs="Times New Roman"/>
          <w:i/>
          <w:sz w:val="28"/>
        </w:rPr>
        <w:t>1.3.1-jadval</w:t>
      </w:r>
    </w:p>
    <w:p>
      <w:pPr>
        <w:pStyle w:val="BodyText"/>
        <w:keepNext w:val="true"/>
        <w:spacing w:lineRule="auto" w:line="240" w:before="0" w:after="120"/>
        <w:ind w:hanging="0"/>
        <w:jc w:val="center"/>
        <w:rPr/>
      </w:pPr>
      <w:r>
        <w:rPr>
          <w:rFonts w:eastAsia="Times New Roman" w:cs="Times New Roman"/>
          <w:b/>
          <w:bCs/>
          <w:sz w:val="28"/>
        </w:rPr>
        <w:t>Rivojlangan mamlakatlarda banklarni baholash tizimlarining qiyosiy tavsifi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22"/>
        <w:gridCol w:w="2422"/>
        <w:gridCol w:w="2422"/>
        <w:gridCol w:w="2422"/>
      </w:tblGrid>
      <w:tr>
        <w:trPr>
          <w:tblHeader w:val="true"/>
          <w:cantSplit w:val="true"/>
        </w:trPr>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Mamlakat</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Tizim (joriy etilgan yili)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Turi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Asosiy xususiyatlari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CAMELS (1978–1979)</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Reyting</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 komponent, 1–5 ballik shkala; yig‘ma ball o‘rtacha emas, tekshiruv guruhi bahosi; natijalar oshkor qilinmaydi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FIMS, SEER, SCOR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Statistik</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Logit modellar orqali reyting pasayishi va bankrotlik ehtimolini bashorat qilish</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Buyuk Britaniya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BAITE (1997), RATE (1998)</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Risklarni kompleks baholash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 yo‘nalish; risk darajasi va nazorat sifati matritsasi; nazorat davri riskka bog‘langan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Germaniya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BAKIS (1997)</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Koeffitsiyentlar va guruhlab tahlil</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47 ko‘rsatkich, teng vaznlar; guruh o‘rtachasi bilan taqqoslash</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Fransiya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ORAP (1997), SAABA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Reyting va ekspert tizimi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SAABA 25 ma’lumotlar bazasidan foydalanadi; 3 yillik to‘lov qobiliyati bahosi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Italiya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PATROL (1993)</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Reyting</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Masofaviy nazorat va reyting</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Niderlandiya</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RAST</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Risklarni kompleks baholash</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Risklarni tahlil qilish va nazorat choralarini belgilash</w:t>
            </w:r>
          </w:p>
        </w:tc>
      </w:tr>
    </w:tbl>
    <w:p>
      <w:pPr>
        <w:pStyle w:val="BodyText"/>
        <w:spacing w:lineRule="auto" w:line="360" w:before="0" w:after="0"/>
        <w:ind w:firstLine="709"/>
        <w:jc w:val="both"/>
        <w:rPr/>
      </w:pPr>
      <w:r>
        <w:rPr>
          <w:rFonts w:eastAsia="Times New Roman" w:cs="Times New Roman"/>
          <w:sz w:val="28"/>
        </w:rP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Rule="auto" w:line="360" w:before="0" w:after="0"/>
        <w:ind w:firstLine="709"/>
        <w:jc w:val="both"/>
        <w:rPr/>
      </w:pPr>
      <w:r>
        <w:rPr>
          <w:rFonts w:eastAsia="Times New Roman" w:cs="Times New Roman"/>
          <w:sz w:val="28"/>
        </w:rP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 Har bir yirik inqiroz nazorat tizimiga yangi vositani olib kirgan, natijada bugungi kunda AQShda reyting, kapitalga asoslangan majburiy choralar, statistik modellar va stress-testlardan iborat to‘rt qatlamli tizim shakllangan.</w:t>
      </w:r>
    </w:p>
    <w:p>
      <w:pPr>
        <w:pStyle w:val="BodyText"/>
        <w:spacing w:lineRule="auto" w:line="360" w:before="0" w:after="0"/>
        <w:ind w:firstLine="709"/>
        <w:jc w:val="both"/>
        <w:rPr/>
      </w:pPr>
      <w:r>
        <w:rPr>
          <w:rFonts w:eastAsia="Times New Roman" w:cs="Times New Roman"/>
          <w:sz w:val="28"/>
        </w:rPr>
        <w:t>Bu tizimning birinchi qatlamini CAMELS reyting tizimi tashkil etadi. U 1978-yilda Moliya institutlari federal ekspertiza kengashi tomonidan yaratilgan bo‘lib, 1997-yildan unga bozor riskiga sezgirlik komponenti qo‘shilgan.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 Demak, CAMELS tizimi ichki nazorat vositasi bo‘lib, bozor intizomini kuchaytirishga xizmat qilmaydi.</w:t>
      </w:r>
    </w:p>
    <w:p>
      <w:pPr>
        <w:pStyle w:val="BodyText"/>
        <w:spacing w:lineRule="auto" w:line="360" w:before="0" w:after="0"/>
        <w:ind w:firstLine="709"/>
        <w:jc w:val="both"/>
        <w:rPr/>
      </w:pPr>
      <w:r>
        <w:rPr>
          <w:rFonts w:eastAsia="Times New Roman" w:cs="Times New Roman"/>
          <w:sz w:val="28"/>
        </w:rP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 Unga ko‘ra banklar kapital darajasiga qarab besh toifaga ajratiladi va har bir toifaga majburiy nazorat choralari biriktiriladi (1.3.2-rasm).</w:t>
      </w:r>
    </w:p>
    <w:p>
      <w:pPr>
        <w:pStyle w:val="BodyText"/>
        <w:keepNext w:val="true"/>
        <w:spacing w:lineRule="auto" w:line="240" w:before="0" w:after="0"/>
        <w:ind w:hanging="0"/>
        <w:jc w:val="center"/>
        <w:rPr/>
      </w:pPr>
      <w:r>
        <w:rPr/>
        <mc:AlternateContent>
          <mc:Choice Requires="wpg">
            <w:drawing>
              <wp:inline distT="0" distB="0" distL="0" distR="0">
                <wp:extent cx="5975985" cy="2376170"/>
                <wp:effectExtent l="0" t="0" r="0" b="0"/>
                <wp:docPr id="161" name="1.3.2-rasm"/>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162" name="Shape 16"/>
                        <wps:cNvSpPr/>
                        <wps:spPr>
                          <a:xfrm>
                            <a:off x="0" y="0"/>
                            <a:ext cx="1680840" cy="41472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Yaxshi kapitallashgan</w:t>
                              </w:r>
                            </w:p>
                            <w:p>
                              <w:pPr>
                                <w:pStyle w:val="FrameContents"/>
                                <w:spacing w:before="0" w:after="200"/>
                                <w:rPr/>
                              </w:pPr>
                              <w:r>
                                <w:rPr/>
                              </w:r>
                            </w:p>
                          </w:txbxContent>
                        </wps:txbx>
                        <wps:bodyPr lIns="36360" rIns="36360" tIns="17640" bIns="17640" anchor="ctr">
                          <a:noAutofit/>
                        </wps:bodyPr>
                      </wps:wsp>
                      <wps:wsp>
                        <wps:cNvPr id="163" name="Shape 17"/>
                        <wps:cNvSpPr/>
                        <wps:spPr>
                          <a:xfrm>
                            <a:off x="1735920" y="0"/>
                            <a:ext cx="1972800" cy="4147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Jami kapital ≥ 10%; 1-darajali ≥ 6%; leverej ≥ 5%</w:t>
                              </w:r>
                            </w:p>
                            <w:p>
                              <w:pPr>
                                <w:pStyle w:val="FrameContents"/>
                                <w:spacing w:before="0" w:after="200"/>
                                <w:rPr/>
                              </w:pPr>
                              <w:r>
                                <w:rPr/>
                              </w:r>
                            </w:p>
                          </w:txbxContent>
                        </wps:txbx>
                        <wps:bodyPr lIns="36360" rIns="36360" tIns="17640" bIns="17640" anchor="ctr">
                          <a:noAutofit/>
                        </wps:bodyPr>
                      </wps:wsp>
                      <wps:wsp>
                        <wps:cNvPr id="164" name="Shape 18"/>
                        <wps:cNvSpPr/>
                        <wps:spPr>
                          <a:xfrm>
                            <a:off x="3764160" y="0"/>
                            <a:ext cx="2118960" cy="414720"/>
                          </a:xfrm>
                          <a:prstGeom prst="roundRect">
                            <a:avLst>
                              <a:gd name="adj" fmla="val 10000"/>
                            </a:avLst>
                          </a:prstGeom>
                          <a:solidFill>
                            <a:srgbClr val="ffffff"/>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Cheklovlar yo‘q</w:t>
                              </w:r>
                            </w:p>
                            <w:p>
                              <w:pPr>
                                <w:pStyle w:val="FrameContents"/>
                                <w:spacing w:before="0" w:after="200"/>
                                <w:rPr/>
                              </w:pPr>
                              <w:r>
                                <w:rPr/>
                              </w:r>
                            </w:p>
                          </w:txbxContent>
                        </wps:txbx>
                        <wps:bodyPr lIns="36360" rIns="36360" tIns="17640" bIns="17640" anchor="ctr">
                          <a:noAutofit/>
                        </wps:bodyPr>
                      </wps:wsp>
                      <wps:wsp>
                        <wps:cNvPr id="165" name="Shape 19"/>
                        <wps:cNvSpPr/>
                        <wps:spPr>
                          <a:xfrm>
                            <a:off x="145440" y="490320"/>
                            <a:ext cx="1680840" cy="414720"/>
                          </a:xfrm>
                          <a:prstGeom prst="roundRect">
                            <a:avLst>
                              <a:gd name="adj" fmla="val 10000"/>
                            </a:avLst>
                          </a:prstGeom>
                          <a:solidFill>
                            <a:srgbClr val="9dc3e6"/>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Yetarli kapitallashgan</w:t>
                              </w:r>
                            </w:p>
                            <w:p>
                              <w:pPr>
                                <w:pStyle w:val="FrameContents"/>
                                <w:spacing w:before="0" w:after="200"/>
                                <w:rPr/>
                              </w:pPr>
                              <w:r>
                                <w:rPr/>
                              </w:r>
                            </w:p>
                          </w:txbxContent>
                        </wps:txbx>
                        <wps:bodyPr lIns="36360" rIns="36360" tIns="17640" bIns="17640" anchor="ctr">
                          <a:noAutofit/>
                        </wps:bodyPr>
                      </wps:wsp>
                      <wps:wsp>
                        <wps:cNvPr id="166" name="Shape 20"/>
                        <wps:cNvSpPr/>
                        <wps:spPr>
                          <a:xfrm>
                            <a:off x="1881360" y="490320"/>
                            <a:ext cx="1972800" cy="414720"/>
                          </a:xfrm>
                          <a:prstGeom prst="roundRect">
                            <a:avLst>
                              <a:gd name="adj" fmla="val 10000"/>
                            </a:avLst>
                          </a:prstGeom>
                          <a:solidFill>
                            <a:srgbClr val="f2f2f2"/>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Jami kapital ≥ 8%; 1-darajali ≥ 4%; leverej ≥ 4%</w:t>
                              </w:r>
                            </w:p>
                            <w:p>
                              <w:pPr>
                                <w:pStyle w:val="FrameContents"/>
                                <w:spacing w:before="0" w:after="200"/>
                                <w:rPr/>
                              </w:pPr>
                              <w:r>
                                <w:rPr/>
                              </w:r>
                            </w:p>
                          </w:txbxContent>
                        </wps:txbx>
                        <wps:bodyPr lIns="36360" rIns="36360" tIns="17640" bIns="17640" anchor="ctr">
                          <a:noAutofit/>
                        </wps:bodyPr>
                      </wps:wsp>
                      <wps:wsp>
                        <wps:cNvPr id="167" name="Shape 21"/>
                        <wps:cNvSpPr/>
                        <wps:spPr>
                          <a:xfrm>
                            <a:off x="3910320" y="490320"/>
                            <a:ext cx="1972800" cy="414720"/>
                          </a:xfrm>
                          <a:prstGeom prst="roundRect">
                            <a:avLst>
                              <a:gd name="adj" fmla="val 10000"/>
                            </a:avLst>
                          </a:prstGeom>
                          <a:solidFill>
                            <a:srgbClr val="ffffff"/>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Broker depozitlarini jalb qilish cheklanadi</w:t>
                              </w:r>
                            </w:p>
                            <w:p>
                              <w:pPr>
                                <w:pStyle w:val="FrameContents"/>
                                <w:spacing w:before="0" w:after="200"/>
                                <w:rPr/>
                              </w:pPr>
                              <w:r>
                                <w:rPr/>
                              </w:r>
                            </w:p>
                          </w:txbxContent>
                        </wps:txbx>
                        <wps:bodyPr lIns="36360" rIns="36360" tIns="17640" bIns="17640" anchor="ctr">
                          <a:noAutofit/>
                        </wps:bodyPr>
                      </wps:wsp>
                      <wps:wsp>
                        <wps:cNvPr id="168" name="Shape 22"/>
                        <wps:cNvSpPr/>
                        <wps:spPr>
                          <a:xfrm>
                            <a:off x="291960" y="981000"/>
                            <a:ext cx="1680840" cy="41400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Kapitali yetarli emas</w:t>
                              </w:r>
                            </w:p>
                            <w:p>
                              <w:pPr>
                                <w:pStyle w:val="FrameContents"/>
                                <w:spacing w:before="0" w:after="200"/>
                                <w:rPr/>
                              </w:pPr>
                              <w:r>
                                <w:rPr/>
                              </w:r>
                            </w:p>
                          </w:txbxContent>
                        </wps:txbx>
                        <wps:bodyPr lIns="36360" rIns="36360" tIns="17640" bIns="17640" anchor="ctr">
                          <a:noAutofit/>
                        </wps:bodyPr>
                      </wps:wsp>
                      <wps:wsp>
                        <wps:cNvPr id="169" name="Shape 23"/>
                        <wps:cNvSpPr/>
                        <wps:spPr>
                          <a:xfrm>
                            <a:off x="2028240" y="981000"/>
                            <a:ext cx="1972440" cy="41400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Jami kapital &lt; 8%; 1-darajali &lt; 4%; leverej &lt; 4%</w:t>
                              </w:r>
                            </w:p>
                            <w:p>
                              <w:pPr>
                                <w:pStyle w:val="FrameContents"/>
                                <w:spacing w:before="0" w:after="200"/>
                                <w:rPr/>
                              </w:pPr>
                              <w:r>
                                <w:rPr/>
                              </w:r>
                            </w:p>
                          </w:txbxContent>
                        </wps:txbx>
                        <wps:bodyPr lIns="36360" rIns="36360" tIns="17640" bIns="17640" anchor="ctr">
                          <a:noAutofit/>
                        </wps:bodyPr>
                      </wps:wsp>
                      <wps:wsp>
                        <wps:cNvPr id="170" name="Shape 24"/>
                        <wps:cNvSpPr/>
                        <wps:spPr>
                          <a:xfrm>
                            <a:off x="4056840" y="981000"/>
                            <a:ext cx="1827000" cy="414000"/>
                          </a:xfrm>
                          <a:prstGeom prst="roundRect">
                            <a:avLst>
                              <a:gd name="adj" fmla="val 10000"/>
                            </a:avLst>
                          </a:prstGeom>
                          <a:solidFill>
                            <a:srgbClr val="ffffff"/>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Kapitalni tiklash rejasi; aktivlar o‘sishi va dividendlar cheklanadi</w:t>
                              </w:r>
                            </w:p>
                            <w:p>
                              <w:pPr>
                                <w:pStyle w:val="FrameContents"/>
                                <w:spacing w:before="0" w:after="200"/>
                                <w:rPr/>
                              </w:pPr>
                              <w:r>
                                <w:rPr/>
                              </w:r>
                            </w:p>
                          </w:txbxContent>
                        </wps:txbx>
                        <wps:bodyPr lIns="36360" rIns="36360" tIns="17640" bIns="17640" anchor="ctr">
                          <a:noAutofit/>
                        </wps:bodyPr>
                      </wps:wsp>
                      <wps:wsp>
                        <wps:cNvPr id="171" name="Shape 25"/>
                        <wps:cNvSpPr/>
                        <wps:spPr>
                          <a:xfrm>
                            <a:off x="438120" y="1471320"/>
                            <a:ext cx="1680840" cy="41472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Kapitali sezilarli yetarli emas</w:t>
                              </w:r>
                            </w:p>
                            <w:p>
                              <w:pPr>
                                <w:pStyle w:val="FrameContents"/>
                                <w:spacing w:before="0" w:after="200"/>
                                <w:rPr/>
                              </w:pPr>
                              <w:r>
                                <w:rPr/>
                              </w:r>
                            </w:p>
                          </w:txbxContent>
                        </wps:txbx>
                        <wps:bodyPr lIns="36360" rIns="36360" tIns="17640" bIns="17640" anchor="ctr">
                          <a:noAutofit/>
                        </wps:bodyPr>
                      </wps:wsp>
                      <wps:wsp>
                        <wps:cNvPr id="172" name="Shape 26"/>
                        <wps:cNvSpPr/>
                        <wps:spPr>
                          <a:xfrm>
                            <a:off x="2174400" y="1471320"/>
                            <a:ext cx="1972800" cy="4147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Jami kapital &lt; 6%; 1-darajali &lt; 3%; leverej &lt; 3%</w:t>
                              </w:r>
                            </w:p>
                            <w:p>
                              <w:pPr>
                                <w:pStyle w:val="FrameContents"/>
                                <w:spacing w:before="0" w:after="200"/>
                                <w:rPr/>
                              </w:pPr>
                              <w:r>
                                <w:rPr/>
                              </w:r>
                            </w:p>
                          </w:txbxContent>
                        </wps:txbx>
                        <wps:bodyPr lIns="36360" rIns="36360" tIns="17640" bIns="17640" anchor="ctr">
                          <a:noAutofit/>
                        </wps:bodyPr>
                      </wps:wsp>
                      <wps:wsp>
                        <wps:cNvPr id="173" name="Shape 27"/>
                        <wps:cNvSpPr/>
                        <wps:spPr>
                          <a:xfrm>
                            <a:off x="4202280" y="1471320"/>
                            <a:ext cx="1680840" cy="414720"/>
                          </a:xfrm>
                          <a:prstGeom prst="roundRect">
                            <a:avLst>
                              <a:gd name="adj" fmla="val 10000"/>
                            </a:avLst>
                          </a:prstGeom>
                          <a:solidFill>
                            <a:srgbClr val="ffffff"/>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Rahbariyat almashtirilishi, faoliyat cheklanishi mumkin</w:t>
                              </w:r>
                            </w:p>
                            <w:p>
                              <w:pPr>
                                <w:pStyle w:val="FrameContents"/>
                                <w:spacing w:before="0" w:after="200"/>
                                <w:rPr/>
                              </w:pPr>
                              <w:r>
                                <w:rPr/>
                              </w:r>
                            </w:p>
                          </w:txbxContent>
                        </wps:txbx>
                        <wps:bodyPr lIns="36360" rIns="36360" tIns="17640" bIns="17640" anchor="ctr">
                          <a:noAutofit/>
                        </wps:bodyPr>
                      </wps:wsp>
                      <wps:wsp>
                        <wps:cNvPr id="174" name="Shape 28"/>
                        <wps:cNvSpPr/>
                        <wps:spPr>
                          <a:xfrm>
                            <a:off x="585000" y="1961640"/>
                            <a:ext cx="1680120" cy="414720"/>
                          </a:xfrm>
                          <a:prstGeom prst="roundRect">
                            <a:avLst>
                              <a:gd name="adj" fmla="val 10000"/>
                            </a:avLst>
                          </a:prstGeom>
                          <a:solidFill>
                            <a:srgbClr val="c00000"/>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Kapitali keskin yetarli emas</w:t>
                              </w:r>
                            </w:p>
                            <w:p>
                              <w:pPr>
                                <w:pStyle w:val="FrameContents"/>
                                <w:spacing w:before="0" w:after="200"/>
                                <w:rPr/>
                              </w:pPr>
                              <w:r>
                                <w:rPr/>
                              </w:r>
                            </w:p>
                          </w:txbxContent>
                        </wps:txbx>
                        <wps:bodyPr lIns="36360" rIns="36360" tIns="17640" bIns="17640" anchor="ctr">
                          <a:noAutofit/>
                        </wps:bodyPr>
                      </wps:wsp>
                      <wps:wsp>
                        <wps:cNvPr id="175" name="Shape 29"/>
                        <wps:cNvSpPr/>
                        <wps:spPr>
                          <a:xfrm>
                            <a:off x="2320920" y="1961640"/>
                            <a:ext cx="1972440" cy="414720"/>
                          </a:xfrm>
                          <a:prstGeom prst="roundRect">
                            <a:avLst>
                              <a:gd name="adj" fmla="val 10000"/>
                            </a:avLst>
                          </a:prstGeom>
                          <a:solidFill>
                            <a:srgbClr val="f2f2f2"/>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9"/>
                                  <w:szCs w:val="19"/>
                                </w:rPr>
                                <w:t>Moddiy kapital ≤ 2%</w:t>
                              </w:r>
                            </w:p>
                            <w:p>
                              <w:pPr>
                                <w:pStyle w:val="FrameContents"/>
                                <w:spacing w:before="0" w:after="200"/>
                                <w:rPr/>
                              </w:pPr>
                              <w:r>
                                <w:rPr/>
                              </w:r>
                            </w:p>
                          </w:txbxContent>
                        </wps:txbx>
                        <wps:bodyPr lIns="36360" rIns="36360" tIns="17640" bIns="17640" anchor="ctr">
                          <a:noAutofit/>
                        </wps:bodyPr>
                      </wps:wsp>
                      <wps:wsp>
                        <wps:cNvPr id="176" name="Shape 30"/>
                        <wps:cNvSpPr/>
                        <wps:spPr>
                          <a:xfrm>
                            <a:off x="4349160" y="1961640"/>
                            <a:ext cx="1534320" cy="414720"/>
                          </a:xfrm>
                          <a:prstGeom prst="roundRect">
                            <a:avLst>
                              <a:gd name="adj" fmla="val 10000"/>
                            </a:avLst>
                          </a:prstGeom>
                          <a:solidFill>
                            <a:srgbClr val="ffffff"/>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9"/>
                                  <w:szCs w:val="19"/>
                                </w:rPr>
                                <w:t>Vaqtinchalik boshqaruv yoki tugatish</w:t>
                              </w:r>
                            </w:p>
                            <w:p>
                              <w:pPr>
                                <w:pStyle w:val="FrameContents"/>
                                <w:spacing w:before="0" w:after="200"/>
                                <w:rPr/>
                              </w:pPr>
                              <w:r>
                                <w:rPr/>
                              </w:r>
                            </w:p>
                          </w:txbxContent>
                        </wps:txbx>
                        <wps:bodyPr lIns="36360" rIns="36360" tIns="17640" bIns="17640" anchor="ctr">
                          <a:noAutofit/>
                        </wps:bodyPr>
                      </wps:wsp>
                      <wps:wsp>
                        <wps:cNvPr id="177" name="Connector 31"/>
                        <wps:cNvSpPr/>
                        <wps:spPr>
                          <a:xfrm>
                            <a:off x="5975280" y="37440"/>
                            <a:ext cx="720" cy="2300040"/>
                          </a:xfrm>
                          <a:prstGeom prst="straightConnector1">
                            <a:avLst/>
                          </a:prstGeom>
                          <a:noFill/>
                          <a:ln w="28575">
                            <a:solidFill>
                              <a:srgbClr val="c00000"/>
                            </a:solidFill>
                            <a:round/>
                            <a:tailEnd len="med" type="triangle" w="med"/>
                          </a:ln>
                        </wps:spPr>
                        <wps:style>
                          <a:lnRef idx="0"/>
                          <a:fillRef idx="0"/>
                          <a:effectRef idx="0"/>
                          <a:fontRef idx="minor"/>
                        </wps:style>
                        <wps:bodyPr/>
                      </wps:wsp>
                    </wpg:wgp>
                  </a:graphicData>
                </a:graphic>
              </wp:inline>
            </w:drawing>
          </mc:Choice>
          <mc:Fallback>
            <w:pict>
              <v:group id="shape_0" alt="1.3.2-rasm" style="position:absolute;margin-left:0pt;margin-top:-93.55pt;width:470.55pt;height:187.1pt" coordorigin="0,-1871" coordsize="9411,3742">
                <v:shape id="shape_0" ID="Connector 31" path="m0,0l-2147483648,-2147483647e" stroked="t" o:allowincell="f" style="position:absolute;left:9410;top:-1812;width:0;height:3621;mso-wrap-style:none;v-text-anchor:middle;mso-position-vertical:center" type="_x0000_t32">
                  <v:fill o:detectmouseclick="t" on="false"/>
                  <v:stroke color="#c00000" weight="284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1.3.2-rasm. AQShda tezkor tuzatuvchi choralar tizimining kapital chegaralari</w:t>
      </w:r>
    </w:p>
    <w:p>
      <w:pPr>
        <w:pStyle w:val="BodyText"/>
        <w:spacing w:lineRule="auto" w:line="360" w:before="0" w:after="0"/>
        <w:ind w:firstLine="709"/>
        <w:jc w:val="both"/>
        <w:rPr/>
      </w:pPr>
      <w:r>
        <w:rPr>
          <w:rFonts w:eastAsia="Times New Roman" w:cs="Times New Roman"/>
          <w:sz w:val="28"/>
        </w:rPr>
        <w:t>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 Muallif fikricha, baholash natijasini nazorat qarori bilan avtomatik bog‘lash tamoyili O‘zbekiston uchun PCA tizimining eng qimmatli jihati hisoblanadi.</w:t>
      </w:r>
    </w:p>
    <w:p>
      <w:pPr>
        <w:pStyle w:val="BodyText"/>
        <w:spacing w:lineRule="auto" w:line="360" w:before="0" w:after="0"/>
        <w:ind w:firstLine="709"/>
        <w:jc w:val="both"/>
        <w:rPr/>
      </w:pPr>
      <w:r>
        <w:rPr>
          <w:rFonts w:eastAsia="Times New Roman" w:cs="Times New Roman"/>
          <w:sz w:val="28"/>
        </w:rP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 (1.3.3-rasm).</w:t>
      </w:r>
    </w:p>
    <w:p>
      <w:pPr>
        <w:pStyle w:val="BodyText"/>
        <w:keepNext w:val="true"/>
        <w:spacing w:lineRule="auto" w:line="240" w:before="0" w:after="0"/>
        <w:ind w:hanging="0"/>
        <w:jc w:val="center"/>
        <w:rPr/>
      </w:pPr>
      <w:r>
        <w:rPr/>
        <w:drawing>
          <wp:inline distT="0" distB="0" distL="0" distR="0">
            <wp:extent cx="5760085" cy="2879725"/>
            <wp:effectExtent l="0" t="0" r="0" b="0"/>
            <wp:docPr id="178" name="1.3.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pPr>
        <w:pStyle w:val="BodyText"/>
        <w:spacing w:lineRule="auto" w:line="240" w:before="120" w:after="240"/>
        <w:ind w:hanging="0"/>
        <w:jc w:val="center"/>
        <w:rPr/>
      </w:pPr>
      <w:r>
        <w:rPr>
          <w:rFonts w:eastAsia="Times New Roman" w:cs="Times New Roman"/>
          <w:b/>
          <w:sz w:val="28"/>
        </w:rPr>
        <w:t>1.3.3-rasm. AQShda FIMS va UBSS modellarining bashorat aniqligi, %</w:t>
      </w:r>
    </w:p>
    <w:p>
      <w:pPr>
        <w:pStyle w:val="BodyText"/>
        <w:spacing w:lineRule="auto" w:line="360" w:before="0" w:after="0"/>
        <w:ind w:firstLine="709"/>
        <w:jc w:val="both"/>
        <w:rPr/>
      </w:pPr>
      <w:r>
        <w:rPr>
          <w:rFonts w:eastAsia="Times New Roman" w:cs="Times New Roman"/>
          <w:sz w:val="28"/>
        </w:rPr>
        <w:t>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Rule="auto" w:line="360" w:before="0" w:after="0"/>
        <w:ind w:firstLine="709"/>
        <w:jc w:val="both"/>
        <w:rPr/>
      </w:pPr>
      <w:r>
        <w:rPr>
          <w:rFonts w:eastAsia="Times New Roman" w:cs="Times New Roman"/>
          <w:sz w:val="28"/>
        </w:rP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 Shu tariqa AQSh nazorati yopiq baholashdan ochiq baholashga qarab qadam qo‘ydi va bozor intizomini nazorat vositasi sifatida ishga soldi.</w:t>
      </w:r>
    </w:p>
    <w:p>
      <w:pPr>
        <w:pStyle w:val="BodyText"/>
        <w:spacing w:lineRule="auto" w:line="360" w:before="0" w:after="0"/>
        <w:ind w:firstLine="709"/>
        <w:jc w:val="both"/>
        <w:rPr/>
      </w:pPr>
      <w:r>
        <w:rPr>
          <w:rFonts w:eastAsia="Times New Roman" w:cs="Times New Roman"/>
          <w:sz w:val="28"/>
        </w:rP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 Stress-testlar ham isloh qilindi: 2026-yil sentabrida qabul qilingan qoidalarga ko‘ra, ssenariylar va modellar har yili jamoatchilik muhokamasiga qo‘yiladi, stress-test asosidagi kapital buferi esa ikki yillik natijalarning o‘rtachasi bo‘yicha belgilanadi. Nihoyat, 2026-yil martida Bazel III ning yakuniy standartlarini joriy etish bo‘yicha qayta ishlangan takliflar e’lon qilindi; ular faqat eng yirik banklarga tatbiq etilishi va umumiy kapital talablarini biroz pasaytirishi kutilmoqda. Ushbu islohotlar baholash natijasini nazorat qarori bilan bog‘lash tamoyili saqlanib qolgan holda, uning mezonlari moliyaviy ko‘rsatkichlarga ko‘proq tayanadigan bo‘lib borayotganini ko‘rsatadi.</w:t>
      </w:r>
    </w:p>
    <w:p>
      <w:pPr>
        <w:pStyle w:val="BodyText"/>
        <w:spacing w:lineRule="auto" w:line="360" w:before="0" w:after="0"/>
        <w:ind w:firstLine="709"/>
        <w:jc w:val="both"/>
        <w:rPr/>
      </w:pPr>
      <w:r>
        <w:rPr>
          <w:rFonts w:eastAsia="Times New Roman" w:cs="Times New Roman"/>
          <w:sz w:val="28"/>
        </w:rP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 Bu xulosa davlat dasturlari bo‘yicha kreditlash ulushi yuqori bo‘lgan O‘zbekiston bank tizimi uchun ham dolzarbdir, chunki ijtimoiy maqsadlardagi kreditlash bank barqarorligi ko‘rsatkichlariga ta’sir qilmay qolmaydi.</w:t>
      </w:r>
    </w:p>
    <w:p>
      <w:pPr>
        <w:pStyle w:val="BodyText"/>
        <w:spacing w:lineRule="auto" w:line="360" w:before="0" w:after="0"/>
        <w:ind w:firstLine="709"/>
        <w:jc w:val="both"/>
        <w:rPr/>
      </w:pPr>
      <w:r>
        <w:rPr>
          <w:rFonts w:eastAsia="Times New Roman" w:cs="Times New Roman"/>
          <w:sz w:val="28"/>
        </w:rPr>
        <w:t>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 Keyinchalik joriy etilgan RATE tizimi CAMEL-B omillari (kapital, aktivlar, bozor riski, foyda, majburiyatlar, biznes) va COM omillari (nazorat, tashkiliy tuzilma, boshqaruv) asosida yagona ball chiqaradi, nazorat davri esa 6 oydan 3 yilgacha belgilanadi. Britaniya tizimining eng muhim xususiyati shundaki, bankning risk darajasi va undagi nazorat sifati bir matritsada birlashtirilib, nazorat intensivligi shu matritsa asosida belgilanadi (1.3.4-rasm).</w:t>
      </w:r>
    </w:p>
    <w:p>
      <w:pPr>
        <w:pStyle w:val="BodyText"/>
        <w:keepNext w:val="true"/>
        <w:spacing w:lineRule="auto" w:line="240" w:before="0" w:after="0"/>
        <w:ind w:hanging="0"/>
        <w:jc w:val="center"/>
        <w:rPr/>
      </w:pPr>
      <w:r>
        <w:rPr/>
        <mc:AlternateContent>
          <mc:Choice Requires="wpg">
            <w:drawing>
              <wp:inline distT="0" distB="0" distL="0" distR="0">
                <wp:extent cx="5904230" cy="2447925"/>
                <wp:effectExtent l="0" t="0" r="0" b="0"/>
                <wp:docPr id="179" name="1.3.4-rasm"/>
                <a:graphic xmlns:a="http://schemas.openxmlformats.org/drawingml/2006/main">
                  <a:graphicData uri="http://schemas.microsoft.com/office/word/2010/wordprocessingGroup">
                    <wpg:wgp>
                      <wpg:cNvGrpSpPr/>
                      <wpg:grpSpPr>
                        <a:xfrm>
                          <a:off x="0" y="0"/>
                          <a:ext cx="5904360" cy="2448000"/>
                          <a:chOff x="0" y="0"/>
                          <a:chExt cx="5904360" cy="2448000"/>
                        </a:xfrm>
                      </wpg:grpSpPr>
                      <wps:wsp>
                        <wps:cNvPr id="180" name="Shape 32"/>
                        <wps:cNvSpPr/>
                        <wps:spPr>
                          <a:xfrm>
                            <a:off x="0" y="320040"/>
                            <a:ext cx="843120" cy="2070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19"/>
                                  <w:szCs w:val="19"/>
                                </w:rPr>
                                <w:t>Risk darajasi</w:t>
                              </w:r>
                            </w:p>
                            <w:p>
                              <w:pPr>
                                <w:pStyle w:val="FrameContents"/>
                                <w:spacing w:before="0" w:after="200"/>
                                <w:rPr/>
                              </w:pPr>
                              <w:r>
                                <w:rPr/>
                              </w:r>
                            </w:p>
                          </w:txbxContent>
                        </wps:txbx>
                        <wps:bodyPr lIns="36360" rIns="36360" tIns="17640" bIns="17640" anchor="ctr">
                          <a:noAutofit/>
                        </wps:bodyPr>
                      </wps:wsp>
                      <wps:wsp>
                        <wps:cNvPr id="181" name="Shape 33"/>
                        <wps:cNvSpPr/>
                        <wps:spPr>
                          <a:xfrm>
                            <a:off x="880200" y="0"/>
                            <a:ext cx="5024160" cy="2628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Ichki nazorat sifati</w:t>
                              </w:r>
                            </w:p>
                            <w:p>
                              <w:pPr>
                                <w:pStyle w:val="FrameContents"/>
                                <w:spacing w:before="0" w:after="200"/>
                                <w:rPr/>
                              </w:pPr>
                              <w:r>
                                <w:rPr/>
                              </w:r>
                            </w:p>
                          </w:txbxContent>
                        </wps:txbx>
                        <wps:bodyPr lIns="36360" rIns="36360" tIns="17640" bIns="17640" anchor="ctr">
                          <a:noAutofit/>
                        </wps:bodyPr>
                      </wps:wsp>
                      <wps:wsp>
                        <wps:cNvPr id="182" name="Shape 34"/>
                        <wps:cNvSpPr/>
                        <wps:spPr>
                          <a:xfrm>
                            <a:off x="880200" y="320040"/>
                            <a:ext cx="2493000" cy="20700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Yuqori</w:t>
                              </w:r>
                            </w:p>
                            <w:p>
                              <w:pPr>
                                <w:pStyle w:val="FrameContents"/>
                                <w:spacing w:before="0" w:after="200"/>
                                <w:rPr/>
                              </w:pPr>
                              <w:r>
                                <w:rPr/>
                              </w:r>
                            </w:p>
                          </w:txbxContent>
                        </wps:txbx>
                        <wps:bodyPr lIns="36360" rIns="36360" tIns="17640" bIns="17640" anchor="ctr">
                          <a:noAutofit/>
                        </wps:bodyPr>
                      </wps:wsp>
                      <wps:wsp>
                        <wps:cNvPr id="183" name="Shape 35"/>
                        <wps:cNvSpPr/>
                        <wps:spPr>
                          <a:xfrm>
                            <a:off x="3410640" y="320040"/>
                            <a:ext cx="2493720" cy="20700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Past</w:t>
                              </w:r>
                            </w:p>
                            <w:p>
                              <w:pPr>
                                <w:pStyle w:val="FrameContents"/>
                                <w:spacing w:before="0" w:after="200"/>
                                <w:rPr/>
                              </w:pPr>
                              <w:r>
                                <w:rPr/>
                              </w:r>
                            </w:p>
                          </w:txbxContent>
                        </wps:txbx>
                        <wps:bodyPr lIns="36360" rIns="36360" tIns="17640" bIns="17640" anchor="ctr">
                          <a:noAutofit/>
                        </wps:bodyPr>
                      </wps:wsp>
                      <wps:wsp>
                        <wps:cNvPr id="184" name="Shape 36"/>
                        <wps:cNvSpPr/>
                        <wps:spPr>
                          <a:xfrm>
                            <a:off x="880200" y="564480"/>
                            <a:ext cx="2493000" cy="92268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FFFFFF"/>
                                  <w:sz w:val="22"/>
                                  <w:szCs w:val="22"/>
                                </w:rPr>
                                <w:t>A</w:t>
                              </w:r>
                            </w:p>
                            <w:p>
                              <w:pPr>
                                <w:pStyle w:val="Normal"/>
                                <w:spacing w:lineRule="auto" w:line="228" w:before="0" w:after="0"/>
                                <w:ind w:hanging="0"/>
                                <w:jc w:val="center"/>
                                <w:rPr/>
                              </w:pPr>
                              <w:r>
                                <w:rPr>
                                  <w:rFonts w:cs="Times New Roman"/>
                                  <w:color w:val="FFFFFF"/>
                                  <w:sz w:val="22"/>
                                  <w:szCs w:val="22"/>
                                </w:rPr>
                                <w:t>Tekshiruv davri:</w:t>
                              </w:r>
                            </w:p>
                            <w:p>
                              <w:pPr>
                                <w:pStyle w:val="Normal"/>
                                <w:spacing w:lineRule="auto" w:line="228" w:before="0" w:after="0"/>
                                <w:ind w:hanging="0"/>
                                <w:jc w:val="center"/>
                                <w:rPr/>
                              </w:pPr>
                              <w:r>
                                <w:rPr>
                                  <w:rFonts w:cs="Times New Roman"/>
                                  <w:color w:val="FFFFFF"/>
                                  <w:sz w:val="22"/>
                                  <w:szCs w:val="22"/>
                                </w:rPr>
                                <w:t>18–24 oy</w:t>
                              </w:r>
                            </w:p>
                            <w:p>
                              <w:pPr>
                                <w:pStyle w:val="FrameContents"/>
                                <w:spacing w:before="0" w:after="200"/>
                                <w:rPr/>
                              </w:pPr>
                              <w:r>
                                <w:rPr/>
                              </w:r>
                            </w:p>
                          </w:txbxContent>
                        </wps:txbx>
                        <wps:bodyPr lIns="36360" rIns="36360" tIns="17640" bIns="17640" anchor="ctr">
                          <a:noAutofit/>
                        </wps:bodyPr>
                      </wps:wsp>
                      <wps:wsp>
                        <wps:cNvPr id="185" name="Shape 37"/>
                        <wps:cNvSpPr/>
                        <wps:spPr>
                          <a:xfrm>
                            <a:off x="3410640" y="564480"/>
                            <a:ext cx="2493720" cy="92268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B</w:t>
                              </w:r>
                            </w:p>
                            <w:p>
                              <w:pPr>
                                <w:pStyle w:val="Normal"/>
                                <w:spacing w:lineRule="auto" w:line="228" w:before="0" w:after="0"/>
                                <w:ind w:hanging="0"/>
                                <w:jc w:val="center"/>
                                <w:rPr/>
                              </w:pPr>
                              <w:r>
                                <w:rPr>
                                  <w:rFonts w:cs="Times New Roman"/>
                                  <w:color w:val="000000"/>
                                  <w:sz w:val="22"/>
                                  <w:szCs w:val="22"/>
                                </w:rPr>
                                <w:t>Tekshiruv davri:</w:t>
                              </w:r>
                            </w:p>
                            <w:p>
                              <w:pPr>
                                <w:pStyle w:val="Normal"/>
                                <w:spacing w:lineRule="auto" w:line="228" w:before="0" w:after="0"/>
                                <w:ind w:hanging="0"/>
                                <w:jc w:val="center"/>
                                <w:rPr/>
                              </w:pPr>
                              <w:r>
                                <w:rPr>
                                  <w:rFonts w:cs="Times New Roman"/>
                                  <w:color w:val="000000"/>
                                  <w:sz w:val="22"/>
                                  <w:szCs w:val="22"/>
                                </w:rPr>
                                <w:t>12–18 oy</w:t>
                              </w:r>
                            </w:p>
                            <w:p>
                              <w:pPr>
                                <w:pStyle w:val="FrameContents"/>
                                <w:spacing w:before="0" w:after="200"/>
                                <w:rPr/>
                              </w:pPr>
                              <w:r>
                                <w:rPr/>
                              </w:r>
                            </w:p>
                          </w:txbxContent>
                        </wps:txbx>
                        <wps:bodyPr lIns="36360" rIns="36360" tIns="17640" bIns="17640" anchor="ctr">
                          <a:noAutofit/>
                        </wps:bodyPr>
                      </wps:wsp>
                      <wps:wsp>
                        <wps:cNvPr id="186" name="Shape 38"/>
                        <wps:cNvSpPr/>
                        <wps:spPr>
                          <a:xfrm>
                            <a:off x="0" y="564480"/>
                            <a:ext cx="843120" cy="92268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19"/>
                                  <w:szCs w:val="19"/>
                                </w:rPr>
                                <w:t>Past</w:t>
                              </w:r>
                            </w:p>
                            <w:p>
                              <w:pPr>
                                <w:pStyle w:val="FrameContents"/>
                                <w:spacing w:before="0" w:after="200"/>
                                <w:rPr/>
                              </w:pPr>
                              <w:r>
                                <w:rPr/>
                              </w:r>
                            </w:p>
                          </w:txbxContent>
                        </wps:txbx>
                        <wps:bodyPr lIns="36360" rIns="36360" tIns="17640" bIns="17640" anchor="ctr">
                          <a:noAutofit/>
                        </wps:bodyPr>
                      </wps:wsp>
                      <wps:wsp>
                        <wps:cNvPr id="187" name="Shape 39"/>
                        <wps:cNvSpPr/>
                        <wps:spPr>
                          <a:xfrm>
                            <a:off x="880200" y="1526040"/>
                            <a:ext cx="2493000" cy="92196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2"/>
                                  <w:szCs w:val="22"/>
                                </w:rPr>
                                <w:t>C</w:t>
                              </w:r>
                            </w:p>
                            <w:p>
                              <w:pPr>
                                <w:pStyle w:val="Normal"/>
                                <w:spacing w:lineRule="auto" w:line="228" w:before="0" w:after="0"/>
                                <w:ind w:hanging="0"/>
                                <w:jc w:val="center"/>
                                <w:rPr/>
                              </w:pPr>
                              <w:r>
                                <w:rPr>
                                  <w:rFonts w:cs="Times New Roman"/>
                                  <w:color w:val="000000"/>
                                  <w:sz w:val="22"/>
                                  <w:szCs w:val="22"/>
                                </w:rPr>
                                <w:t>Tekshiruv davri:</w:t>
                              </w:r>
                            </w:p>
                            <w:p>
                              <w:pPr>
                                <w:pStyle w:val="Normal"/>
                                <w:spacing w:lineRule="auto" w:line="228" w:before="0" w:after="0"/>
                                <w:ind w:hanging="0"/>
                                <w:jc w:val="center"/>
                                <w:rPr/>
                              </w:pPr>
                              <w:r>
                                <w:rPr>
                                  <w:rFonts w:cs="Times New Roman"/>
                                  <w:color w:val="000000"/>
                                  <w:sz w:val="22"/>
                                  <w:szCs w:val="22"/>
                                </w:rPr>
                                <w:t>6–12 oy</w:t>
                              </w:r>
                            </w:p>
                            <w:p>
                              <w:pPr>
                                <w:pStyle w:val="FrameContents"/>
                                <w:spacing w:before="0" w:after="200"/>
                                <w:rPr/>
                              </w:pPr>
                              <w:r>
                                <w:rPr/>
                              </w:r>
                            </w:p>
                          </w:txbxContent>
                        </wps:txbx>
                        <wps:bodyPr lIns="36360" rIns="36360" tIns="17640" bIns="17640" anchor="ctr">
                          <a:noAutofit/>
                        </wps:bodyPr>
                      </wps:wsp>
                      <wps:wsp>
                        <wps:cNvPr id="188" name="Shape 40"/>
                        <wps:cNvSpPr/>
                        <wps:spPr>
                          <a:xfrm>
                            <a:off x="3410640" y="1526040"/>
                            <a:ext cx="2493720" cy="92196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FFFFFF"/>
                                  <w:sz w:val="22"/>
                                  <w:szCs w:val="22"/>
                                </w:rPr>
                                <w:t>D</w:t>
                              </w:r>
                            </w:p>
                            <w:p>
                              <w:pPr>
                                <w:pStyle w:val="Normal"/>
                                <w:spacing w:lineRule="auto" w:line="228" w:before="0" w:after="0"/>
                                <w:ind w:hanging="0"/>
                                <w:jc w:val="center"/>
                                <w:rPr/>
                              </w:pPr>
                              <w:r>
                                <w:rPr>
                                  <w:rFonts w:cs="Times New Roman"/>
                                  <w:color w:val="FFFFFF"/>
                                  <w:sz w:val="22"/>
                                  <w:szCs w:val="22"/>
                                </w:rPr>
                                <w:t>Tekshiruv davri:</w:t>
                              </w:r>
                            </w:p>
                            <w:p>
                              <w:pPr>
                                <w:pStyle w:val="Normal"/>
                                <w:spacing w:lineRule="auto" w:line="228" w:before="0" w:after="0"/>
                                <w:ind w:hanging="0"/>
                                <w:jc w:val="center"/>
                                <w:rPr/>
                              </w:pPr>
                              <w:r>
                                <w:rPr>
                                  <w:rFonts w:cs="Times New Roman"/>
                                  <w:color w:val="FFFFFF"/>
                                  <w:sz w:val="22"/>
                                  <w:szCs w:val="22"/>
                                </w:rPr>
                                <w:t>taxminan 1 yil va</w:t>
                              </w:r>
                            </w:p>
                            <w:p>
                              <w:pPr>
                                <w:pStyle w:val="Normal"/>
                                <w:spacing w:lineRule="auto" w:line="228" w:before="0" w:after="0"/>
                                <w:ind w:hanging="0"/>
                                <w:jc w:val="center"/>
                                <w:rPr/>
                              </w:pPr>
                              <w:r>
                                <w:rPr>
                                  <w:rFonts w:cs="Times New Roman"/>
                                  <w:color w:val="FFFFFF"/>
                                  <w:sz w:val="22"/>
                                  <w:szCs w:val="22"/>
                                </w:rPr>
                                <w:t>qo‘shimcha choralar</w:t>
                              </w:r>
                            </w:p>
                            <w:p>
                              <w:pPr>
                                <w:pStyle w:val="FrameContents"/>
                                <w:spacing w:before="0" w:after="200"/>
                                <w:rPr/>
                              </w:pPr>
                              <w:r>
                                <w:rPr/>
                              </w:r>
                            </w:p>
                          </w:txbxContent>
                        </wps:txbx>
                        <wps:bodyPr lIns="36360" rIns="36360" tIns="17640" bIns="17640" anchor="ctr">
                          <a:noAutofit/>
                        </wps:bodyPr>
                      </wps:wsp>
                      <wps:wsp>
                        <wps:cNvPr id="189" name="Shape 41"/>
                        <wps:cNvSpPr/>
                        <wps:spPr>
                          <a:xfrm>
                            <a:off x="0" y="1526040"/>
                            <a:ext cx="843120" cy="92196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19"/>
                                  <w:szCs w:val="19"/>
                                </w:rPr>
                                <w:t>Yuqori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3.4-rasm" style="position:absolute;margin-left:0pt;margin-top:-96.4pt;width:464.9pt;height:192.75pt" coordorigin="0,-1928" coordsize="9298,3855"/>
            </w:pict>
          </mc:Fallback>
        </mc:AlternateContent>
      </w:r>
    </w:p>
    <w:p>
      <w:pPr>
        <w:pStyle w:val="BodyText"/>
        <w:spacing w:lineRule="auto" w:line="240" w:before="120" w:after="240"/>
        <w:ind w:hanging="0"/>
        <w:jc w:val="center"/>
        <w:rPr/>
      </w:pPr>
      <w:r>
        <w:rPr>
          <w:rFonts w:eastAsia="Times New Roman" w:cs="Times New Roman"/>
          <w:b/>
          <w:sz w:val="28"/>
        </w:rPr>
        <w:t>1.3.4-rasm. Angliya bankining BAITE tizimida risk va nazorat matritsasi</w:t>
      </w:r>
    </w:p>
    <w:p>
      <w:pPr>
        <w:pStyle w:val="BodyText"/>
        <w:spacing w:lineRule="auto" w:line="360" w:before="0" w:after="0"/>
        <w:ind w:firstLine="709"/>
        <w:jc w:val="both"/>
        <w:rPr/>
      </w:pPr>
      <w:r>
        <w:rPr>
          <w:rFonts w:eastAsia="Times New Roman" w:cs="Times New Roman"/>
          <w:sz w:val="28"/>
        </w:rP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Rule="auto" w:line="360" w:before="0" w:after="0"/>
        <w:ind w:firstLine="709"/>
        <w:jc w:val="both"/>
        <w:rPr/>
      </w:pPr>
      <w:r>
        <w:rPr>
          <w:rFonts w:eastAsia="Times New Roman" w:cs="Times New Roman"/>
          <w:sz w:val="28"/>
        </w:rPr>
        <w:t>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Rule="auto" w:line="360" w:before="0" w:after="0"/>
        <w:ind w:firstLine="709"/>
        <w:jc w:val="both"/>
        <w:rPr/>
      </w:pPr>
      <w:r>
        <w:rPr>
          <w:rFonts w:eastAsia="Times New Roman" w:cs="Times New Roman"/>
          <w:sz w:val="28"/>
        </w:rP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 Italiyada esa 1993-yildan PATROL tizimi masofaviy nazorat va reyting baholash uchun ishlatiladi.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 Holbuki, bunday rentabellikka qisqa muddatda erishib bo‘lmaydi. Demak, kapital talablarini oshirishda bankning foyda olish salohiyati ham hisobga olinishi zarur.</w:t>
      </w:r>
    </w:p>
    <w:p>
      <w:pPr>
        <w:pStyle w:val="BodyText"/>
        <w:spacing w:lineRule="auto" w:line="360" w:before="0" w:after="0"/>
        <w:ind w:firstLine="709"/>
        <w:jc w:val="both"/>
        <w:rPr/>
      </w:pPr>
      <w:r>
        <w:rPr>
          <w:rFonts w:eastAsia="Times New Roman" w:cs="Times New Roman"/>
          <w:sz w:val="28"/>
        </w:rPr>
        <w:t>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p>
    <w:p>
      <w:pPr>
        <w:pStyle w:val="BodyText"/>
        <w:spacing w:lineRule="auto" w:line="360" w:before="0" w:after="0"/>
        <w:ind w:firstLine="709"/>
        <w:jc w:val="both"/>
        <w:rPr/>
      </w:pPr>
      <w:r>
        <w:rPr>
          <w:rFonts w:eastAsia="Times New Roman" w:cs="Times New Roman"/>
          <w:sz w:val="28"/>
        </w:rP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Rule="auto" w:line="360" w:before="0" w:after="0"/>
        <w:ind w:firstLine="709"/>
        <w:jc w:val="both"/>
        <w:rPr/>
      </w:pPr>
      <w:r>
        <w:rPr>
          <w:rFonts w:eastAsia="Times New Roman" w:cs="Times New Roman"/>
          <w:sz w:val="28"/>
        </w:rPr>
        <w:t>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 Indikatorlar to‘rt blokka – kapital yetarliligi, aktivlar sifati, rentabellik va balans tuzilmasiga ajratilgan bo‘lib, ular asosida 11 ta risk omilini aks ettiruvchi «risklar paneli» shakllantiriladi. Shunday qilib, Yevropa Ittifoqida baholash natijalari nazorat organining ichki hujjati bo‘lib qolmasdan, bozor ishtirokchilari foydalanishi mumkin bo‘lgan ochiq axborotga aylangan.</w:t>
      </w:r>
    </w:p>
    <w:p>
      <w:pPr>
        <w:pStyle w:val="BodyText"/>
        <w:spacing w:lineRule="auto" w:line="360" w:before="0" w:after="0"/>
        <w:ind w:firstLine="709"/>
        <w:jc w:val="both"/>
        <w:rPr/>
      </w:pPr>
      <w:r>
        <w:rPr>
          <w:rFonts w:eastAsia="Times New Roman" w:cs="Times New Roman"/>
          <w:sz w:val="28"/>
        </w:rP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 Mualliflar eng maqbul yondashuv sifatida qat’iy bazaviy qoidani va unga qo‘shiladigan, vaziyatga qarab o‘zgartiriladigan diskretsion vositalarni ko‘rsatadi.</w:t>
      </w:r>
    </w:p>
    <w:p>
      <w:pPr>
        <w:pStyle w:val="BodyText"/>
        <w:spacing w:lineRule="auto" w:line="360" w:before="0" w:after="0"/>
        <w:ind w:firstLine="709"/>
        <w:jc w:val="both"/>
        <w:rPr/>
      </w:pPr>
      <w:r>
        <w:rPr>
          <w:rFonts w:eastAsia="Times New Roman" w:cs="Times New Roman"/>
          <w:sz w:val="28"/>
        </w:rP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 Buyuk Britaniyada bu standartlar 2027-yil 1-yanvardan kuchga kiradi.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 Bu natijalar ham har bir bank kesimida ochiq e’lon qilinadi.</w:t>
      </w:r>
    </w:p>
    <w:p>
      <w:pPr>
        <w:pStyle w:val="BodyText"/>
        <w:spacing w:lineRule="auto" w:line="360" w:before="0" w:after="0"/>
        <w:ind w:firstLine="709"/>
        <w:jc w:val="both"/>
        <w:rPr/>
      </w:pPr>
      <w:r>
        <w:rPr>
          <w:rFonts w:eastAsia="Times New Roman" w:cs="Times New Roman"/>
          <w:sz w:val="28"/>
        </w:rPr>
        <w:t>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val="true"/>
        <w:spacing w:lineRule="auto" w:line="360" w:before="120" w:after="0"/>
        <w:ind w:hanging="0"/>
        <w:jc w:val="right"/>
        <w:rPr/>
      </w:pPr>
      <w:r>
        <w:rPr>
          <w:rFonts w:eastAsia="Times New Roman" w:cs="Times New Roman"/>
          <w:i/>
          <w:sz w:val="28"/>
        </w:rPr>
        <w:t>1.3.2-jadval</w:t>
      </w:r>
    </w:p>
    <w:p>
      <w:pPr>
        <w:pStyle w:val="BodyText"/>
        <w:keepNext w:val="true"/>
        <w:spacing w:lineRule="auto" w:line="240" w:before="0" w:after="120"/>
        <w:ind w:hanging="0"/>
        <w:jc w:val="center"/>
        <w:rPr/>
      </w:pPr>
      <w:r>
        <w:rPr>
          <w:rFonts w:eastAsia="Times New Roman" w:cs="Times New Roman"/>
          <w:b/>
          <w:bCs/>
          <w:sz w:val="28"/>
        </w:rPr>
        <w:t>Rossiya bankining banklar moliyaviy barqarorligini baholash tizimi evolyutsiyasi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229"/>
        <w:gridCol w:w="3230"/>
        <w:gridCol w:w="3230"/>
      </w:tblGrid>
      <w:tr>
        <w:trPr>
          <w:tblHeader w:val="true"/>
          <w:cantSplit w:val="true"/>
        </w:trPr>
        <w:tc>
          <w:tcPr>
            <w:tcW w:w="3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Yil</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Hujjat</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Mazmuni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1995</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15-3-3/668-son xat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CAMEL ga asoslangan, 4 parametr</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1997</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457-son xat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Ikki toifa va ikki guruh; 2601 bankdan 852 tasi (32,8%) barqaror, 1052 tasi (40,4%) muammoli deb topilgan</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2000</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766-U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Asoslangan mulohaza tamoyili joriy etildi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2004</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1379-U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Omonatlarni sug‘urtalash tizimiga qabul qilish uchun: 4 ballik shkala, vaznlar, yig‘ma ball, boshqaruv sifati bloki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2008</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2005-U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 guruh; 12 oylik prognoz; strategik risk bloki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2017</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4336-U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Amaldagi tizim; guruhlarga qarab tabaqalashtirilgan nazorat rejimlari</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2025</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qisqa muddatli likvidlik normativi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LCR o‘rniga tizimli banklar uchun milliy normativ; real stress darajasi va kengroq likvid aktivlar</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7302-U ko‘rsatma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4336-U ko‘rsatmaga o‘zgartirishlar, jumladan, ochiq valyuta pozitsiyasi limitlarini buzish bahosi</w:t>
            </w:r>
          </w:p>
        </w:tc>
      </w:tr>
    </w:tbl>
    <w:p>
      <w:pPr>
        <w:pStyle w:val="BodyText"/>
        <w:spacing w:lineRule="auto" w:line="360" w:before="0" w:after="0"/>
        <w:ind w:firstLine="709"/>
        <w:jc w:val="both"/>
        <w:rPr/>
      </w:pPr>
      <w:r>
        <w:rPr>
          <w:rFonts w:eastAsia="Times New Roman" w:cs="Times New Roman"/>
          <w:sz w:val="28"/>
        </w:rP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Rule="auto" w:line="360" w:before="0" w:after="0"/>
        <w:ind w:firstLine="709"/>
        <w:jc w:val="both"/>
        <w:rPr/>
      </w:pPr>
      <w:r>
        <w:rPr>
          <w:rFonts w:eastAsia="Times New Roman" w:cs="Times New Roman"/>
          <w:sz w:val="28"/>
        </w:rPr>
        <w:t>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 Bundan tashqari, komponentlar bir-biri bilan bog‘lanmagan holda baholanadi, holbuki amalda kapital, likvidlik va aktivlar sifati o‘zaro chambarchas bog‘liq.</w:t>
      </w:r>
    </w:p>
    <w:p>
      <w:pPr>
        <w:pStyle w:val="BodyText"/>
        <w:spacing w:lineRule="auto" w:line="360" w:before="0" w:after="0"/>
        <w:ind w:firstLine="709"/>
        <w:jc w:val="both"/>
        <w:rPr/>
      </w:pPr>
      <w:r>
        <w:rPr>
          <w:rFonts w:eastAsia="Times New Roman" w:cs="Times New Roman"/>
          <w:sz w:val="28"/>
        </w:rP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 Bu jarayon 2019-yilda yakunlanmadi, balki keyingi yillarda ham davom etdi. Shu sababli islohotning boshlanishini ham, davomini ham Bazel qo‘mitasining standart jadvali va O‘zbekiston tajribasi bilan solishtirish maqsadga muvofiq (1.3.5-rasm).</w:t>
      </w:r>
    </w:p>
    <w:p>
      <w:pPr>
        <w:pStyle w:val="BodyText"/>
        <w:keepNext w:val="true"/>
        <w:spacing w:lineRule="auto" w:line="240" w:before="0" w:after="0"/>
        <w:ind w:hanging="0"/>
        <w:jc w:val="center"/>
        <w:rPr/>
      </w:pPr>
      <w:r>
        <w:rPr/>
        <w:drawing>
          <wp:inline distT="0" distB="0" distL="0" distR="0">
            <wp:extent cx="5760085" cy="2879725"/>
            <wp:effectExtent l="0" t="0" r="0" b="0"/>
            <wp:docPr id="190" name="1.3.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pPr>
        <w:pStyle w:val="BodyText"/>
        <w:spacing w:lineRule="auto" w:line="240" w:before="120" w:after="240"/>
        <w:ind w:hanging="0"/>
        <w:jc w:val="center"/>
        <w:rPr/>
      </w:pPr>
      <w:r>
        <w:rPr>
          <w:rFonts w:eastAsia="Times New Roman" w:cs="Times New Roman"/>
          <w:b/>
          <w:sz w:val="28"/>
        </w:rPr>
        <w:t>1.3.5-rasm. Likvidlikni qoplash koeffitsiyentiga qo‘yiladigan talablar: islohotning boshlanishi va davomi, %</w:t>
      </w:r>
    </w:p>
    <w:p>
      <w:pPr>
        <w:pStyle w:val="BodyText"/>
        <w:spacing w:lineRule="auto" w:line="360" w:before="0" w:after="0"/>
        <w:ind w:firstLine="709"/>
        <w:jc w:val="both"/>
        <w:rPr/>
      </w:pPr>
      <w:r>
        <w:rPr>
          <w:rFonts w:eastAsia="Times New Roman" w:cs="Times New Roman"/>
          <w:sz w:val="28"/>
        </w:rP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 Bu holat xalqaro standartni joriy etishdan oldin milliy moliya bozorining unga tayyorligini baholash zarurligini yaqqol ko‘rsatadi.</w:t>
      </w:r>
    </w:p>
    <w:p>
      <w:pPr>
        <w:pStyle w:val="BodyText"/>
        <w:spacing w:lineRule="auto" w:line="360" w:before="0" w:after="0"/>
        <w:ind w:firstLine="709"/>
        <w:jc w:val="both"/>
        <w:rPr/>
      </w:pPr>
      <w:r>
        <w:rPr>
          <w:rFonts w:eastAsia="Times New Roman" w:cs="Times New Roman"/>
          <w:sz w:val="28"/>
        </w:rPr>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 Bazel qo‘mitasi ham 2023-yilgi AQSh bank inqirozidan keyin raqamli kanallar orqali omonatlarning tez chiqib ketishi likvidlik koeffitsiyentining farazlarida to‘liq aks etmaganini qayd etib, bu standartni qayta ko‘rib chiqish masalasini kun tartibiga qo‘ydi.</w:t>
      </w:r>
    </w:p>
    <w:p>
      <w:pPr>
        <w:pStyle w:val="BodyText"/>
        <w:spacing w:lineRule="auto" w:line="360" w:before="0" w:after="0"/>
        <w:ind w:firstLine="709"/>
        <w:jc w:val="both"/>
        <w:rPr/>
      </w:pPr>
      <w:r>
        <w:rPr>
          <w:rFonts w:eastAsia="Times New Roman" w:cs="Times New Roman"/>
          <w:sz w:val="28"/>
        </w:rPr>
        <w:t>Shu bilan birga, Rossiya bankining 3883-U ko‘rsatmasi bilan ichki kapital yetarliligini baholash jarayoni joriy etildi. Mualliflar uni avval aktivlari 500 mlrd rubldan oshgan banklarda, keyin esa boshqa banklarda bosqichma-bosqich joriy etishni taklif qilgan. Bunday tabaqalashtirilgan yondashuv kichik banklarga ortiqcha yuk tushishining oldini oladi va O‘zbekistonda ham qo‘llanishi mumkin.</w:t>
      </w:r>
    </w:p>
    <w:p>
      <w:pPr>
        <w:pStyle w:val="BodyText"/>
        <w:spacing w:lineRule="auto" w:line="360" w:before="0" w:after="0"/>
        <w:ind w:firstLine="709"/>
        <w:jc w:val="both"/>
        <w:rPr/>
      </w:pPr>
      <w:r>
        <w:rPr>
          <w:rFonts w:eastAsia="Times New Roman" w:cs="Times New Roman"/>
          <w:sz w:val="28"/>
        </w:rP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p>
    <w:p>
      <w:pPr>
        <w:pStyle w:val="BodyText"/>
        <w:keepNext w:val="true"/>
        <w:spacing w:lineRule="auto" w:line="240" w:before="0" w:after="0"/>
        <w:ind w:hanging="0"/>
        <w:jc w:val="center"/>
        <w:rPr/>
      </w:pPr>
      <w:r>
        <w:rPr/>
        <mc:AlternateContent>
          <mc:Choice Requires="wpg">
            <w:drawing>
              <wp:inline distT="0" distB="0" distL="0" distR="0">
                <wp:extent cx="5904230" cy="1548130"/>
                <wp:effectExtent l="0" t="0" r="0" b="0"/>
                <wp:docPr id="191" name="1.3.6-rasm"/>
                <a:graphic xmlns:a="http://schemas.openxmlformats.org/drawingml/2006/main">
                  <a:graphicData uri="http://schemas.microsoft.com/office/word/2010/wordprocessingGroup">
                    <wpg:wgp>
                      <wpg:cNvGrpSpPr/>
                      <wpg:grpSpPr>
                        <a:xfrm>
                          <a:off x="0" y="0"/>
                          <a:ext cx="5904360" cy="1548000"/>
                          <a:chOff x="0" y="0"/>
                          <a:chExt cx="5904360" cy="1548000"/>
                        </a:xfrm>
                      </wpg:grpSpPr>
                      <wps:wsp>
                        <wps:cNvPr id="192" name="Shape 42"/>
                        <wps:cNvSpPr/>
                        <wps:spPr>
                          <a:xfrm>
                            <a:off x="0" y="0"/>
                            <a:ext cx="1077480" cy="4154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Ssenariylar</w:t>
                              </w:r>
                            </w:p>
                            <w:p>
                              <w:pPr>
                                <w:pStyle w:val="FrameContents"/>
                                <w:spacing w:before="0" w:after="200"/>
                                <w:rPr/>
                              </w:pPr>
                              <w:r>
                                <w:rPr/>
                              </w:r>
                            </w:p>
                          </w:txbxContent>
                        </wps:txbx>
                        <wps:bodyPr lIns="36360" rIns="36360" tIns="17640" bIns="17640" anchor="ctr">
                          <a:noAutofit/>
                        </wps:bodyPr>
                      </wps:wsp>
                      <wps:wsp>
                        <wps:cNvPr id="193" name="Shape 43"/>
                        <wps:cNvSpPr/>
                        <wps:spPr>
                          <a:xfrm>
                            <a:off x="0" y="471960"/>
                            <a:ext cx="1077480" cy="754920"/>
                          </a:xfrm>
                          <a:prstGeom prst="roundRect">
                            <a:avLst>
                              <a:gd name="adj" fmla="val 10000"/>
                            </a:avLst>
                          </a:prstGeom>
                          <a:solidFill>
                            <a:srgbClr val="f2f2f2"/>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Bazaviy, salbiy,</w:t>
                              </w:r>
                            </w:p>
                            <w:p>
                              <w:pPr>
                                <w:pStyle w:val="Normal"/>
                                <w:spacing w:lineRule="auto" w:line="228" w:before="0" w:after="0"/>
                                <w:ind w:hanging="0"/>
                                <w:jc w:val="center"/>
                                <w:rPr/>
                              </w:pPr>
                              <w:r>
                                <w:rPr>
                                  <w:rFonts w:cs="Times New Roman"/>
                                  <w:color w:val="000000"/>
                                  <w:sz w:val="18"/>
                                  <w:szCs w:val="18"/>
                                </w:rPr>
                                <w:t>keskin salbiy</w:t>
                              </w:r>
                            </w:p>
                            <w:p>
                              <w:pPr>
                                <w:pStyle w:val="FrameContents"/>
                                <w:spacing w:before="0" w:after="200"/>
                                <w:rPr/>
                              </w:pPr>
                              <w:r>
                                <w:rPr/>
                              </w:r>
                            </w:p>
                          </w:txbxContent>
                        </wps:txbx>
                        <wps:bodyPr lIns="36360" rIns="36360" tIns="17640" bIns="17640" anchor="ctr">
                          <a:noAutofit/>
                        </wps:bodyPr>
                      </wps:wsp>
                      <wps:wsp>
                        <wps:cNvPr id="194" name="Connector 44"/>
                        <wps:cNvSpPr/>
                        <wps:spPr>
                          <a:xfrm>
                            <a:off x="1078200" y="207720"/>
                            <a:ext cx="1270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195" name="Shape 45"/>
                        <wps:cNvSpPr/>
                        <wps:spPr>
                          <a:xfrm>
                            <a:off x="1206360" y="0"/>
                            <a:ext cx="1078200" cy="4154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Makroiqtisodiy</w:t>
                              </w:r>
                            </w:p>
                            <w:p>
                              <w:pPr>
                                <w:pStyle w:val="Normal"/>
                                <w:spacing w:lineRule="auto" w:line="228" w:before="0" w:after="0"/>
                                <w:ind w:hanging="0"/>
                                <w:jc w:val="center"/>
                                <w:rPr/>
                              </w:pPr>
                              <w:r>
                                <w:rPr>
                                  <w:rFonts w:cs="Times New Roman"/>
                                  <w:b/>
                                  <w:color w:val="FFFFFF"/>
                                  <w:sz w:val="20"/>
                                  <w:szCs w:val="20"/>
                                </w:rPr>
                                <w:t>model</w:t>
                              </w:r>
                            </w:p>
                            <w:p>
                              <w:pPr>
                                <w:pStyle w:val="FrameContents"/>
                                <w:spacing w:before="0" w:after="200"/>
                                <w:rPr/>
                              </w:pPr>
                              <w:r>
                                <w:rPr/>
                              </w:r>
                            </w:p>
                          </w:txbxContent>
                        </wps:txbx>
                        <wps:bodyPr lIns="36360" rIns="36360" tIns="17640" bIns="17640" anchor="ctr">
                          <a:noAutofit/>
                        </wps:bodyPr>
                      </wps:wsp>
                      <wps:wsp>
                        <wps:cNvPr id="196" name="Shape 46"/>
                        <wps:cNvSpPr/>
                        <wps:spPr>
                          <a:xfrm>
                            <a:off x="1206360" y="471960"/>
                            <a:ext cx="1078200" cy="75492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YaIM, valyuta kursi,</w:t>
                              </w:r>
                            </w:p>
                            <w:p>
                              <w:pPr>
                                <w:pStyle w:val="Normal"/>
                                <w:spacing w:lineRule="auto" w:line="228" w:before="0" w:after="0"/>
                                <w:ind w:hanging="0"/>
                                <w:jc w:val="center"/>
                                <w:rPr/>
                              </w:pPr>
                              <w:r>
                                <w:rPr>
                                  <w:rFonts w:cs="Times New Roman"/>
                                  <w:color w:val="000000"/>
                                  <w:sz w:val="18"/>
                                  <w:szCs w:val="18"/>
                                </w:rPr>
                                <w:t>inflyatsiya, daromadlar,</w:t>
                              </w:r>
                            </w:p>
                            <w:p>
                              <w:pPr>
                                <w:pStyle w:val="Normal"/>
                                <w:spacing w:lineRule="auto" w:line="228" w:before="0" w:after="0"/>
                                <w:ind w:hanging="0"/>
                                <w:jc w:val="center"/>
                                <w:rPr/>
                              </w:pPr>
                              <w:r>
                                <w:rPr>
                                  <w:rFonts w:cs="Times New Roman"/>
                                  <w:color w:val="000000"/>
                                  <w:sz w:val="18"/>
                                  <w:szCs w:val="18"/>
                                </w:rPr>
                                <w:t>investitsiyalar</w:t>
                              </w:r>
                            </w:p>
                            <w:p>
                              <w:pPr>
                                <w:pStyle w:val="FrameContents"/>
                                <w:spacing w:before="0" w:after="200"/>
                                <w:rPr/>
                              </w:pPr>
                              <w:r>
                                <w:rPr/>
                              </w:r>
                            </w:p>
                          </w:txbxContent>
                        </wps:txbx>
                        <wps:bodyPr lIns="36360" rIns="36360" tIns="17640" bIns="17640" anchor="ctr">
                          <a:noAutofit/>
                        </wps:bodyPr>
                      </wps:wsp>
                      <wps:wsp>
                        <wps:cNvPr id="197" name="Connector 47"/>
                        <wps:cNvSpPr/>
                        <wps:spPr>
                          <a:xfrm>
                            <a:off x="2285280" y="207720"/>
                            <a:ext cx="1270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198" name="Shape 48"/>
                        <wps:cNvSpPr/>
                        <wps:spPr>
                          <a:xfrm>
                            <a:off x="2413080" y="0"/>
                            <a:ext cx="1077480" cy="4154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Bank</w:t>
                              </w:r>
                            </w:p>
                            <w:p>
                              <w:pPr>
                                <w:pStyle w:val="Normal"/>
                                <w:spacing w:lineRule="auto" w:line="228" w:before="0" w:after="0"/>
                                <w:ind w:hanging="0"/>
                                <w:jc w:val="center"/>
                                <w:rPr/>
                              </w:pPr>
                              <w:r>
                                <w:rPr>
                                  <w:rFonts w:cs="Times New Roman"/>
                                  <w:b/>
                                  <w:color w:val="FFFFFF"/>
                                  <w:sz w:val="20"/>
                                  <w:szCs w:val="20"/>
                                </w:rPr>
                                <w:t>ko‘rsatkichlari</w:t>
                              </w:r>
                            </w:p>
                            <w:p>
                              <w:pPr>
                                <w:pStyle w:val="FrameContents"/>
                                <w:spacing w:before="0" w:after="200"/>
                                <w:rPr/>
                              </w:pPr>
                              <w:r>
                                <w:rPr/>
                              </w:r>
                            </w:p>
                          </w:txbxContent>
                        </wps:txbx>
                        <wps:bodyPr lIns="36360" rIns="36360" tIns="17640" bIns="17640" anchor="ctr">
                          <a:noAutofit/>
                        </wps:bodyPr>
                      </wps:wsp>
                      <wps:wsp>
                        <wps:cNvPr id="199" name="Shape 49"/>
                        <wps:cNvSpPr/>
                        <wps:spPr>
                          <a:xfrm>
                            <a:off x="2413080" y="471960"/>
                            <a:ext cx="1077480" cy="7549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Muammoli kreditlar</w:t>
                              </w:r>
                            </w:p>
                            <w:p>
                              <w:pPr>
                                <w:pStyle w:val="Normal"/>
                                <w:spacing w:lineRule="auto" w:line="228" w:before="0" w:after="0"/>
                                <w:ind w:hanging="0"/>
                                <w:jc w:val="center"/>
                                <w:rPr/>
                              </w:pPr>
                              <w:r>
                                <w:rPr>
                                  <w:rFonts w:cs="Times New Roman"/>
                                  <w:color w:val="000000"/>
                                  <w:sz w:val="18"/>
                                  <w:szCs w:val="18"/>
                                </w:rPr>
                                <w:t>ulushi, foiz stavkalari,</w:t>
                              </w:r>
                            </w:p>
                            <w:p>
                              <w:pPr>
                                <w:pStyle w:val="Normal"/>
                                <w:spacing w:lineRule="auto" w:line="228" w:before="0" w:after="0"/>
                                <w:ind w:hanging="0"/>
                                <w:jc w:val="center"/>
                                <w:rPr/>
                              </w:pPr>
                              <w:r>
                                <w:rPr>
                                  <w:rFonts w:cs="Times New Roman"/>
                                  <w:color w:val="000000"/>
                                  <w:sz w:val="18"/>
                                  <w:szCs w:val="18"/>
                                </w:rPr>
                                <w:t>zararlar</w:t>
                              </w:r>
                            </w:p>
                            <w:p>
                              <w:pPr>
                                <w:pStyle w:val="FrameContents"/>
                                <w:spacing w:before="0" w:after="200"/>
                                <w:rPr/>
                              </w:pPr>
                              <w:r>
                                <w:rPr/>
                              </w:r>
                            </w:p>
                          </w:txbxContent>
                        </wps:txbx>
                        <wps:bodyPr lIns="36360" rIns="36360" tIns="17640" bIns="17640" anchor="ctr">
                          <a:noAutofit/>
                        </wps:bodyPr>
                      </wps:wsp>
                      <wps:wsp>
                        <wps:cNvPr id="200" name="Connector 50"/>
                        <wps:cNvSpPr/>
                        <wps:spPr>
                          <a:xfrm>
                            <a:off x="3492000" y="207720"/>
                            <a:ext cx="1270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01" name="Shape 51"/>
                        <wps:cNvSpPr/>
                        <wps:spPr>
                          <a:xfrm>
                            <a:off x="3619440" y="0"/>
                            <a:ext cx="1078200" cy="4154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Balans imitatsion</w:t>
                              </w:r>
                            </w:p>
                            <w:p>
                              <w:pPr>
                                <w:pStyle w:val="Normal"/>
                                <w:spacing w:lineRule="auto" w:line="228" w:before="0" w:after="0"/>
                                <w:ind w:hanging="0"/>
                                <w:jc w:val="center"/>
                                <w:rPr/>
                              </w:pPr>
                              <w:r>
                                <w:rPr>
                                  <w:rFonts w:cs="Times New Roman"/>
                                  <w:b/>
                                  <w:color w:val="FFFFFF"/>
                                  <w:sz w:val="20"/>
                                  <w:szCs w:val="20"/>
                                </w:rPr>
                                <w:t>modeli</w:t>
                              </w:r>
                            </w:p>
                            <w:p>
                              <w:pPr>
                                <w:pStyle w:val="FrameContents"/>
                                <w:spacing w:before="0" w:after="200"/>
                                <w:rPr/>
                              </w:pPr>
                              <w:r>
                                <w:rPr/>
                              </w:r>
                            </w:p>
                          </w:txbxContent>
                        </wps:txbx>
                        <wps:bodyPr lIns="36360" rIns="36360" tIns="17640" bIns="17640" anchor="ctr">
                          <a:noAutofit/>
                        </wps:bodyPr>
                      </wps:wsp>
                      <wps:wsp>
                        <wps:cNvPr id="202" name="Shape 52"/>
                        <wps:cNvSpPr/>
                        <wps:spPr>
                          <a:xfrm>
                            <a:off x="3619440" y="471960"/>
                            <a:ext cx="1078200" cy="7549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Kapital va likvidlik</w:t>
                              </w:r>
                            </w:p>
                            <w:p>
                              <w:pPr>
                                <w:pStyle w:val="Normal"/>
                                <w:spacing w:lineRule="auto" w:line="228" w:before="0" w:after="0"/>
                                <w:ind w:hanging="0"/>
                                <w:jc w:val="center"/>
                                <w:rPr/>
                              </w:pPr>
                              <w:r>
                                <w:rPr>
                                  <w:rFonts w:cs="Times New Roman"/>
                                  <w:color w:val="000000"/>
                                  <w:sz w:val="18"/>
                                  <w:szCs w:val="18"/>
                                </w:rPr>
                                <w:t>prognozi (9 chorak)</w:t>
                              </w:r>
                            </w:p>
                            <w:p>
                              <w:pPr>
                                <w:pStyle w:val="FrameContents"/>
                                <w:spacing w:before="0" w:after="200"/>
                                <w:rPr/>
                              </w:pPr>
                              <w:r>
                                <w:rPr/>
                              </w:r>
                            </w:p>
                          </w:txbxContent>
                        </wps:txbx>
                        <wps:bodyPr lIns="36360" rIns="36360" tIns="17640" bIns="17640" anchor="ctr">
                          <a:noAutofit/>
                        </wps:bodyPr>
                      </wps:wsp>
                      <wps:wsp>
                        <wps:cNvPr id="203" name="Connector 53"/>
                        <wps:cNvSpPr/>
                        <wps:spPr>
                          <a:xfrm>
                            <a:off x="4699080" y="207720"/>
                            <a:ext cx="1270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04" name="Shape 54"/>
                        <wps:cNvSpPr/>
                        <wps:spPr>
                          <a:xfrm>
                            <a:off x="4826520" y="0"/>
                            <a:ext cx="1077480" cy="41544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Natija</w:t>
                              </w:r>
                            </w:p>
                            <w:p>
                              <w:pPr>
                                <w:pStyle w:val="FrameContents"/>
                                <w:spacing w:before="0" w:after="200"/>
                                <w:rPr/>
                              </w:pPr>
                              <w:r>
                                <w:rPr/>
                              </w:r>
                            </w:p>
                          </w:txbxContent>
                        </wps:txbx>
                        <wps:bodyPr lIns="36360" rIns="36360" tIns="17640" bIns="17640" anchor="ctr">
                          <a:noAutofit/>
                        </wps:bodyPr>
                      </wps:wsp>
                      <wps:wsp>
                        <wps:cNvPr id="205" name="Shape 55"/>
                        <wps:cNvSpPr/>
                        <wps:spPr>
                          <a:xfrm>
                            <a:off x="4826520" y="471960"/>
                            <a:ext cx="1077480" cy="75492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Kapital va likvidlik</w:t>
                              </w:r>
                            </w:p>
                            <w:p>
                              <w:pPr>
                                <w:pStyle w:val="Normal"/>
                                <w:spacing w:lineRule="auto" w:line="228" w:before="0" w:after="0"/>
                                <w:ind w:hanging="0"/>
                                <w:jc w:val="center"/>
                                <w:rPr/>
                              </w:pPr>
                              <w:r>
                                <w:rPr>
                                  <w:rFonts w:cs="Times New Roman"/>
                                  <w:color w:val="000000"/>
                                  <w:sz w:val="18"/>
                                  <w:szCs w:val="18"/>
                                </w:rPr>
                                <w:t>tanqisligi; nazorat</w:t>
                              </w:r>
                            </w:p>
                            <w:p>
                              <w:pPr>
                                <w:pStyle w:val="Normal"/>
                                <w:spacing w:lineRule="auto" w:line="228" w:before="0" w:after="0"/>
                                <w:ind w:hanging="0"/>
                                <w:jc w:val="center"/>
                                <w:rPr/>
                              </w:pPr>
                              <w:r>
                                <w:rPr>
                                  <w:rFonts w:cs="Times New Roman"/>
                                  <w:color w:val="000000"/>
                                  <w:sz w:val="18"/>
                                  <w:szCs w:val="18"/>
                                </w:rPr>
                                <w:t>choralari</w:t>
                              </w:r>
                            </w:p>
                            <w:p>
                              <w:pPr>
                                <w:pStyle w:val="FrameContents"/>
                                <w:spacing w:before="0" w:after="200"/>
                                <w:rPr/>
                              </w:pPr>
                              <w:r>
                                <w:rPr/>
                              </w:r>
                            </w:p>
                          </w:txbxContent>
                        </wps:txbx>
                        <wps:bodyPr lIns="36360" rIns="36360" tIns="17640" bIns="17640" anchor="ctr">
                          <a:noAutofit/>
                        </wps:bodyPr>
                      </wps:wsp>
                      <wps:wsp>
                        <wps:cNvPr id="206" name="Connector 56"/>
                        <wps:cNvSpPr/>
                        <wps:spPr>
                          <a:xfrm>
                            <a:off x="5192280" y="1227600"/>
                            <a:ext cx="720" cy="207720"/>
                          </a:xfrm>
                          <a:prstGeom prst="straightConnector1">
                            <a:avLst/>
                          </a:prstGeom>
                          <a:noFill/>
                          <a:ln w="12700">
                            <a:solidFill>
                              <a:srgbClr val="7f7f7f"/>
                            </a:solidFill>
                            <a:round/>
                          </a:ln>
                        </wps:spPr>
                        <wps:style>
                          <a:lnRef idx="0"/>
                          <a:fillRef idx="0"/>
                          <a:effectRef idx="0"/>
                          <a:fontRef idx="minor"/>
                        </wps:style>
                        <wps:bodyPr/>
                      </wps:wsp>
                      <wps:wsp>
                        <wps:cNvPr id="207" name="Connector 57"/>
                        <wps:cNvSpPr/>
                        <wps:spPr>
                          <a:xfrm flipH="1">
                            <a:off x="547200" y="1435680"/>
                            <a:ext cx="4643640" cy="720"/>
                          </a:xfrm>
                          <a:prstGeom prst="straightConnector1">
                            <a:avLst/>
                          </a:prstGeom>
                          <a:noFill/>
                          <a:ln w="12700">
                            <a:solidFill>
                              <a:srgbClr val="7f7f7f"/>
                            </a:solidFill>
                            <a:prstDash val="dash"/>
                            <a:round/>
                          </a:ln>
                        </wps:spPr>
                        <wps:style>
                          <a:lnRef idx="0"/>
                          <a:fillRef idx="0"/>
                          <a:effectRef idx="0"/>
                          <a:fontRef idx="minor"/>
                        </wps:style>
                        <wps:bodyPr/>
                      </wps:wsp>
                      <wps:wsp>
                        <wps:cNvPr id="208" name="Connector 58"/>
                        <wps:cNvSpPr/>
                        <wps:spPr>
                          <a:xfrm flipV="1">
                            <a:off x="547920" y="1226880"/>
                            <a:ext cx="720" cy="207720"/>
                          </a:xfrm>
                          <a:prstGeom prst="straightConnector1">
                            <a:avLst/>
                          </a:prstGeom>
                          <a:noFill/>
                          <a:ln w="12700">
                            <a:solidFill>
                              <a:srgbClr val="7f7f7f"/>
                            </a:solidFill>
                            <a:prstDash val="dash"/>
                            <a:round/>
                            <a:tailEnd len="med" type="triangle" w="med"/>
                          </a:ln>
                        </wps:spPr>
                        <wps:style>
                          <a:lnRef idx="0"/>
                          <a:fillRef idx="0"/>
                          <a:effectRef idx="0"/>
                          <a:fontRef idx="minor"/>
                        </wps:style>
                        <wps:bodyPr/>
                      </wps:wsp>
                      <wps:wsp>
                        <wps:cNvPr id="209" name="Shape 59"/>
                        <wps:cNvSpPr/>
                        <wps:spPr>
                          <a:xfrm>
                            <a:off x="1426320" y="1321920"/>
                            <a:ext cx="3070800" cy="226080"/>
                          </a:xfrm>
                          <a:prstGeom prst="roundRect">
                            <a:avLst>
                              <a:gd name="adj" fmla="val 10000"/>
                            </a:avLst>
                          </a:prstGeom>
                          <a:solidFill>
                            <a:srgbClr val="ffffff"/>
                          </a:solidFill>
                          <a:ln w="12700">
                            <a:solidFill>
                              <a:srgbClr val="fffff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18"/>
                                  <w:szCs w:val="18"/>
                                </w:rPr>
                                <w:t>Teskari aloqa: kredit taklifining iqtisodiyotga ta’siri</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1.3.6-rasm" style="position:absolute;margin-left:0pt;margin-top:-60.95pt;width:464.9pt;height:121.9pt" coordorigin="0,-1219" coordsize="9298,2438">
                <v:shape id="shape_0" ID="Connector 44" path="m0,0l-2147483648,-2147483647e" stroked="t" o:allowincell="f" style="position:absolute;left:1698;top:-892;width:19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47" path="m0,0l-2147483648,-2147483647e" stroked="t" o:allowincell="f" style="position:absolute;left:3599;top:-892;width:19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50" path="m0,0l-2147483648,-2147483647e" stroked="t" o:allowincell="f" style="position:absolute;left:5499;top:-892;width:19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53" path="m0,0l-2147483648,-2147483647e" stroked="t" o:allowincell="f" style="position:absolute;left:7400;top:-892;width:19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56" path="m0,0l-2147483648,-2147483647e" stroked="t" o:allowincell="f" style="position:absolute;left:8177;top:714;width:0;height:326;mso-wrap-style:none;v-text-anchor:middle;mso-position-vertical:center" type="_x0000_t32">
                  <v:fill o:detectmouseclick="t" on="false"/>
                  <v:stroke color="#7f7f7f" weight="12600" joinstyle="round" endcap="flat"/>
                  <w10:wrap type="square"/>
                </v:shape>
                <v:shape id="shape_0" ID="Connector 57" path="m0,0l-2147483648,-2147483647e" stroked="t" o:allowincell="f" style="position:absolute;left:862;top:1042;width:7312;height:0;flip:x;mso-wrap-style:none;v-text-anchor:middle;mso-position-vertical:center" type="_x0000_t32">
                  <v:fill o:detectmouseclick="t" on="false"/>
                  <v:stroke color="#7f7f7f" weight="12600" dashstyle="dash" joinstyle="round" endcap="flat"/>
                  <w10:wrap type="square"/>
                </v:shape>
                <v:shape id="shape_0" ID="Connector 58" path="m0,0l-2147483648,-2147483647e" stroked="t" o:allowincell="f" style="position:absolute;left:863;top:713;width:0;height:326;flip:y;mso-wrap-style:none;v-text-anchor:middle;mso-position-vertical:center" type="_x0000_t32">
                  <v:fill o:detectmouseclick="t" on="false"/>
                  <v:stroke color="#7f7f7f" weight="12600" dashstyle="dash"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1.3.6-rasm. Nazorat stress-testining umumiy arxitekturasi</w:t>
      </w:r>
    </w:p>
    <w:p>
      <w:pPr>
        <w:pStyle w:val="BodyText"/>
        <w:spacing w:lineRule="auto" w:line="360" w:before="0" w:after="0"/>
        <w:ind w:firstLine="709"/>
        <w:jc w:val="both"/>
        <w:rPr/>
      </w:pPr>
      <w:r>
        <w:rPr>
          <w:rFonts w:eastAsia="Times New Roman" w:cs="Times New Roman"/>
          <w:sz w:val="28"/>
        </w:rPr>
        <w:t>Tizimli ahamiyatli kredit tashkilotlarini aniqlashda Rossiya banki 3737-U ko‘rsatmasiga tayanadi.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p>
    <w:p>
      <w:pPr>
        <w:pStyle w:val="BodyText"/>
        <w:spacing w:lineRule="auto" w:line="360" w:before="0" w:after="0"/>
        <w:ind w:firstLine="709"/>
        <w:jc w:val="both"/>
        <w:rPr/>
      </w:pPr>
      <w:r>
        <w:rPr>
          <w:rFonts w:eastAsia="Times New Roman" w:cs="Times New Roman"/>
          <w:sz w:val="28"/>
        </w:rP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 Keyinchalik, 2015-yilda kreditlarning depozitlarga nisbati bo‘yicha qat’iy cheklov qonundan chiqarilib, monitoring ko‘rsatkichiga aylantirildi. Tizimli ahamiyatli banklarga yuqori kapital talablari qo‘yilgan: asosiy kapital 8,5 foiz, birinchi darajali kapital 9,5 foiz, jami kapital 11,5 foiz.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3"/>
      </w:r>
      <w:r>
        <w:rPr>
          <w:rFonts w:eastAsia="Times New Roman" w:cs="Times New Roman"/>
          <w:sz w:val="28"/>
        </w:rPr>
        <w:t>. Bu proporsional yondashuv O‘zbekiston uchun ham e’tiborga loyiq, chunki mamlakatdagi banklar hajmi va faoliyat murakkabligi jihatidan keskin farq qiladi.</w:t>
      </w:r>
    </w:p>
    <w:p>
      <w:pPr>
        <w:pStyle w:val="BodyText"/>
        <w:spacing w:lineRule="auto" w:line="360" w:before="0" w:after="0"/>
        <w:ind w:firstLine="709"/>
        <w:jc w:val="both"/>
        <w:rPr/>
      </w:pPr>
      <w:r>
        <w:rPr>
          <w:rFonts w:eastAsia="Times New Roman" w:cs="Times New Roman"/>
          <w:sz w:val="28"/>
        </w:rP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4"/>
      </w:r>
      <w:r>
        <w:rPr>
          <w:rFonts w:eastAsia="Times New Roman" w:cs="Times New Roman"/>
          <w:sz w:val="28"/>
        </w:rPr>
        <w:t>. XVJ esa 2016-yilda Xitoy kompaniyalariga berilgan tijorat kreditlarining 15,5 foizi «risk ostida» ekanini va ular bo‘yicha potensial yo‘qotishlar YaIMning qariyb 7 foiziga teng bo‘lishi mumkinligini baholagan</w:t>
      </w:r>
      <w:r>
        <w:rPr>
          <w:rStyle w:val="FootnoteReference"/>
        </w:rPr>
        <w:footnoteReference w:id="5"/>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6"/>
      </w:r>
      <w:r>
        <w:rPr>
          <w:rFonts w:eastAsia="Times New Roman" w:cs="Times New Roman"/>
          <w:sz w:val="28"/>
        </w:rPr>
        <w:t>. Biroq ularning yonida «alohida e’tibor talab qiluvchi» kreditlar ham bor bo‘lib, ularning ulushi 2,2 foiz atrofida saqlanib kelmoqda; ikkalasi qo‘shilganda muammoli aktivlar ulushi 3,7 foizga yetadi</w:t>
      </w:r>
      <w:r>
        <w:rPr>
          <w:rStyle w:val="FootnoteReference"/>
        </w:rPr>
        <w:footnoteReference w:id="7"/>
      </w:r>
      <w:r>
        <w:rPr>
          <w:rFonts w:eastAsia="Times New Roman" w:cs="Times New Roman"/>
          <w:sz w:val="28"/>
        </w:rPr>
        <w:t>.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8"/>
      </w:r>
      <w:r>
        <w:rPr>
          <w:rFonts w:eastAsia="Times New Roman" w:cs="Times New Roman"/>
          <w:sz w:val="28"/>
        </w:rPr>
        <w:t>. Ushbu ma’lumotlar 1.3.7-rasmda umumlashtirildi.</w:t>
      </w:r>
    </w:p>
    <w:p>
      <w:pPr>
        <w:pStyle w:val="BodyText"/>
        <w:keepNext w:val="true"/>
        <w:spacing w:lineRule="auto" w:line="240" w:before="0" w:after="0"/>
        <w:ind w:hanging="0"/>
        <w:jc w:val="center"/>
        <w:rPr/>
      </w:pPr>
      <w:r>
        <w:rPr/>
        <w:drawing>
          <wp:inline distT="0" distB="0" distL="0" distR="0">
            <wp:extent cx="5760085" cy="2879725"/>
            <wp:effectExtent l="0" t="0" r="0" b="0"/>
            <wp:docPr id="210" name="1.3.7-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pPr>
        <w:pStyle w:val="BodyText"/>
        <w:spacing w:lineRule="auto" w:line="240" w:before="120" w:after="240"/>
        <w:ind w:hanging="0"/>
        <w:jc w:val="center"/>
        <w:rPr/>
      </w:pPr>
      <w:r>
        <w:rPr>
          <w:rFonts w:eastAsia="Times New Roman" w:cs="Times New Roman"/>
          <w:b/>
          <w:sz w:val="28"/>
        </w:rPr>
        <w:t>1.3.7-rasm. Xitoy tijorat banklarida muammoli kreditlar ulushi: rasmiy ma’lumotlar va muqobil baholar, %</w:t>
      </w:r>
      <w:r>
        <w:rPr>
          <w:rStyle w:val="FootnoteReference"/>
        </w:rPr>
        <w:footnoteReference w:id="9"/>
      </w:r>
    </w:p>
    <w:p>
      <w:pPr>
        <w:pStyle w:val="BodyText"/>
        <w:spacing w:lineRule="auto" w:line="360" w:before="0" w:after="0"/>
        <w:ind w:firstLine="709"/>
        <w:jc w:val="both"/>
        <w:rPr/>
      </w:pPr>
      <w:r>
        <w:rPr>
          <w:rFonts w:eastAsia="Times New Roman" w:cs="Times New Roman"/>
          <w:sz w:val="28"/>
        </w:rP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10"/>
      </w:r>
      <w:r>
        <w:rPr>
          <w:rFonts w:eastAsia="Times New Roman" w:cs="Times New Roman"/>
          <w:sz w:val="28"/>
        </w:rPr>
        <w:t>.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11"/>
      </w:r>
      <w:r>
        <w:rPr>
          <w:rFonts w:eastAsia="Times New Roman" w:cs="Times New Roman"/>
          <w:sz w:val="28"/>
        </w:rPr>
        <w:t>.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Rule="auto" w:line="360" w:before="0" w:after="0"/>
        <w:ind w:firstLine="709"/>
        <w:jc w:val="both"/>
        <w:rPr/>
      </w:pPr>
      <w:r>
        <w:rPr>
          <w:rFonts w:eastAsia="Times New Roman" w:cs="Times New Roman"/>
          <w:sz w:val="28"/>
        </w:rP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12"/>
      </w:r>
      <w:r>
        <w:rPr>
          <w:rFonts w:eastAsia="Times New Roman" w:cs="Times New Roman"/>
          <w:sz w:val="28"/>
        </w:rPr>
        <w:t>. Braziliyada Bazel III dan oldin kapital yetarliligiga talab 11 foiz bo‘lib, talab qilib olinguncha depozitlar bo‘yicha majburiy zaxira normasi 45 foizgacha yetgan</w:t>
      </w:r>
      <w:r>
        <w:rPr>
          <w:rStyle w:val="FootnoteReference"/>
        </w:rPr>
        <w:footnoteReference w:id="13"/>
      </w:r>
      <w:r>
        <w:rPr>
          <w:rFonts w:eastAsia="Times New Roman" w:cs="Times New Roman"/>
          <w:sz w:val="28"/>
        </w:rPr>
        <w:t>. Rossiyada esa BRIKS mamlakatlari orasida eng yuqori muddati o‘tgan qarzlar ulushi (8,35 foiz) qayd etilgan</w:t>
      </w:r>
      <w:r>
        <w:rPr>
          <w:rStyle w:val="FootnoteReference"/>
        </w:rPr>
        <w:footnoteReference w:id="14"/>
      </w:r>
      <w:r>
        <w:rPr>
          <w:rFonts w:eastAsia="Times New Roman" w:cs="Times New Roman"/>
          <w:sz w:val="28"/>
        </w:rPr>
        <w:t>. Bu misollar bir xil xalqaro standart turli mamlakatlarda turlicha natija berishini, shu bois uni milliy sharoitga moslashtirish muqarrar ekanini ko‘rsatadi.</w:t>
      </w:r>
    </w:p>
    <w:p>
      <w:pPr>
        <w:pStyle w:val="BodyText"/>
        <w:spacing w:lineRule="auto" w:line="360" w:before="0" w:after="0"/>
        <w:ind w:firstLine="709"/>
        <w:jc w:val="both"/>
        <w:rPr/>
      </w:pPr>
      <w:r>
        <w:rPr>
          <w:rFonts w:eastAsia="Times New Roman" w:cs="Times New Roman"/>
          <w:sz w:val="28"/>
        </w:rP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val="true"/>
        <w:spacing w:lineRule="auto" w:line="360" w:before="120" w:after="0"/>
        <w:ind w:hanging="0"/>
        <w:jc w:val="right"/>
        <w:rPr/>
      </w:pPr>
      <w:r>
        <w:rPr>
          <w:rFonts w:eastAsia="Times New Roman" w:cs="Times New Roman"/>
          <w:i/>
          <w:sz w:val="28"/>
        </w:rPr>
        <w:t>1.3.3-jadval</w:t>
      </w:r>
    </w:p>
    <w:p>
      <w:pPr>
        <w:pStyle w:val="BodyText"/>
        <w:keepNext w:val="true"/>
        <w:spacing w:lineRule="auto" w:line="240" w:before="0" w:after="120"/>
        <w:ind w:hanging="0"/>
        <w:jc w:val="center"/>
        <w:rPr/>
      </w:pPr>
      <w:r>
        <w:rPr>
          <w:rFonts w:eastAsia="Times New Roman" w:cs="Times New Roman"/>
          <w:b/>
          <w:bCs/>
          <w:sz w:val="28"/>
        </w:rPr>
        <w:t>Xorijiy tajriba va undan O‘zbekiston uchun kelib chiqadigan xulosalar</w:t>
      </w:r>
      <w:r>
        <w:rPr>
          <w:rStyle w:val="FootnoteReference"/>
        </w:rPr>
        <w:footnoteReference w:id="15"/>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229"/>
        <w:gridCol w:w="3230"/>
        <w:gridCol w:w="3230"/>
      </w:tblGrid>
      <w:tr>
        <w:trPr>
          <w:tblHeader w:val="true"/>
          <w:cantSplit w:val="true"/>
        </w:trPr>
        <w:tc>
          <w:tcPr>
            <w:tcW w:w="3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Mamlakat / tizim</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Tajriba</w:t>
            </w:r>
          </w:p>
        </w:tc>
        <w:tc>
          <w:tcPr>
            <w:tcW w:w="3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O‘zbekiston uchun xulosa</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 – PCA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Kapitalning pog‘onali chegaralari aniq nazorat choralari bilan bog‘langan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ko‘rsatkichini ko‘p pog‘onali shkala bilan baholash va tezkor tuzatuvchi choralar tizimini joriy etish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 – FIMS</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Statistik model reytingni va bankrotlikni bashorat qiladi, chegara birinchi tur xatosini kamaytirishga moslangan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Baholash metodikasining bashorat kuchini statistik usullar bilan tekshirish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 – stress-testlar</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Natijalar ommaga e’lon qilinadi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Stress-test natijalarini oshkor qilish orqali bozor intizomini kuchaytirish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Buyuk Britaniya – BAITE, RATE</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intensivligi risk darajasiga bog‘langan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Baholash natijasini nazorat rejimi va tekshiruv davriyligi bilan bog‘lash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Germaniya – BAKIS</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Teng vaznlar, guruh o‘rtachasi bilan taqqoslash</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Qiyosiy (peer) baholashni joriy etish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Yevropa Ittifoqi – EBA KRI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 ma’lumotlar bazasi, risklar paneli</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 ko‘rsatkichlarini ochiq e’lon qilish, kredit riskiga ortiqcha urg‘u bermaslik</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Yevropa Ittifoqi – ESRB</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Qat’iy baza va diskretsion makroprudensial vositalar</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Mikro va makroprudensial baholashni uyg‘unlashtirish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Rossiya</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 vaznli 1–4 ballik tizim; dinamika va prognoz yo‘qligi tanqid qilingan</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 vaznli integral baholashga dinamik va prognoz elementlarini qo‘shish</w:t>
            </w:r>
          </w:p>
        </w:tc>
      </w:tr>
      <w:tr>
        <w:trPr>
          <w:cantSplit w:val="true"/>
        </w:trPr>
        <w:tc>
          <w:tcPr>
            <w:tcW w:w="3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Xitoy</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Rasmiy NPL bilan haqiqiy risk o‘rtasida katta tafovut</w:t>
            </w:r>
          </w:p>
        </w:tc>
        <w:tc>
          <w:tcPr>
            <w:tcW w:w="3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sifatini MHXS 9 bo‘yicha va mustaqil baholash; davlat banklariga alohida e’tibor</w:t>
            </w:r>
          </w:p>
        </w:tc>
      </w:tr>
    </w:tbl>
    <w:p>
      <w:pPr>
        <w:pStyle w:val="BodyText"/>
        <w:spacing w:lineRule="auto" w:line="360" w:before="0" w:after="0"/>
        <w:ind w:firstLine="709"/>
        <w:jc w:val="both"/>
        <w:rPr/>
      </w:pPr>
      <w:r>
        <w:rPr>
          <w:rFonts w:eastAsia="Times New Roman" w:cs="Times New Roman"/>
          <w:sz w:val="28"/>
        </w:rPr>
        <w:t>Jadvalda keltirilgan xulosalarni uch asosiy yo‘nalishga birlashtirish mumkin.</w:t>
      </w:r>
    </w:p>
    <w:p>
      <w:pPr>
        <w:pStyle w:val="BodyText"/>
        <w:spacing w:lineRule="auto" w:line="360" w:before="0" w:after="0"/>
        <w:ind w:firstLine="709"/>
        <w:jc w:val="both"/>
        <w:rPr/>
      </w:pPr>
      <w:r>
        <w:rPr>
          <w:rFonts w:eastAsia="Times New Roman" w:cs="Times New Roman"/>
          <w:sz w:val="28"/>
        </w:rPr>
        <w:t>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Rule="auto" w:line="360" w:before="0" w:after="0"/>
        <w:ind w:firstLine="709"/>
        <w:jc w:val="both"/>
        <w:rPr/>
      </w:pPr>
      <w:r>
        <w:rPr>
          <w:rFonts w:eastAsia="Times New Roman" w:cs="Times New Roman"/>
          <w:sz w:val="28"/>
        </w:rP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Rule="auto" w:line="360" w:before="0" w:after="0"/>
        <w:ind w:firstLine="709"/>
        <w:jc w:val="both"/>
        <w:rPr/>
      </w:pPr>
      <w:r>
        <w:rPr>
          <w:rFonts w:eastAsia="Times New Roman" w:cs="Times New Roman"/>
          <w:sz w:val="28"/>
        </w:rPr>
        <w:t>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Rule="auto" w:line="360" w:before="0" w:after="0"/>
        <w:ind w:firstLine="709"/>
        <w:jc w:val="both"/>
        <w:rPr/>
      </w:pPr>
      <w:bookmarkStart w:id="11" w:name="X0a8f05e5cd7bad167a6c1dddfdd9ff0edf10251"/>
      <w:r>
        <w:rPr>
          <w:rFonts w:eastAsia="Times New Roman" w:cs="Times New Roman"/>
          <w:sz w:val="28"/>
        </w:rP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bookmarkEnd w:id="11"/>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12" w:name="__RefHeading___Toc38192_2843893380"/>
      <w:bookmarkStart w:id="13" w:name="i-bob-boyicha-xulosalar"/>
      <w:bookmarkEnd w:id="12"/>
      <w:r>
        <w:rPr>
          <w:rFonts w:eastAsia="Times New Roman" w:cs="Times New Roman" w:ascii="Times New Roman" w:hAnsi="Times New Roman"/>
          <w:b/>
          <w:i w:val="false"/>
          <w:sz w:val="28"/>
        </w:rPr>
        <w:t>I bob bo‘yicha xulosalar</w:t>
      </w:r>
    </w:p>
    <w:p>
      <w:pPr>
        <w:pStyle w:val="FirstParagraph"/>
        <w:spacing w:lineRule="auto" w:line="360" w:before="0" w:after="0"/>
        <w:ind w:firstLine="709"/>
        <w:jc w:val="both"/>
        <w:rPr/>
      </w:pPr>
      <w:r>
        <w:rPr>
          <w:rFonts w:eastAsia="Times New Roman" w:cs="Times New Roman"/>
          <w:sz w:val="28"/>
        </w:rPr>
        <w:t>Dissertatsiyaning birinchi bobida tijorat banklari moliyaviy barqarorligini baholashning nazariy-metodologik asoslari, xalqaro standartlari va xorijiy tajribasi tadqiq etildi hamda quyidagi xulosalar shakllantirildi.</w:t>
      </w:r>
    </w:p>
    <w:p>
      <w:pPr>
        <w:pStyle w:val="Normal"/>
        <w:numPr>
          <w:ilvl w:val="0"/>
          <w:numId w:val="7"/>
        </w:numPr>
        <w:spacing w:lineRule="auto" w:line="360" w:before="0" w:after="0"/>
        <w:ind w:firstLine="709"/>
        <w:jc w:val="both"/>
        <w:rPr/>
      </w:pPr>
      <w:r>
        <w:rPr>
          <w:rFonts w:eastAsia="Times New Roman" w:cs="Times New Roman"/>
          <w:sz w:val="28"/>
        </w:rP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pStyle w:val="Normal"/>
        <w:numPr>
          <w:ilvl w:val="0"/>
          <w:numId w:val="7"/>
        </w:numPr>
        <w:spacing w:lineRule="auto" w:line="360" w:before="0" w:after="0"/>
        <w:ind w:firstLine="709"/>
        <w:jc w:val="both"/>
        <w:rPr/>
      </w:pPr>
      <w:r>
        <w:rPr>
          <w:rFonts w:eastAsia="Times New Roman" w:cs="Times New Roman"/>
          <w:sz w:val="28"/>
        </w:rP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pStyle w:val="Normal"/>
        <w:numPr>
          <w:ilvl w:val="0"/>
          <w:numId w:val="7"/>
        </w:numPr>
        <w:spacing w:lineRule="auto" w:line="360" w:before="0" w:after="0"/>
        <w:ind w:firstLine="709"/>
        <w:jc w:val="both"/>
        <w:rPr/>
      </w:pPr>
      <w:r>
        <w:rPr>
          <w:rFonts w:eastAsia="Times New Roman" w:cs="Times New Roman"/>
          <w:sz w:val="28"/>
        </w:rP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pStyle w:val="Normal"/>
        <w:numPr>
          <w:ilvl w:val="0"/>
          <w:numId w:val="7"/>
        </w:numPr>
        <w:spacing w:lineRule="auto" w:line="360" w:before="0" w:after="0"/>
        <w:ind w:firstLine="709"/>
        <w:jc w:val="both"/>
        <w:rPr/>
      </w:pPr>
      <w:r>
        <w:rPr>
          <w:rFonts w:eastAsia="Times New Roman" w:cs="Times New Roman"/>
          <w:sz w:val="28"/>
        </w:rP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pStyle w:val="Normal"/>
        <w:numPr>
          <w:ilvl w:val="0"/>
          <w:numId w:val="7"/>
        </w:numPr>
        <w:spacing w:lineRule="auto" w:line="360" w:before="0" w:after="0"/>
        <w:ind w:firstLine="709"/>
        <w:jc w:val="both"/>
        <w:rPr/>
      </w:pPr>
      <w:r>
        <w:rPr>
          <w:rFonts w:eastAsia="Times New Roman" w:cs="Times New Roman"/>
          <w:sz w:val="28"/>
        </w:rP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pStyle w:val="Normal"/>
        <w:numPr>
          <w:ilvl w:val="0"/>
          <w:numId w:val="7"/>
        </w:numPr>
        <w:spacing w:lineRule="auto" w:line="360" w:before="0" w:after="0"/>
        <w:ind w:firstLine="709"/>
        <w:jc w:val="both"/>
        <w:rPr/>
      </w:pPr>
      <w:r>
        <w:rPr>
          <w:rFonts w:eastAsia="Times New Roman" w:cs="Times New Roman"/>
          <w:sz w:val="28"/>
        </w:rP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pStyle w:val="Normal"/>
        <w:numPr>
          <w:ilvl w:val="0"/>
          <w:numId w:val="7"/>
        </w:numPr>
        <w:spacing w:lineRule="auto" w:line="360" w:before="0" w:after="0"/>
        <w:ind w:firstLine="709"/>
        <w:jc w:val="both"/>
        <w:rPr/>
      </w:pPr>
      <w:r>
        <w:rPr>
          <w:rFonts w:eastAsia="Times New Roman" w:cs="Times New Roman"/>
          <w:sz w:val="28"/>
        </w:rPr>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pStyle w:val="Normal"/>
        <w:numPr>
          <w:ilvl w:val="0"/>
          <w:numId w:val="7"/>
        </w:numPr>
        <w:spacing w:lineRule="auto" w:line="360" w:before="0" w:after="0"/>
        <w:ind w:firstLine="709"/>
        <w:jc w:val="both"/>
        <w:rPr/>
      </w:pPr>
      <w:r>
        <w:rPr>
          <w:rFonts w:eastAsia="Times New Roman" w:cs="Times New Roman"/>
          <w:sz w:val="28"/>
        </w:rP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Rule="auto" w:line="360" w:before="0" w:after="0"/>
        <w:ind w:firstLine="709"/>
        <w:jc w:val="both"/>
        <w:rPr/>
      </w:pPr>
      <w:bookmarkStart w:id="14" w:name="i-bob-boyicha-xulosalar"/>
      <w:r>
        <w:rPr>
          <w:rFonts w:eastAsia="Times New Roman" w:cs="Times New Roman"/>
          <w:sz w:val="28"/>
        </w:rP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bookmarkEnd w:id="14"/>
    </w:p>
    <w:p>
      <w:pPr>
        <w:pStyle w:val="Normal"/>
        <w:rPr/>
      </w:pPr>
      <w:r>
        <w:rPr/>
      </w:r>
      <w:r>
        <w:br w:type="page"/>
      </w:r>
    </w:p>
    <w:p>
      <w:pPr>
        <w:pStyle w:val="Heading1"/>
        <w:jc w:val="center"/>
        <w:rPr/>
      </w:pPr>
      <w:bookmarkStart w:id="15" w:name="__RefHeading___Toc38194_2843893380"/>
      <w:bookmarkEnd w:id="15"/>
      <w:r>
        <w:rPr/>
        <w:t>II BOB. O‘ZBEKISTON BANK TIZIMIDA MOLIYAVIY BARQARORLIKNI BAHOLASH AMALIYOTINING XALQARO STANDARTLARGA MUVOFIQLIGI TAHLILI</w:t>
      </w:r>
    </w:p>
    <w:p>
      <w:pPr>
        <w:pStyle w:val="Normal"/>
        <w:rPr/>
      </w:pPr>
      <w:r>
        <w:rPr/>
      </w:r>
    </w:p>
    <w:p>
      <w:pPr>
        <w:pStyle w:val="Heading2"/>
        <w:keepNext w:val="true"/>
        <w:spacing w:lineRule="auto" w:line="360" w:before="240" w:after="120"/>
        <w:ind w:hanging="0"/>
        <w:jc w:val="center"/>
        <w:rPr/>
      </w:pPr>
      <w:bookmarkStart w:id="16" w:name="__RefHeading___Toc38196_2843893380"/>
      <w:bookmarkStart w:id="17" w:name="Xacf6eb0da76150b1b8727c097bc04fa1f11b2d8"/>
      <w:bookmarkEnd w:id="16"/>
      <w:r>
        <w:rPr>
          <w:rFonts w:eastAsia="Times New Roman" w:cs="Times New Roman" w:ascii="Times New Roman" w:hAnsi="Times New Roman"/>
          <w:b/>
          <w:i w:val="false"/>
          <w:sz w:val="28"/>
        </w:rPr>
        <w:t>2.1-§. Oʻzbekistonda banklar moliyaviy barqarorligini baholashning amaldagi holati va xalqaro standartlarga moslashtirish muammolari</w:t>
      </w:r>
    </w:p>
    <w:p>
      <w:pPr>
        <w:pStyle w:val="FirstParagraph"/>
        <w:spacing w:lineRule="auto" w:line="360" w:before="0" w:after="0"/>
        <w:ind w:firstLine="709"/>
        <w:jc w:val="both"/>
        <w:rPr/>
      </w:pPr>
      <w:r>
        <w:rPr>
          <w:rFonts w:eastAsia="Times New Roman" w:cs="Times New Roman"/>
          <w:sz w:val="28"/>
        </w:rP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pPr>
        <w:pStyle w:val="Heading3"/>
        <w:keepNext w:val="true"/>
        <w:spacing w:lineRule="auto" w:line="360" w:before="240" w:after="120"/>
        <w:ind w:firstLine="709"/>
        <w:jc w:val="both"/>
        <w:rPr/>
      </w:pPr>
      <w:bookmarkStart w:id="18" w:name="X19913ebc704099758ceb5b2d73a60641195b139"/>
      <w:r>
        <w:rPr>
          <w:rFonts w:eastAsia="Times New Roman" w:cs="Times New Roman" w:ascii="Times New Roman" w:hAnsi="Times New Roman"/>
          <w:b/>
          <w:i w:val="false"/>
          <w:sz w:val="28"/>
        </w:rPr>
        <w:t>1. Baholashning me’yoriy-huquqiy va institutsional asoslari</w:t>
      </w:r>
    </w:p>
    <w:p>
      <w:pPr>
        <w:pStyle w:val="FirstParagraph"/>
        <w:spacing w:lineRule="auto" w:line="360" w:before="0" w:after="0"/>
        <w:ind w:firstLine="709"/>
        <w:jc w:val="both"/>
        <w:rPr/>
      </w:pPr>
      <w:r>
        <w:rPr>
          <w:rFonts w:eastAsia="Times New Roman" w:cs="Times New Roman"/>
          <w:sz w:val="28"/>
        </w:rP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pPr>
        <w:pStyle w:val="BodyText"/>
        <w:keepNext w:val="true"/>
        <w:spacing w:lineRule="auto" w:line="240" w:before="0" w:after="0"/>
        <w:ind w:hanging="0"/>
        <w:jc w:val="center"/>
        <w:rPr/>
      </w:pPr>
      <w:r>
        <w:rPr/>
        <mc:AlternateContent>
          <mc:Choice Requires="wpg">
            <w:drawing>
              <wp:inline distT="0" distB="0" distL="0" distR="0">
                <wp:extent cx="5904230" cy="2520315"/>
                <wp:effectExtent l="0" t="0" r="0" b="0"/>
                <wp:docPr id="211" name="2.1.1-rasm"/>
                <a:graphic xmlns:a="http://schemas.openxmlformats.org/drawingml/2006/main">
                  <a:graphicData uri="http://schemas.microsoft.com/office/word/2010/wordprocessingGroup">
                    <wpg:wgp>
                      <wpg:cNvGrpSpPr/>
                      <wpg:grpSpPr>
                        <a:xfrm>
                          <a:off x="0" y="0"/>
                          <a:ext cx="5904360" cy="2520360"/>
                          <a:chOff x="0" y="0"/>
                          <a:chExt cx="5904360" cy="2520360"/>
                        </a:xfrm>
                      </wpg:grpSpPr>
                      <wps:wsp>
                        <wps:cNvPr id="212" name="Shape 2"/>
                        <wps:cNvSpPr/>
                        <wps:spPr>
                          <a:xfrm>
                            <a:off x="0" y="0"/>
                            <a:ext cx="1013400" cy="5036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Qonunlar</w:t>
                              </w:r>
                            </w:p>
                            <w:p>
                              <w:pPr>
                                <w:pStyle w:val="FrameContents"/>
                                <w:spacing w:before="0" w:after="200"/>
                                <w:rPr/>
                              </w:pPr>
                              <w:r>
                                <w:rPr/>
                              </w:r>
                            </w:p>
                          </w:txbxContent>
                        </wps:txbx>
                        <wps:bodyPr lIns="36360" rIns="36360" tIns="17640" bIns="17640" anchor="ctr">
                          <a:noAutofit/>
                        </wps:bodyPr>
                      </wps:wsp>
                      <wps:wsp>
                        <wps:cNvPr id="213" name="Shape 3"/>
                        <wps:cNvSpPr/>
                        <wps:spPr>
                          <a:xfrm>
                            <a:off x="1086480" y="0"/>
                            <a:ext cx="2371680" cy="503640"/>
                          </a:xfrm>
                          <a:prstGeom prst="roundRect">
                            <a:avLst>
                              <a:gd name="adj" fmla="val 10000"/>
                            </a:avLst>
                          </a:prstGeom>
                          <a:solidFill>
                            <a:srgbClr val="f2f2f2"/>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«O‘zbekiston Respublikasining</w:t>
                              </w:r>
                            </w:p>
                            <w:p>
                              <w:pPr>
                                <w:pStyle w:val="Normal"/>
                                <w:spacing w:lineRule="auto" w:line="228" w:before="0" w:after="0"/>
                                <w:ind w:hanging="0"/>
                                <w:jc w:val="center"/>
                                <w:rPr/>
                              </w:pPr>
                              <w:r>
                                <w:rPr>
                                  <w:rFonts w:cs="Times New Roman"/>
                                  <w:color w:val="000000"/>
                                  <w:sz w:val="20"/>
                                  <w:szCs w:val="20"/>
                                </w:rPr>
                                <w:t>Markaziy banki to‘g‘risida»gi Qonun</w:t>
                              </w:r>
                            </w:p>
                            <w:p>
                              <w:pPr>
                                <w:pStyle w:val="FrameContents"/>
                                <w:spacing w:before="0" w:after="200"/>
                                <w:rPr/>
                              </w:pPr>
                              <w:r>
                                <w:rPr/>
                              </w:r>
                            </w:p>
                          </w:txbxContent>
                        </wps:txbx>
                        <wps:bodyPr lIns="36360" rIns="36360" tIns="17640" bIns="17640" anchor="ctr">
                          <a:noAutofit/>
                        </wps:bodyPr>
                      </wps:wsp>
                      <wps:wsp>
                        <wps:cNvPr id="214" name="Shape 4"/>
                        <wps:cNvSpPr/>
                        <wps:spPr>
                          <a:xfrm>
                            <a:off x="3531960" y="0"/>
                            <a:ext cx="2371680" cy="503640"/>
                          </a:xfrm>
                          <a:prstGeom prst="roundRect">
                            <a:avLst>
                              <a:gd name="adj" fmla="val 10000"/>
                            </a:avLst>
                          </a:prstGeom>
                          <a:solidFill>
                            <a:srgbClr val="f2f2f2"/>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«Banklar va bank faoliyati</w:t>
                              </w:r>
                            </w:p>
                            <w:p>
                              <w:pPr>
                                <w:pStyle w:val="Normal"/>
                                <w:spacing w:lineRule="auto" w:line="228" w:before="0" w:after="0"/>
                                <w:ind w:hanging="0"/>
                                <w:jc w:val="center"/>
                                <w:rPr/>
                              </w:pPr>
                              <w:r>
                                <w:rPr>
                                  <w:rFonts w:cs="Times New Roman"/>
                                  <w:color w:val="000000"/>
                                  <w:sz w:val="20"/>
                                  <w:szCs w:val="20"/>
                                </w:rPr>
                                <w:t>to‘g‘risida»gi Qonun</w:t>
                              </w:r>
                            </w:p>
                            <w:p>
                              <w:pPr>
                                <w:pStyle w:val="FrameContents"/>
                                <w:spacing w:before="0" w:after="200"/>
                                <w:rPr/>
                              </w:pPr>
                              <w:r>
                                <w:rPr/>
                              </w:r>
                            </w:p>
                          </w:txbxContent>
                        </wps:txbx>
                        <wps:bodyPr lIns="36360" rIns="36360" tIns="17640" bIns="17640" anchor="ctr">
                          <a:noAutofit/>
                        </wps:bodyPr>
                      </wps:wsp>
                      <wps:wsp>
                        <wps:cNvPr id="215" name="Connector 5"/>
                        <wps:cNvSpPr/>
                        <wps:spPr>
                          <a:xfrm>
                            <a:off x="506880" y="504360"/>
                            <a:ext cx="720" cy="16704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16" name="Shape 6"/>
                        <wps:cNvSpPr/>
                        <wps:spPr>
                          <a:xfrm>
                            <a:off x="0" y="671760"/>
                            <a:ext cx="1013400" cy="5036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Prudensial</w:t>
                              </w:r>
                            </w:p>
                            <w:p>
                              <w:pPr>
                                <w:pStyle w:val="Normal"/>
                                <w:spacing w:lineRule="auto" w:line="228" w:before="0" w:after="0"/>
                                <w:ind w:hanging="0"/>
                                <w:jc w:val="center"/>
                                <w:rPr/>
                              </w:pPr>
                              <w:r>
                                <w:rPr>
                                  <w:rFonts w:cs="Times New Roman"/>
                                  <w:b/>
                                  <w:color w:val="FFFFFF"/>
                                  <w:sz w:val="22"/>
                                  <w:szCs w:val="22"/>
                                </w:rPr>
                                <w:t>talablar</w:t>
                              </w:r>
                            </w:p>
                            <w:p>
                              <w:pPr>
                                <w:pStyle w:val="FrameContents"/>
                                <w:spacing w:before="0" w:after="200"/>
                                <w:rPr/>
                              </w:pPr>
                              <w:r>
                                <w:rPr/>
                              </w:r>
                            </w:p>
                          </w:txbxContent>
                        </wps:txbx>
                        <wps:bodyPr lIns="36360" rIns="36360" tIns="17640" bIns="17640" anchor="ctr">
                          <a:noAutofit/>
                        </wps:bodyPr>
                      </wps:wsp>
                      <wps:wsp>
                        <wps:cNvPr id="217" name="Shape 7"/>
                        <wps:cNvSpPr/>
                        <wps:spPr>
                          <a:xfrm>
                            <a:off x="1086480" y="671760"/>
                            <a:ext cx="1557000" cy="50364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Kapital monandligi</w:t>
                              </w:r>
                            </w:p>
                            <w:p>
                              <w:pPr>
                                <w:pStyle w:val="Normal"/>
                                <w:spacing w:lineRule="auto" w:line="228" w:before="0" w:after="0"/>
                                <w:ind w:hanging="0"/>
                                <w:jc w:val="center"/>
                                <w:rPr/>
                              </w:pPr>
                              <w:r>
                                <w:rPr>
                                  <w:rFonts w:cs="Times New Roman"/>
                                  <w:color w:val="000000"/>
                                  <w:sz w:val="20"/>
                                  <w:szCs w:val="20"/>
                                </w:rPr>
                                <w:t>(№ 3697, 2025)</w:t>
                              </w:r>
                            </w:p>
                            <w:p>
                              <w:pPr>
                                <w:pStyle w:val="FrameContents"/>
                                <w:spacing w:before="0" w:after="200"/>
                                <w:rPr/>
                              </w:pPr>
                              <w:r>
                                <w:rPr/>
                              </w:r>
                            </w:p>
                          </w:txbxContent>
                        </wps:txbx>
                        <wps:bodyPr lIns="36360" rIns="36360" tIns="17640" bIns="17640" anchor="ctr">
                          <a:noAutofit/>
                        </wps:bodyPr>
                      </wps:wsp>
                      <wps:wsp>
                        <wps:cNvPr id="218" name="Shape 8"/>
                        <wps:cNvSpPr/>
                        <wps:spPr>
                          <a:xfrm>
                            <a:off x="2717280" y="671760"/>
                            <a:ext cx="1557000" cy="50364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Likvidlik</w:t>
                              </w:r>
                            </w:p>
                            <w:p>
                              <w:pPr>
                                <w:pStyle w:val="Normal"/>
                                <w:spacing w:lineRule="auto" w:line="228" w:before="0" w:after="0"/>
                                <w:ind w:hanging="0"/>
                                <w:jc w:val="center"/>
                                <w:rPr/>
                              </w:pPr>
                              <w:r>
                                <w:rPr>
                                  <w:rFonts w:cs="Times New Roman"/>
                                  <w:color w:val="000000"/>
                                  <w:sz w:val="20"/>
                                  <w:szCs w:val="20"/>
                                </w:rPr>
                                <w:t>(LCR, NSFR, milliy</w:t>
                              </w:r>
                            </w:p>
                            <w:p>
                              <w:pPr>
                                <w:pStyle w:val="Normal"/>
                                <w:spacing w:lineRule="auto" w:line="228" w:before="0" w:after="0"/>
                                <w:ind w:hanging="0"/>
                                <w:jc w:val="center"/>
                                <w:rPr/>
                              </w:pPr>
                              <w:r>
                                <w:rPr>
                                  <w:rFonts w:cs="Times New Roman"/>
                                  <w:color w:val="000000"/>
                                  <w:sz w:val="20"/>
                                  <w:szCs w:val="20"/>
                                </w:rPr>
                                <w:t>normativlar)</w:t>
                              </w:r>
                            </w:p>
                            <w:p>
                              <w:pPr>
                                <w:pStyle w:val="FrameContents"/>
                                <w:spacing w:before="0" w:after="200"/>
                                <w:rPr/>
                              </w:pPr>
                              <w:r>
                                <w:rPr/>
                              </w:r>
                            </w:p>
                          </w:txbxContent>
                        </wps:txbx>
                        <wps:bodyPr lIns="36360" rIns="36360" tIns="17640" bIns="17640" anchor="ctr">
                          <a:noAutofit/>
                        </wps:bodyPr>
                      </wps:wsp>
                      <wps:wsp>
                        <wps:cNvPr id="219" name="Shape 9"/>
                        <wps:cNvSpPr/>
                        <wps:spPr>
                          <a:xfrm>
                            <a:off x="4347360" y="671760"/>
                            <a:ext cx="1557000" cy="50364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Aktivlarni tasniflash</w:t>
                              </w:r>
                            </w:p>
                            <w:p>
                              <w:pPr>
                                <w:pStyle w:val="Normal"/>
                                <w:spacing w:lineRule="auto" w:line="228" w:before="0" w:after="0"/>
                                <w:ind w:hanging="0"/>
                                <w:jc w:val="center"/>
                                <w:rPr/>
                              </w:pPr>
                              <w:r>
                                <w:rPr>
                                  <w:rFonts w:cs="Times New Roman"/>
                                  <w:color w:val="000000"/>
                                  <w:sz w:val="20"/>
                                  <w:szCs w:val="20"/>
                                </w:rPr>
                                <w:t>va zaxiralar</w:t>
                              </w:r>
                            </w:p>
                            <w:p>
                              <w:pPr>
                                <w:pStyle w:val="FrameContents"/>
                                <w:spacing w:before="0" w:after="200"/>
                                <w:rPr/>
                              </w:pPr>
                              <w:r>
                                <w:rPr/>
                              </w:r>
                            </w:p>
                          </w:txbxContent>
                        </wps:txbx>
                        <wps:bodyPr lIns="36360" rIns="36360" tIns="17640" bIns="17640" anchor="ctr">
                          <a:noAutofit/>
                        </wps:bodyPr>
                      </wps:wsp>
                      <wps:wsp>
                        <wps:cNvPr id="220" name="Connector 10"/>
                        <wps:cNvSpPr/>
                        <wps:spPr>
                          <a:xfrm>
                            <a:off x="506880" y="1176480"/>
                            <a:ext cx="720" cy="16776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21" name="Shape 11"/>
                        <wps:cNvSpPr/>
                        <wps:spPr>
                          <a:xfrm>
                            <a:off x="0" y="1344960"/>
                            <a:ext cx="1013400" cy="5036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Ichki boshqaruv</w:t>
                              </w:r>
                            </w:p>
                            <w:p>
                              <w:pPr>
                                <w:pStyle w:val="Normal"/>
                                <w:spacing w:lineRule="auto" w:line="228" w:before="0" w:after="0"/>
                                <w:ind w:hanging="0"/>
                                <w:jc w:val="center"/>
                                <w:rPr/>
                              </w:pPr>
                              <w:r>
                                <w:rPr>
                                  <w:rFonts w:cs="Times New Roman"/>
                                  <w:b/>
                                  <w:color w:val="FFFFFF"/>
                                  <w:sz w:val="22"/>
                                  <w:szCs w:val="22"/>
                                </w:rPr>
                                <w:t>talablari</w:t>
                              </w:r>
                            </w:p>
                            <w:p>
                              <w:pPr>
                                <w:pStyle w:val="FrameContents"/>
                                <w:spacing w:before="0" w:after="200"/>
                                <w:rPr/>
                              </w:pPr>
                              <w:r>
                                <w:rPr/>
                              </w:r>
                            </w:p>
                          </w:txbxContent>
                        </wps:txbx>
                        <wps:bodyPr lIns="36360" rIns="36360" tIns="17640" bIns="17640" anchor="ctr">
                          <a:noAutofit/>
                        </wps:bodyPr>
                      </wps:wsp>
                      <wps:wsp>
                        <wps:cNvPr id="222" name="Shape 12"/>
                        <wps:cNvSpPr/>
                        <wps:spPr>
                          <a:xfrm>
                            <a:off x="1086480" y="1344960"/>
                            <a:ext cx="1557000" cy="5036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Korporativ boshqaruv</w:t>
                              </w:r>
                            </w:p>
                            <w:p>
                              <w:pPr>
                                <w:pStyle w:val="Normal"/>
                                <w:spacing w:lineRule="auto" w:line="228" w:before="0" w:after="0"/>
                                <w:ind w:hanging="0"/>
                                <w:jc w:val="center"/>
                                <w:rPr/>
                              </w:pPr>
                              <w:r>
                                <w:rPr>
                                  <w:rFonts w:cs="Times New Roman"/>
                                  <w:color w:val="000000"/>
                                  <w:sz w:val="20"/>
                                  <w:szCs w:val="20"/>
                                </w:rPr>
                                <w:t>(№ 3254, 2020)</w:t>
                              </w:r>
                            </w:p>
                            <w:p>
                              <w:pPr>
                                <w:pStyle w:val="FrameContents"/>
                                <w:spacing w:before="0" w:after="200"/>
                                <w:rPr/>
                              </w:pPr>
                              <w:r>
                                <w:rPr/>
                              </w:r>
                            </w:p>
                          </w:txbxContent>
                        </wps:txbx>
                        <wps:bodyPr lIns="36360" rIns="36360" tIns="17640" bIns="17640" anchor="ctr">
                          <a:noAutofit/>
                        </wps:bodyPr>
                      </wps:wsp>
                      <wps:wsp>
                        <wps:cNvPr id="223" name="Shape 13"/>
                        <wps:cNvSpPr/>
                        <wps:spPr>
                          <a:xfrm>
                            <a:off x="2717280" y="1344960"/>
                            <a:ext cx="1557000" cy="5036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Risklarni boshqarish</w:t>
                              </w:r>
                            </w:p>
                            <w:p>
                              <w:pPr>
                                <w:pStyle w:val="Normal"/>
                                <w:spacing w:lineRule="auto" w:line="228" w:before="0" w:after="0"/>
                                <w:ind w:hanging="0"/>
                                <w:jc w:val="center"/>
                                <w:rPr/>
                              </w:pPr>
                              <w:r>
                                <w:rPr>
                                  <w:rFonts w:cs="Times New Roman"/>
                                  <w:color w:val="000000"/>
                                  <w:sz w:val="20"/>
                                  <w:szCs w:val="20"/>
                                </w:rPr>
                                <w:t>tizimi (№ 3427, 2023)</w:t>
                              </w:r>
                            </w:p>
                            <w:p>
                              <w:pPr>
                                <w:pStyle w:val="FrameContents"/>
                                <w:spacing w:before="0" w:after="200"/>
                                <w:rPr/>
                              </w:pPr>
                              <w:r>
                                <w:rPr/>
                              </w:r>
                            </w:p>
                          </w:txbxContent>
                        </wps:txbx>
                        <wps:bodyPr lIns="36360" rIns="36360" tIns="17640" bIns="17640" anchor="ctr">
                          <a:noAutofit/>
                        </wps:bodyPr>
                      </wps:wsp>
                      <wps:wsp>
                        <wps:cNvPr id="224" name="Shape 14"/>
                        <wps:cNvSpPr/>
                        <wps:spPr>
                          <a:xfrm>
                            <a:off x="4347360" y="1344960"/>
                            <a:ext cx="1557000" cy="50364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Ichki audit</w:t>
                              </w:r>
                            </w:p>
                            <w:p>
                              <w:pPr>
                                <w:pStyle w:val="Normal"/>
                                <w:spacing w:lineRule="auto" w:line="228" w:before="0" w:after="0"/>
                                <w:ind w:hanging="0"/>
                                <w:jc w:val="center"/>
                                <w:rPr/>
                              </w:pPr>
                              <w:r>
                                <w:rPr>
                                  <w:rFonts w:cs="Times New Roman"/>
                                  <w:color w:val="000000"/>
                                  <w:sz w:val="20"/>
                                  <w:szCs w:val="20"/>
                                </w:rPr>
                                <w:t>(№ 3302, 2021)</w:t>
                              </w:r>
                            </w:p>
                            <w:p>
                              <w:pPr>
                                <w:pStyle w:val="FrameContents"/>
                                <w:spacing w:before="0" w:after="200"/>
                                <w:rPr/>
                              </w:pPr>
                              <w:r>
                                <w:rPr/>
                              </w:r>
                            </w:p>
                          </w:txbxContent>
                        </wps:txbx>
                        <wps:bodyPr lIns="36360" rIns="36360" tIns="17640" bIns="17640" anchor="ctr">
                          <a:noAutofit/>
                        </wps:bodyPr>
                      </wps:wsp>
                      <wps:wsp>
                        <wps:cNvPr id="225" name="Connector 15"/>
                        <wps:cNvSpPr/>
                        <wps:spPr>
                          <a:xfrm>
                            <a:off x="506880" y="1848960"/>
                            <a:ext cx="720" cy="16704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26" name="Shape 16"/>
                        <wps:cNvSpPr/>
                        <wps:spPr>
                          <a:xfrm>
                            <a:off x="0" y="2016720"/>
                            <a:ext cx="1013400" cy="5036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Nazorat</w:t>
                              </w:r>
                            </w:p>
                            <w:p>
                              <w:pPr>
                                <w:pStyle w:val="Normal"/>
                                <w:spacing w:lineRule="auto" w:line="228" w:before="0" w:after="0"/>
                                <w:ind w:hanging="0"/>
                                <w:jc w:val="center"/>
                                <w:rPr/>
                              </w:pPr>
                              <w:r>
                                <w:rPr>
                                  <w:rFonts w:cs="Times New Roman"/>
                                  <w:b/>
                                  <w:color w:val="FFFFFF"/>
                                  <w:sz w:val="22"/>
                                  <w:szCs w:val="22"/>
                                </w:rPr>
                                <w:t>jarayonlari</w:t>
                              </w:r>
                            </w:p>
                            <w:p>
                              <w:pPr>
                                <w:pStyle w:val="FrameContents"/>
                                <w:spacing w:before="0" w:after="200"/>
                                <w:rPr/>
                              </w:pPr>
                              <w:r>
                                <w:rPr/>
                              </w:r>
                            </w:p>
                          </w:txbxContent>
                        </wps:txbx>
                        <wps:bodyPr lIns="36360" rIns="36360" tIns="17640" bIns="17640" anchor="ctr">
                          <a:noAutofit/>
                        </wps:bodyPr>
                      </wps:wsp>
                      <wps:wsp>
                        <wps:cNvPr id="227" name="Shape 17"/>
                        <wps:cNvSpPr/>
                        <wps:spPr>
                          <a:xfrm>
                            <a:off x="1086480" y="2016720"/>
                            <a:ext cx="1149480" cy="5036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Risklarga asoslangan</w:t>
                              </w:r>
                            </w:p>
                            <w:p>
                              <w:pPr>
                                <w:pStyle w:val="Normal"/>
                                <w:spacing w:lineRule="auto" w:line="228" w:before="0" w:after="0"/>
                                <w:ind w:hanging="0"/>
                                <w:jc w:val="center"/>
                                <w:rPr/>
                              </w:pPr>
                              <w:r>
                                <w:rPr>
                                  <w:rFonts w:cs="Times New Roman"/>
                                  <w:color w:val="000000"/>
                                  <w:sz w:val="20"/>
                                  <w:szCs w:val="20"/>
                                </w:rPr>
                                <w:t>nazorat (42/29, 2023)</w:t>
                              </w:r>
                            </w:p>
                            <w:p>
                              <w:pPr>
                                <w:pStyle w:val="FrameContents"/>
                                <w:spacing w:before="0" w:after="200"/>
                                <w:rPr/>
                              </w:pPr>
                              <w:r>
                                <w:rPr/>
                              </w:r>
                            </w:p>
                          </w:txbxContent>
                        </wps:txbx>
                        <wps:bodyPr lIns="36360" rIns="36360" tIns="17640" bIns="17640" anchor="ctr">
                          <a:noAutofit/>
                        </wps:bodyPr>
                      </wps:wsp>
                      <wps:wsp>
                        <wps:cNvPr id="228" name="Shape 18"/>
                        <wps:cNvSpPr/>
                        <wps:spPr>
                          <a:xfrm>
                            <a:off x="2309400" y="2016720"/>
                            <a:ext cx="1149480" cy="5036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Asoslangan mulohaza</w:t>
                              </w:r>
                            </w:p>
                            <w:p>
                              <w:pPr>
                                <w:pStyle w:val="Normal"/>
                                <w:spacing w:lineRule="auto" w:line="228" w:before="0" w:after="0"/>
                                <w:ind w:hanging="0"/>
                                <w:jc w:val="center"/>
                                <w:rPr/>
                              </w:pPr>
                              <w:r>
                                <w:rPr>
                                  <w:rFonts w:cs="Times New Roman"/>
                                  <w:color w:val="000000"/>
                                  <w:sz w:val="20"/>
                                  <w:szCs w:val="20"/>
                                </w:rPr>
                                <w:t>(34/3, 2023)</w:t>
                              </w:r>
                            </w:p>
                            <w:p>
                              <w:pPr>
                                <w:pStyle w:val="FrameContents"/>
                                <w:spacing w:before="0" w:after="200"/>
                                <w:rPr/>
                              </w:pPr>
                              <w:r>
                                <w:rPr/>
                              </w:r>
                            </w:p>
                          </w:txbxContent>
                        </wps:txbx>
                        <wps:bodyPr lIns="36360" rIns="36360" tIns="17640" bIns="17640" anchor="ctr">
                          <a:noAutofit/>
                        </wps:bodyPr>
                      </wps:wsp>
                      <wps:wsp>
                        <wps:cNvPr id="229" name="Shape 19"/>
                        <wps:cNvSpPr/>
                        <wps:spPr>
                          <a:xfrm>
                            <a:off x="3531960" y="2016720"/>
                            <a:ext cx="1149480" cy="5036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Tizimli banklar</w:t>
                              </w:r>
                            </w:p>
                            <w:p>
                              <w:pPr>
                                <w:pStyle w:val="Normal"/>
                                <w:spacing w:lineRule="auto" w:line="228" w:before="0" w:after="0"/>
                                <w:ind w:hanging="0"/>
                                <w:jc w:val="center"/>
                                <w:rPr/>
                              </w:pPr>
                              <w:r>
                                <w:rPr>
                                  <w:rFonts w:cs="Times New Roman"/>
                                  <w:color w:val="000000"/>
                                  <w:sz w:val="20"/>
                                  <w:szCs w:val="20"/>
                                </w:rPr>
                                <w:t>(4/13, 2023)</w:t>
                              </w:r>
                            </w:p>
                            <w:p>
                              <w:pPr>
                                <w:pStyle w:val="FrameContents"/>
                                <w:spacing w:before="0" w:after="200"/>
                                <w:rPr/>
                              </w:pPr>
                              <w:r>
                                <w:rPr/>
                              </w:r>
                            </w:p>
                          </w:txbxContent>
                        </wps:txbx>
                        <wps:bodyPr lIns="36360" rIns="36360" tIns="17640" bIns="17640" anchor="ctr">
                          <a:noAutofit/>
                        </wps:bodyPr>
                      </wps:wsp>
                      <wps:wsp>
                        <wps:cNvPr id="230" name="Shape 20"/>
                        <wps:cNvSpPr/>
                        <wps:spPr>
                          <a:xfrm>
                            <a:off x="4754880" y="2016720"/>
                            <a:ext cx="1149480" cy="50364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Kontrsiklik</w:t>
                              </w:r>
                            </w:p>
                            <w:p>
                              <w:pPr>
                                <w:pStyle w:val="Normal"/>
                                <w:spacing w:lineRule="auto" w:line="228" w:before="0" w:after="0"/>
                                <w:ind w:hanging="0"/>
                                <w:jc w:val="center"/>
                                <w:rPr/>
                              </w:pPr>
                              <w:r>
                                <w:rPr>
                                  <w:rFonts w:cs="Times New Roman"/>
                                  <w:color w:val="000000"/>
                                  <w:sz w:val="20"/>
                                  <w:szCs w:val="20"/>
                                </w:rPr>
                                <w:t>bufer (2026)</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2.1.1-rasm" style="position:absolute;margin-left:0pt;margin-top:-99.25pt;width:464.9pt;height:198.45pt" coordorigin="0,-1985" coordsize="9298,3969">
                <v:shape id="shape_0" ID="Connector 5" path="m0,0l-2147483648,-2147483647e" stroked="t" o:allowincell="f" style="position:absolute;left:798;top:-1191;width:0;height:262;mso-wrap-style:none;v-text-anchor:middle;mso-position-vertical:center" type="_x0000_t32">
                  <v:fill o:detectmouseclick="t" on="false"/>
                  <v:stroke color="#404040" weight="19080" endarrow="block" endarrowwidth="medium" endarrowlength="medium" joinstyle="round" endcap="flat"/>
                  <w10:wrap type="square"/>
                </v:shape>
                <v:shape id="shape_0" ID="Connector 10" path="m0,0l-2147483648,-2147483647e" stroked="t" o:allowincell="f" style="position:absolute;left:798;top:-132;width:0;height:263;mso-wrap-style:none;v-text-anchor:middle;mso-position-vertical:center" type="_x0000_t32">
                  <v:fill o:detectmouseclick="t" on="false"/>
                  <v:stroke color="#404040" weight="19080" endarrow="block" endarrowwidth="medium" endarrowlength="medium" joinstyle="round" endcap="flat"/>
                  <w10:wrap type="square"/>
                </v:shape>
                <v:shape id="shape_0" ID="Connector 15" path="m0,0l-2147483648,-2147483647e" stroked="t" o:allowincell="f" style="position:absolute;left:798;top:927;width:0;height:262;mso-wrap-style:none;v-text-anchor:middle;mso-position-vertical:center" type="_x0000_t32">
                  <v:fill o:detectmouseclick="t" on="false"/>
                  <v:stroke color="#404040" weight="1908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2.1.1-rasm. O‘zbekistonda banklar moliyaviy barqarorligini baholashning me’yoriy-huquqiy asoslari</w:t>
      </w:r>
      <w:r>
        <w:rPr>
          <w:rStyle w:val="FootnoteReference"/>
        </w:rPr>
        <w:footnoteReference w:id="16"/>
      </w:r>
      <w:r>
        <w:rPr>
          <w:rStyle w:val="FootnoteReference"/>
        </w:rPr>
        <w:footnoteReference w:customMarkFollows="1" w:id="17"/>
      </w:r>
      <w:r>
        <w:rPr>
          <w:rStyle w:val="FootnoteReference"/>
        </w:rPr>
        <w:footnoteReference w:customMarkFollows="1" w:id="18"/>
      </w:r>
      <w:r>
        <w:rPr>
          <w:rStyle w:val="FootnoteReference"/>
        </w:rPr>
        <w:footnoteReference w:customMarkFollows="1" w:id="19"/>
      </w:r>
      <w:r>
        <w:rPr>
          <w:rStyle w:val="FootnoteReference"/>
        </w:rPr>
        <w:footnoteReference w:customMarkFollows="1" w:id="20"/>
      </w:r>
      <w:r>
        <w:rPr>
          <w:rStyle w:val="FootnoteReference"/>
        </w:rPr>
        <w:footnoteReference w:customMarkFollows="1" w:id="21"/>
      </w:r>
      <w:r>
        <w:rPr>
          <w:rStyle w:val="FootnoteReference"/>
        </w:rPr>
        <w:footnoteReference w:customMarkFollows="1" w:id="22"/>
      </w:r>
      <w:r>
        <w:rPr>
          <w:rStyle w:val="FootnoteReference"/>
        </w:rPr>
        <w:footnoteReference w:customMarkFollows="1" w:id="23"/>
      </w:r>
      <w:r>
        <w:rPr>
          <w:rStyle w:val="FootnoteReference"/>
        </w:rPr>
        <w:footnoteReference w:customMarkFollows="1" w:id="24"/>
      </w:r>
      <w:r>
        <w:rPr>
          <w:rStyle w:val="FootnoteReference"/>
        </w:rPr>
        <w:footnoteReference w:customMarkFollows="1" w:id="25"/>
      </w:r>
      <w:r>
        <w:rPr>
          <w:rStyle w:val="FootnoteReference"/>
        </w:rPr>
        <w:footnoteReference w:customMarkFollows="1" w:id="26"/>
      </w:r>
      <w:r>
        <w:rPr>
          <w:rStyle w:val="FootnoteReference"/>
        </w:rPr>
        <w:footnoteReference w:customMarkFollows="1" w:id="27"/>
      </w:r>
      <w:r>
        <w:rPr>
          <w:rStyle w:val="FootnoteReference"/>
        </w:rPr>
        <w:footnoteReference w:customMarkFollows="1" w:id="28"/>
      </w:r>
      <w:r>
        <w:rPr>
          <w:rStyle w:val="FootnoteReference"/>
        </w:rPr>
        <w:footnoteReference w:customMarkFollows="1" w:id="29"/>
      </w:r>
      <w:r>
        <w:rPr>
          <w:rStyle w:val="FootnoteReference"/>
        </w:rPr>
        <w:footnoteReference w:customMarkFollows="1" w:id="30"/>
      </w:r>
      <w:r>
        <w:rPr>
          <w:rStyle w:val="FootnoteReference"/>
        </w:rPr>
        <w:footnoteReference w:customMarkFollows="1" w:id="31"/>
      </w:r>
      <w:r>
        <w:rPr>
          <w:rStyle w:val="FootnoteReference"/>
        </w:rPr>
        <w:footnoteReference w:customMarkFollows="1" w:id="32"/>
      </w:r>
      <w:r>
        <w:rPr>
          <w:rStyle w:val="FootnoteReference"/>
        </w:rPr>
        <w:footnoteReference w:customMarkFollows="1" w:id="33"/>
      </w:r>
      <w:r>
        <w:rPr>
          <w:rStyle w:val="FootnoteReference"/>
        </w:rPr>
        <w:footnoteReference w:customMarkFollows="1" w:id="34"/>
      </w:r>
      <w:r>
        <w:rPr>
          <w:rStyle w:val="FootnoteReference"/>
        </w:rPr>
        <w:footnoteReference w:customMarkFollows="1" w:id="35"/>
      </w:r>
      <w:r>
        <w:rPr>
          <w:rStyle w:val="FootnoteReference"/>
        </w:rPr>
        <w:footnoteReference w:customMarkFollows="1" w:id="36"/>
      </w:r>
      <w:r>
        <w:rPr>
          <w:rStyle w:val="FootnoteReference"/>
        </w:rPr>
        <w:footnoteReference w:customMarkFollows="1" w:id="37"/>
      </w:r>
      <w:r>
        <w:rPr>
          <w:rStyle w:val="FootnoteReference"/>
        </w:rPr>
        <w:footnoteReference w:customMarkFollows="1" w:id="38"/>
      </w:r>
      <w:r>
        <w:rPr>
          <w:rStyle w:val="FootnoteReference"/>
        </w:rPr>
        <w:footnoteReference w:customMarkFollows="1" w:id="39"/>
      </w:r>
      <w:r>
        <w:rPr>
          <w:rStyle w:val="FootnoteReference"/>
        </w:rPr>
        <w:footnoteReference w:customMarkFollows="1" w:id="40"/>
      </w:r>
      <w:r>
        <w:rPr>
          <w:rStyle w:val="FootnoteReference"/>
        </w:rPr>
        <w:footnoteReference w:customMarkFollows="1" w:id="41"/>
      </w:r>
      <w:r>
        <w:rPr>
          <w:rStyle w:val="FootnoteReference"/>
        </w:rPr>
        <w:footnoteReference w:customMarkFollows="1" w:id="42"/>
      </w:r>
      <w:r>
        <w:rPr>
          <w:rStyle w:val="FootnoteReference"/>
        </w:rPr>
        <w:footnoteReference w:customMarkFollows="1" w:id="43"/>
      </w:r>
      <w:r>
        <w:rPr>
          <w:rStyle w:val="FootnoteReference"/>
        </w:rPr>
        <w:footnoteReference w:customMarkFollows="1" w:id="44"/>
      </w:r>
      <w:r>
        <w:rPr>
          <w:rStyle w:val="FootnoteReference"/>
        </w:rPr>
        <w:footnoteReference w:customMarkFollows="1" w:id="45"/>
      </w:r>
      <w:r>
        <w:rPr>
          <w:rStyle w:val="FootnoteReference"/>
        </w:rPr>
        <w:footnoteReference w:customMarkFollows="1" w:id="46"/>
      </w:r>
      <w:r>
        <w:rPr>
          <w:rStyle w:val="FootnoteReference"/>
        </w:rPr>
        <w:footnoteReference w:customMarkFollows="1" w:id="47"/>
      </w:r>
    </w:p>
    <w:p>
      <w:pPr>
        <w:pStyle w:val="BodyText"/>
        <w:spacing w:lineRule="auto" w:line="360" w:before="0" w:after="0"/>
        <w:ind w:firstLine="709"/>
        <w:jc w:val="both"/>
        <w:rPr/>
      </w:pPr>
      <w:r>
        <w:rPr>
          <w:rFonts w:eastAsia="Times New Roman" w:cs="Times New Roman"/>
          <w:sz w:val="28"/>
        </w:rP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48"/>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49"/>
      </w:r>
      <w:r>
        <w:rPr>
          <w:rFonts w:eastAsia="Times New Roman" w:cs="Times New Roman"/>
          <w:sz w:val="28"/>
        </w:rPr>
        <w:t>. Shu bilan Bazel III ning makroprudensial elementlari – kapital buferlari ham joriy etildi.</w:t>
      </w:r>
      <w:bookmarkEnd w:id="18"/>
    </w:p>
    <w:p>
      <w:pPr>
        <w:pStyle w:val="Heading3"/>
        <w:keepNext w:val="true"/>
        <w:spacing w:lineRule="auto" w:line="360" w:before="240" w:after="120"/>
        <w:ind w:firstLine="709"/>
        <w:jc w:val="both"/>
        <w:rPr/>
      </w:pPr>
      <w:bookmarkStart w:id="19" w:name="amaldagi-baholash-tizimining-tarkibi"/>
      <w:r>
        <w:rPr>
          <w:rFonts w:eastAsia="Times New Roman" w:cs="Times New Roman" w:ascii="Times New Roman" w:hAnsi="Times New Roman"/>
          <w:b/>
          <w:i w:val="false"/>
          <w:sz w:val="28"/>
        </w:rPr>
        <w:t>2. Amaldagi baholash tizimining tarkibi</w:t>
      </w:r>
    </w:p>
    <w:p>
      <w:pPr>
        <w:pStyle w:val="FirstParagraph"/>
        <w:spacing w:lineRule="auto" w:line="360" w:before="0" w:after="0"/>
        <w:ind w:firstLine="709"/>
        <w:jc w:val="both"/>
        <w:rPr/>
      </w:pPr>
      <w:r>
        <w:rPr>
          <w:rFonts w:eastAsia="Times New Roman" w:cs="Times New Roman"/>
          <w:sz w:val="28"/>
        </w:rP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pPr>
        <w:pStyle w:val="BodyText"/>
        <w:keepNext w:val="true"/>
        <w:spacing w:lineRule="auto" w:line="240" w:before="0" w:after="0"/>
        <w:ind w:hanging="0"/>
        <w:jc w:val="center"/>
        <w:rPr/>
      </w:pPr>
      <w:r>
        <w:rPr/>
        <mc:AlternateContent>
          <mc:Choice Requires="wpg">
            <w:drawing>
              <wp:inline distT="0" distB="0" distL="0" distR="0">
                <wp:extent cx="5904230" cy="2628265"/>
                <wp:effectExtent l="0" t="0" r="0" b="0"/>
                <wp:docPr id="231" name="2.1.2-rasm"/>
                <a:graphic xmlns:a="http://schemas.openxmlformats.org/drawingml/2006/main">
                  <a:graphicData uri="http://schemas.microsoft.com/office/word/2010/wordprocessingGroup">
                    <wpg:wgp>
                      <wpg:cNvGrpSpPr/>
                      <wpg:grpSpPr>
                        <a:xfrm>
                          <a:off x="0" y="0"/>
                          <a:ext cx="5904360" cy="2628360"/>
                          <a:chOff x="0" y="0"/>
                          <a:chExt cx="5904360" cy="2628360"/>
                        </a:xfrm>
                      </wpg:grpSpPr>
                      <wps:wsp>
                        <wps:cNvPr id="232" name="Shape 21"/>
                        <wps:cNvSpPr/>
                        <wps:spPr>
                          <a:xfrm>
                            <a:off x="2053080" y="0"/>
                            <a:ext cx="1833840" cy="3348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O‘zbekiston Respublikasi</w:t>
                              </w:r>
                            </w:p>
                            <w:p>
                              <w:pPr>
                                <w:pStyle w:val="Normal"/>
                                <w:spacing w:lineRule="auto" w:line="228" w:before="0" w:after="0"/>
                                <w:ind w:hanging="0"/>
                                <w:jc w:val="center"/>
                                <w:rPr/>
                              </w:pPr>
                              <w:r>
                                <w:rPr>
                                  <w:rFonts w:cs="Times New Roman"/>
                                  <w:b/>
                                  <w:color w:val="FFFFFF"/>
                                  <w:sz w:val="22"/>
                                  <w:szCs w:val="22"/>
                                </w:rPr>
                                <w:t>Markaziy banki</w:t>
                              </w:r>
                            </w:p>
                            <w:p>
                              <w:pPr>
                                <w:pStyle w:val="FrameContents"/>
                                <w:spacing w:before="0" w:after="200"/>
                                <w:rPr/>
                              </w:pPr>
                              <w:r>
                                <w:rPr/>
                              </w:r>
                            </w:p>
                          </w:txbxContent>
                        </wps:txbx>
                        <wps:bodyPr lIns="36360" rIns="36360" tIns="17640" bIns="17640" anchor="ctr">
                          <a:noAutofit/>
                        </wps:bodyPr>
                      </wps:wsp>
                      <wps:wsp>
                        <wps:cNvPr id="233" name="Connector 22"/>
                        <wps:cNvSpPr/>
                        <wps:spPr>
                          <a:xfrm flipH="1">
                            <a:off x="934200" y="335160"/>
                            <a:ext cx="203472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34" name="Shape 23"/>
                        <wps:cNvSpPr/>
                        <wps:spPr>
                          <a:xfrm>
                            <a:off x="0" y="559440"/>
                            <a:ext cx="1869480" cy="3722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Prudensial normativlar</w:t>
                              </w:r>
                            </w:p>
                            <w:p>
                              <w:pPr>
                                <w:pStyle w:val="FrameContents"/>
                                <w:spacing w:before="0" w:after="200"/>
                                <w:rPr/>
                              </w:pPr>
                              <w:r>
                                <w:rPr/>
                              </w:r>
                            </w:p>
                          </w:txbxContent>
                        </wps:txbx>
                        <wps:bodyPr lIns="36360" rIns="36360" tIns="17640" bIns="17640" anchor="ctr">
                          <a:noAutofit/>
                        </wps:bodyPr>
                      </wps:wsp>
                      <wps:wsp>
                        <wps:cNvPr id="235" name="Shape 24"/>
                        <wps:cNvSpPr/>
                        <wps:spPr>
                          <a:xfrm>
                            <a:off x="0" y="988200"/>
                            <a:ext cx="1869480" cy="96912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Kapital monandligi;</w:t>
                              </w:r>
                            </w:p>
                            <w:p>
                              <w:pPr>
                                <w:pStyle w:val="Normal"/>
                                <w:spacing w:lineRule="auto" w:line="228" w:before="0" w:after="0"/>
                                <w:ind w:hanging="0"/>
                                <w:jc w:val="center"/>
                                <w:rPr/>
                              </w:pPr>
                              <w:r>
                                <w:rPr>
                                  <w:rFonts w:cs="Times New Roman"/>
                                  <w:color w:val="000000"/>
                                  <w:sz w:val="20"/>
                                  <w:szCs w:val="20"/>
                                </w:rPr>
                                <w:t>leverej;</w:t>
                              </w:r>
                            </w:p>
                            <w:p>
                              <w:pPr>
                                <w:pStyle w:val="Normal"/>
                                <w:spacing w:lineRule="auto" w:line="228" w:before="0" w:after="0"/>
                                <w:ind w:hanging="0"/>
                                <w:jc w:val="center"/>
                                <w:rPr/>
                              </w:pPr>
                              <w:r>
                                <w:rPr>
                                  <w:rFonts w:cs="Times New Roman"/>
                                  <w:color w:val="000000"/>
                                  <w:sz w:val="20"/>
                                  <w:szCs w:val="20"/>
                                </w:rPr>
                                <w:t>LCR, NSFR va milliy</w:t>
                              </w:r>
                            </w:p>
                            <w:p>
                              <w:pPr>
                                <w:pStyle w:val="Normal"/>
                                <w:spacing w:lineRule="auto" w:line="228" w:before="0" w:after="0"/>
                                <w:ind w:hanging="0"/>
                                <w:jc w:val="center"/>
                                <w:rPr/>
                              </w:pPr>
                              <w:r>
                                <w:rPr>
                                  <w:rFonts w:cs="Times New Roman"/>
                                  <w:color w:val="000000"/>
                                  <w:sz w:val="20"/>
                                  <w:szCs w:val="20"/>
                                </w:rPr>
                                <w:t>likvidlik normativlari;</w:t>
                              </w:r>
                            </w:p>
                            <w:p>
                              <w:pPr>
                                <w:pStyle w:val="Normal"/>
                                <w:spacing w:lineRule="auto" w:line="228" w:before="0" w:after="0"/>
                                <w:ind w:hanging="0"/>
                                <w:jc w:val="center"/>
                                <w:rPr/>
                              </w:pPr>
                              <w:r>
                                <w:rPr>
                                  <w:rFonts w:cs="Times New Roman"/>
                                  <w:color w:val="000000"/>
                                  <w:sz w:val="20"/>
                                  <w:szCs w:val="20"/>
                                </w:rPr>
                                <w:t>hisobotlar asosida</w:t>
                              </w:r>
                            </w:p>
                            <w:p>
                              <w:pPr>
                                <w:pStyle w:val="Normal"/>
                                <w:spacing w:lineRule="auto" w:line="228" w:before="0" w:after="0"/>
                                <w:ind w:hanging="0"/>
                                <w:jc w:val="center"/>
                                <w:rPr/>
                              </w:pPr>
                              <w:r>
                                <w:rPr>
                                  <w:rFonts w:cs="Times New Roman"/>
                                  <w:color w:val="000000"/>
                                  <w:sz w:val="20"/>
                                  <w:szCs w:val="20"/>
                                </w:rPr>
                                <w:t>muntazam nazorat</w:t>
                              </w:r>
                            </w:p>
                            <w:p>
                              <w:pPr>
                                <w:pStyle w:val="FrameContents"/>
                                <w:spacing w:before="0" w:after="200"/>
                                <w:rPr/>
                              </w:pPr>
                              <w:r>
                                <w:rPr/>
                              </w:r>
                            </w:p>
                          </w:txbxContent>
                        </wps:txbx>
                        <wps:bodyPr lIns="36360" rIns="36360" tIns="17640" bIns="17640" anchor="ctr">
                          <a:noAutofit/>
                        </wps:bodyPr>
                      </wps:wsp>
                      <wps:wsp>
                        <wps:cNvPr id="236" name="Connector 25"/>
                        <wps:cNvSpPr/>
                        <wps:spPr>
                          <a:xfrm flipH="1">
                            <a:off x="2950920" y="335160"/>
                            <a:ext cx="1764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37" name="Shape 26"/>
                        <wps:cNvSpPr/>
                        <wps:spPr>
                          <a:xfrm>
                            <a:off x="2016720" y="559440"/>
                            <a:ext cx="1870200" cy="3722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Risklarga asoslangan</w:t>
                              </w:r>
                            </w:p>
                            <w:p>
                              <w:pPr>
                                <w:pStyle w:val="Normal"/>
                                <w:spacing w:lineRule="auto" w:line="228" w:before="0" w:after="0"/>
                                <w:ind w:hanging="0"/>
                                <w:jc w:val="center"/>
                                <w:rPr/>
                              </w:pPr>
                              <w:r>
                                <w:rPr>
                                  <w:rFonts w:cs="Times New Roman"/>
                                  <w:b/>
                                  <w:color w:val="FFFFFF"/>
                                  <w:sz w:val="22"/>
                                  <w:szCs w:val="22"/>
                                </w:rPr>
                                <w:t>nazorat</w:t>
                              </w:r>
                            </w:p>
                            <w:p>
                              <w:pPr>
                                <w:pStyle w:val="FrameContents"/>
                                <w:spacing w:before="0" w:after="200"/>
                                <w:rPr/>
                              </w:pPr>
                              <w:r>
                                <w:rPr/>
                              </w:r>
                            </w:p>
                          </w:txbxContent>
                        </wps:txbx>
                        <wps:bodyPr lIns="36360" rIns="36360" tIns="17640" bIns="17640" anchor="ctr">
                          <a:noAutofit/>
                        </wps:bodyPr>
                      </wps:wsp>
                      <wps:wsp>
                        <wps:cNvPr id="238" name="Shape 27"/>
                        <wps:cNvSpPr/>
                        <wps:spPr>
                          <a:xfrm>
                            <a:off x="2016720" y="988200"/>
                            <a:ext cx="1870200" cy="9691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Bank risk profili va</w:t>
                              </w:r>
                            </w:p>
                            <w:p>
                              <w:pPr>
                                <w:pStyle w:val="Normal"/>
                                <w:spacing w:lineRule="auto" w:line="228" w:before="0" w:after="0"/>
                                <w:ind w:hanging="0"/>
                                <w:jc w:val="center"/>
                                <w:rPr/>
                              </w:pPr>
                              <w:r>
                                <w:rPr>
                                  <w:rFonts w:cs="Times New Roman"/>
                                  <w:color w:val="000000"/>
                                  <w:sz w:val="20"/>
                                  <w:szCs w:val="20"/>
                                </w:rPr>
                                <w:t>ichki nazoratining</w:t>
                              </w:r>
                            </w:p>
                            <w:p>
                              <w:pPr>
                                <w:pStyle w:val="Normal"/>
                                <w:spacing w:lineRule="auto" w:line="228" w:before="0" w:after="0"/>
                                <w:ind w:hanging="0"/>
                                <w:jc w:val="center"/>
                                <w:rPr/>
                              </w:pPr>
                              <w:r>
                                <w:rPr>
                                  <w:rFonts w:cs="Times New Roman"/>
                                  <w:color w:val="000000"/>
                                  <w:sz w:val="20"/>
                                  <w:szCs w:val="20"/>
                                </w:rPr>
                                <w:t>avtomatik reytingi;</w:t>
                              </w:r>
                            </w:p>
                            <w:p>
                              <w:pPr>
                                <w:pStyle w:val="Normal"/>
                                <w:spacing w:lineRule="auto" w:line="228" w:before="0" w:after="0"/>
                                <w:ind w:hanging="0"/>
                                <w:jc w:val="center"/>
                                <w:rPr/>
                              </w:pPr>
                              <w:r>
                                <w:rPr>
                                  <w:rFonts w:cs="Times New Roman"/>
                                  <w:color w:val="000000"/>
                                  <w:sz w:val="20"/>
                                  <w:szCs w:val="20"/>
                                </w:rPr>
                                <w:t>kuratorlar tuzatishi;</w:t>
                              </w:r>
                            </w:p>
                            <w:p>
                              <w:pPr>
                                <w:pStyle w:val="Normal"/>
                                <w:spacing w:lineRule="auto" w:line="228" w:before="0" w:after="0"/>
                                <w:ind w:hanging="0"/>
                                <w:jc w:val="center"/>
                                <w:rPr/>
                              </w:pPr>
                              <w:r>
                                <w:rPr>
                                  <w:rFonts w:cs="Times New Roman"/>
                                  <w:color w:val="000000"/>
                                  <w:sz w:val="20"/>
                                  <w:szCs w:val="20"/>
                                </w:rPr>
                                <w:t>asoslangan mulohaza;</w:t>
                              </w:r>
                            </w:p>
                            <w:p>
                              <w:pPr>
                                <w:pStyle w:val="Normal"/>
                                <w:spacing w:lineRule="auto" w:line="228" w:before="0" w:after="0"/>
                                <w:ind w:hanging="0"/>
                                <w:jc w:val="center"/>
                                <w:rPr/>
                              </w:pPr>
                              <w:r>
                                <w:rPr>
                                  <w:rFonts w:cs="Times New Roman"/>
                                  <w:color w:val="000000"/>
                                  <w:sz w:val="20"/>
                                  <w:szCs w:val="20"/>
                                </w:rPr>
                                <w:t>joyida tekshiruv</w:t>
                              </w:r>
                            </w:p>
                            <w:p>
                              <w:pPr>
                                <w:pStyle w:val="FrameContents"/>
                                <w:spacing w:before="0" w:after="200"/>
                                <w:rPr/>
                              </w:pPr>
                              <w:r>
                                <w:rPr/>
                              </w:r>
                            </w:p>
                          </w:txbxContent>
                        </wps:txbx>
                        <wps:bodyPr lIns="36360" rIns="36360" tIns="17640" bIns="17640" anchor="ctr">
                          <a:noAutofit/>
                        </wps:bodyPr>
                      </wps:wsp>
                      <wps:wsp>
                        <wps:cNvPr id="239" name="Connector 28"/>
                        <wps:cNvSpPr/>
                        <wps:spPr>
                          <a:xfrm>
                            <a:off x="2970360" y="335160"/>
                            <a:ext cx="1998360" cy="22356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40" name="Shape 29"/>
                        <wps:cNvSpPr/>
                        <wps:spPr>
                          <a:xfrm>
                            <a:off x="4034160" y="559440"/>
                            <a:ext cx="1869480" cy="3722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Makroprudensial</w:t>
                              </w:r>
                            </w:p>
                            <w:p>
                              <w:pPr>
                                <w:pStyle w:val="Normal"/>
                                <w:spacing w:lineRule="auto" w:line="228" w:before="0" w:after="0"/>
                                <w:ind w:hanging="0"/>
                                <w:jc w:val="center"/>
                                <w:rPr/>
                              </w:pPr>
                              <w:r>
                                <w:rPr>
                                  <w:rFonts w:cs="Times New Roman"/>
                                  <w:b/>
                                  <w:color w:val="FFFFFF"/>
                                  <w:sz w:val="22"/>
                                  <w:szCs w:val="22"/>
                                </w:rPr>
                                <w:t>monitoring</w:t>
                              </w:r>
                            </w:p>
                            <w:p>
                              <w:pPr>
                                <w:pStyle w:val="FrameContents"/>
                                <w:spacing w:before="0" w:after="200"/>
                                <w:rPr/>
                              </w:pPr>
                              <w:r>
                                <w:rPr/>
                              </w:r>
                            </w:p>
                          </w:txbxContent>
                        </wps:txbx>
                        <wps:bodyPr lIns="36360" rIns="36360" tIns="17640" bIns="17640" anchor="ctr">
                          <a:noAutofit/>
                        </wps:bodyPr>
                      </wps:wsp>
                      <wps:wsp>
                        <wps:cNvPr id="241" name="Shape 30"/>
                        <wps:cNvSpPr/>
                        <wps:spPr>
                          <a:xfrm>
                            <a:off x="4034160" y="988200"/>
                            <a:ext cx="1869480" cy="9691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Moliyaviy barqarorlik</w:t>
                              </w:r>
                            </w:p>
                            <w:p>
                              <w:pPr>
                                <w:pStyle w:val="Normal"/>
                                <w:spacing w:lineRule="auto" w:line="228" w:before="0" w:after="0"/>
                                <w:ind w:hanging="0"/>
                                <w:jc w:val="center"/>
                                <w:rPr/>
                              </w:pPr>
                              <w:r>
                                <w:rPr>
                                  <w:rFonts w:cs="Times New Roman"/>
                                  <w:color w:val="000000"/>
                                  <w:sz w:val="20"/>
                                  <w:szCs w:val="20"/>
                                </w:rPr>
                                <w:t>sharhi (yiliga 2 marta);</w:t>
                              </w:r>
                            </w:p>
                            <w:p>
                              <w:pPr>
                                <w:pStyle w:val="Normal"/>
                                <w:spacing w:lineRule="auto" w:line="228" w:before="0" w:after="0"/>
                                <w:ind w:hanging="0"/>
                                <w:jc w:val="center"/>
                                <w:rPr/>
                              </w:pPr>
                              <w:r>
                                <w:rPr>
                                  <w:rFonts w:cs="Times New Roman"/>
                                  <w:color w:val="000000"/>
                                  <w:sz w:val="20"/>
                                  <w:szCs w:val="20"/>
                                </w:rPr>
                                <w:t>to‘lov qobiliyati va</w:t>
                              </w:r>
                            </w:p>
                            <w:p>
                              <w:pPr>
                                <w:pStyle w:val="Normal"/>
                                <w:spacing w:lineRule="auto" w:line="228" w:before="0" w:after="0"/>
                                <w:ind w:hanging="0"/>
                                <w:jc w:val="center"/>
                                <w:rPr/>
                              </w:pPr>
                              <w:r>
                                <w:rPr>
                                  <w:rFonts w:cs="Times New Roman"/>
                                  <w:color w:val="000000"/>
                                  <w:sz w:val="20"/>
                                  <w:szCs w:val="20"/>
                                </w:rPr>
                                <w:t>likvidlik stress-testlari;</w:t>
                              </w:r>
                            </w:p>
                            <w:p>
                              <w:pPr>
                                <w:pStyle w:val="Normal"/>
                                <w:spacing w:lineRule="auto" w:line="228" w:before="0" w:after="0"/>
                                <w:ind w:hanging="0"/>
                                <w:jc w:val="center"/>
                                <w:rPr/>
                              </w:pPr>
                              <w:r>
                                <w:rPr>
                                  <w:rFonts w:cs="Times New Roman"/>
                                  <w:color w:val="000000"/>
                                  <w:sz w:val="20"/>
                                  <w:szCs w:val="20"/>
                                </w:rPr>
                                <w:t>kontrsiklik bufer;</w:t>
                              </w:r>
                            </w:p>
                            <w:p>
                              <w:pPr>
                                <w:pStyle w:val="Normal"/>
                                <w:spacing w:lineRule="auto" w:line="228" w:before="0" w:after="0"/>
                                <w:ind w:hanging="0"/>
                                <w:jc w:val="center"/>
                                <w:rPr/>
                              </w:pPr>
                              <w:r>
                                <w:rPr>
                                  <w:rFonts w:cs="Times New Roman"/>
                                  <w:color w:val="000000"/>
                                  <w:sz w:val="20"/>
                                  <w:szCs w:val="20"/>
                                </w:rPr>
                                <w:t>tizimli banklar</w:t>
                              </w:r>
                            </w:p>
                            <w:p>
                              <w:pPr>
                                <w:pStyle w:val="FrameContents"/>
                                <w:spacing w:before="0" w:after="200"/>
                                <w:rPr/>
                              </w:pPr>
                              <w:r>
                                <w:rPr/>
                              </w:r>
                            </w:p>
                          </w:txbxContent>
                        </wps:txbx>
                        <wps:bodyPr lIns="36360" rIns="36360" tIns="17640" bIns="17640" anchor="ctr">
                          <a:noAutofit/>
                        </wps:bodyPr>
                      </wps:wsp>
                      <wps:wsp>
                        <wps:cNvPr id="242" name="Shape 31"/>
                        <wps:cNvSpPr/>
                        <wps:spPr>
                          <a:xfrm>
                            <a:off x="0" y="2031840"/>
                            <a:ext cx="3886920" cy="242640"/>
                          </a:xfrm>
                          <a:prstGeom prst="roundRect">
                            <a:avLst>
                              <a:gd name="adj" fmla="val 10000"/>
                            </a:avLst>
                          </a:prstGeom>
                          <a:solidFill>
                            <a:srgbClr val="deebf7"/>
                          </a:solidFill>
                          <a:ln w="12700">
                            <a:solidFill>
                              <a:srgbClr val="9dc3e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Mikro daraja – alohida bank</w:t>
                              </w:r>
                            </w:p>
                            <w:p>
                              <w:pPr>
                                <w:pStyle w:val="FrameContents"/>
                                <w:spacing w:before="0" w:after="200"/>
                                <w:rPr/>
                              </w:pPr>
                              <w:r>
                                <w:rPr/>
                              </w:r>
                            </w:p>
                          </w:txbxContent>
                        </wps:txbx>
                        <wps:bodyPr lIns="36360" rIns="36360" tIns="17640" bIns="17640" anchor="ctr">
                          <a:noAutofit/>
                        </wps:bodyPr>
                      </wps:wsp>
                      <wps:wsp>
                        <wps:cNvPr id="243" name="Shape 32"/>
                        <wps:cNvSpPr/>
                        <wps:spPr>
                          <a:xfrm>
                            <a:off x="4034160" y="2031840"/>
                            <a:ext cx="1869480" cy="242640"/>
                          </a:xfrm>
                          <a:prstGeom prst="roundRect">
                            <a:avLst>
                              <a:gd name="adj" fmla="val 10000"/>
                            </a:avLst>
                          </a:prstGeom>
                          <a:solidFill>
                            <a:srgbClr val="fbe5d6"/>
                          </a:solidFill>
                          <a:ln w="12700">
                            <a:solidFill>
                              <a:srgbClr val="f4b183"/>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Makro daraja – bank tizimi</w:t>
                              </w:r>
                            </w:p>
                            <w:p>
                              <w:pPr>
                                <w:pStyle w:val="FrameContents"/>
                                <w:spacing w:before="0" w:after="200"/>
                                <w:rPr/>
                              </w:pPr>
                              <w:r>
                                <w:rPr/>
                              </w:r>
                            </w:p>
                          </w:txbxContent>
                        </wps:txbx>
                        <wps:bodyPr lIns="36360" rIns="36360" tIns="17640" bIns="17640" anchor="ctr">
                          <a:noAutofit/>
                        </wps:bodyPr>
                      </wps:wsp>
                      <wps:wsp>
                        <wps:cNvPr id="244" name="Shape 33"/>
                        <wps:cNvSpPr/>
                        <wps:spPr>
                          <a:xfrm>
                            <a:off x="0" y="2349360"/>
                            <a:ext cx="5904360" cy="278640"/>
                          </a:xfrm>
                          <a:prstGeom prst="roundRect">
                            <a:avLst>
                              <a:gd name="adj" fmla="val 10000"/>
                            </a:avLst>
                          </a:prstGeom>
                          <a:solidFill>
                            <a:srgbClr val="ffffff"/>
                          </a:solidFill>
                          <a:ln w="12700">
                            <a:solidFill>
                              <a:srgbClr val="7f7f7f"/>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0"/>
                                  <w:szCs w:val="20"/>
                                </w:rPr>
                                <w:t>Tashqi baholash: xalqaro reyting agentliklari, auditorlar (MHXS bo‘yicha hisobot), XVJ va Jahon banki (FSAP)</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2.1.2-rasm" style="position:absolute;margin-left:0pt;margin-top:-103.5pt;width:464.9pt;height:206.95pt" coordorigin="0,-2070" coordsize="9298,4139">
                <v:shape id="shape_0" ID="Connector 22" path="m0,0l-2147483648,-2147483647e" stroked="t" o:allowincell="f" style="position:absolute;left:1471;top:-1542;width:3203;height:35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25" path="m0,0l-2147483648,-2147483647e" stroked="t" o:allowincell="f" style="position:absolute;left:4647;top:-1542;width:27;height:351;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28" path="m0,0l-2147483648,-2147483647e" stroked="t" o:allowincell="f" style="position:absolute;left:4678;top:-1542;width:3146;height:351;mso-wrap-style:none;v-text-anchor:middle;mso-position-vertical:center" type="_x0000_t32">
                  <v:fill o:detectmouseclick="t" on="false"/>
                  <v:stroke color="#404040" weight="158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2.1.2-rasm. O‘zbekistonda banklar moliyaviy barqarorligini baholashning amaldagi tizimi</w:t>
      </w:r>
      <w:r>
        <w:rPr>
          <w:rStyle w:val="FootnoteReference"/>
        </w:rPr>
        <w:footnoteReference w:id="50"/>
      </w:r>
    </w:p>
    <w:p>
      <w:pPr>
        <w:pStyle w:val="BodyText"/>
        <w:spacing w:lineRule="auto" w:line="360" w:before="0" w:after="0"/>
        <w:ind w:firstLine="709"/>
        <w:jc w:val="both"/>
        <w:rPr/>
      </w:pPr>
      <w:r>
        <w:rPr>
          <w:rFonts w:eastAsia="Times New Roman" w:cs="Times New Roman"/>
          <w:b/>
          <w:bCs/>
          <w:sz w:val="28"/>
        </w:rPr>
        <w:t>Prudensial normativlar.</w:t>
      </w:r>
      <w:r>
        <w:rPr>
          <w:rFonts w:eastAsia="Times New Roman" w:cs="Times New Roman"/>
          <w:sz w:val="28"/>
        </w:rPr>
        <w:t xml:space="preserve"> Baholashning birinchi va eng rasmiylashgan darajasi – banklarning majburiy prudensial normativlarga rioya etishini nazorat qilish. Amaldagi asosiy talablar 2.1.1-jadvalda umumlashtirilgan.</w:t>
      </w:r>
    </w:p>
    <w:p>
      <w:pPr>
        <w:pStyle w:val="BodyText"/>
        <w:keepNext w:val="true"/>
        <w:spacing w:lineRule="auto" w:line="360" w:before="120" w:after="0"/>
        <w:ind w:hanging="0"/>
        <w:jc w:val="right"/>
        <w:rPr/>
      </w:pPr>
      <w:r>
        <w:rPr>
          <w:rFonts w:eastAsia="Times New Roman" w:cs="Times New Roman"/>
          <w:i/>
          <w:sz w:val="28"/>
        </w:rPr>
        <w:t>2.1.1-jadval</w:t>
      </w:r>
    </w:p>
    <w:p>
      <w:pPr>
        <w:pStyle w:val="BodyText"/>
        <w:keepNext w:val="true"/>
        <w:spacing w:lineRule="auto" w:line="240" w:before="0" w:after="120"/>
        <w:ind w:hanging="0"/>
        <w:jc w:val="center"/>
        <w:rPr/>
      </w:pPr>
      <w:r>
        <w:rPr>
          <w:rFonts w:eastAsia="Times New Roman" w:cs="Times New Roman"/>
          <w:b/>
          <w:bCs/>
          <w:sz w:val="28"/>
        </w:rPr>
        <w:t>O‘zbekistonda tijorat banklariga qo‘yiladigan asosiy prudensial talablar</w:t>
      </w:r>
      <w:r>
        <w:rPr>
          <w:rStyle w:val="FootnoteReference"/>
        </w:rPr>
        <w:footnoteReference w:id="5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22"/>
        <w:gridCol w:w="2422"/>
        <w:gridCol w:w="2422"/>
        <w:gridCol w:w="2422"/>
      </w:tblGrid>
      <w:tr>
        <w:trPr>
          <w:tblHeader w:val="true"/>
          <w:cantSplit w:val="true"/>
        </w:trPr>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Talab</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Bazel III minimumi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Izoh</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darajali asosiy kapital (CET1) monandligi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4,5%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2026-yildan yangi nizom bo‘yicha</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13% (2020–2025-yillar)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lik saqlash buferini o‘z ichiga olgan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Leverej koeffitsiyenti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6%</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minimumidan ikki baravar yuqori</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Kapitalni saqlash buferi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2025-yildan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Kontrsiklik bufer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0–2,5%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2026-yil 1-yanvardan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ahamiyatli banklar buferi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1–3,5% (G-SIB)</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 ta bank uchun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2018-yildan to‘liq</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NSFR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2018-yildan</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Joriy likvidlik</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normativ</w:t>
            </w:r>
          </w:p>
        </w:tc>
      </w:tr>
      <w:tr>
        <w:trPr>
          <w:cantSplit w:val="true"/>
        </w:trPr>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Lahzali likvidlik</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normativ</w:t>
            </w:r>
          </w:p>
        </w:tc>
      </w:tr>
    </w:tbl>
    <w:p>
      <w:pPr>
        <w:pStyle w:val="BodyText"/>
        <w:spacing w:lineRule="auto" w:line="360" w:before="0" w:after="0"/>
        <w:ind w:firstLine="709"/>
        <w:jc w:val="both"/>
        <w:rPr/>
      </w:pPr>
      <w:r>
        <w:rPr>
          <w:rFonts w:eastAsia="Times New Roman" w:cs="Times New Roman"/>
          <w:sz w:val="28"/>
        </w:rPr>
        <w:t>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52"/>
      </w:r>
      <w:r>
        <w:rPr>
          <w:rFonts w:eastAsia="Times New Roman" w:cs="Times New Roman"/>
          <w:sz w:val="28"/>
        </w:rPr>
        <w:t>.</w:t>
      </w:r>
    </w:p>
    <w:p>
      <w:pPr>
        <w:pStyle w:val="BodyText"/>
        <w:spacing w:lineRule="auto" w:line="360" w:before="0" w:after="0"/>
        <w:ind w:firstLine="709"/>
        <w:jc w:val="both"/>
        <w:rPr/>
      </w:pPr>
      <w:r>
        <w:rPr>
          <w:rFonts w:eastAsia="Times New Roman" w:cs="Times New Roman"/>
          <w:b/>
          <w:bCs/>
          <w:sz w:val="28"/>
        </w:rPr>
        <w:t>Risklarga asoslangan nazorat.</w:t>
      </w:r>
      <w:r>
        <w:rPr>
          <w:rFonts w:eastAsia="Times New Roman" w:cs="Times New Roman"/>
          <w:sz w:val="28"/>
        </w:rPr>
        <w:t xml:space="preserve"> Baholashning ikkinchi darajasi – alohida banklar risk profilini baholash. O‘zbekistonda CAMEL reyting tizimi 1997–1998-yillarda joriy etilgan bo‘lib</w:t>
      </w:r>
      <w:r>
        <w:rPr>
          <w:rStyle w:val="FootnoteReference"/>
        </w:rPr>
        <w:footnoteReference w:id="53"/>
      </w:r>
      <w:r>
        <w:rPr>
          <w:rFonts w:eastAsia="Times New Roman" w:cs="Times New Roman"/>
          <w:sz w:val="28"/>
        </w:rP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54"/>
      </w:r>
      <w:r>
        <w:rPr>
          <w:rFonts w:eastAsia="Times New Roman" w:cs="Times New Roman"/>
          <w:sz w:val="28"/>
        </w:rPr>
        <w:t>. Markaziy bankning asoslangan mulohazasi ham shu darajada qo‘llanadi.</w:t>
      </w:r>
    </w:p>
    <w:p>
      <w:pPr>
        <w:pStyle w:val="BodyText"/>
        <w:spacing w:lineRule="auto" w:line="360" w:before="0" w:after="0"/>
        <w:ind w:firstLine="709"/>
        <w:jc w:val="both"/>
        <w:rPr/>
      </w:pPr>
      <w:r>
        <w:rPr>
          <w:rFonts w:eastAsia="Times New Roman" w:cs="Times New Roman"/>
          <w:sz w:val="28"/>
        </w:rPr>
        <w:t>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55"/>
      </w:r>
      <w:r>
        <w:rPr>
          <w:rFonts w:eastAsia="Times New Roman" w:cs="Times New Roman"/>
          <w:sz w:val="28"/>
        </w:rPr>
        <w:t>.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56"/>
      </w:r>
      <w:r>
        <w:rPr>
          <w:rFonts w:eastAsia="Times New Roman" w:cs="Times New Roman"/>
          <w:sz w:val="28"/>
        </w:rPr>
        <w:t>.</w:t>
      </w:r>
    </w:p>
    <w:p>
      <w:pPr>
        <w:pStyle w:val="BodyText"/>
        <w:spacing w:lineRule="auto" w:line="360" w:before="0" w:after="0"/>
        <w:ind w:firstLine="709"/>
        <w:jc w:val="both"/>
        <w:rPr/>
      </w:pPr>
      <w:r>
        <w:rPr>
          <w:rFonts w:eastAsia="Times New Roman" w:cs="Times New Roman"/>
          <w:b/>
          <w:bCs/>
          <w:sz w:val="28"/>
        </w:rPr>
        <w:t>Makroprudensial monitoring.</w:t>
      </w:r>
      <w:r>
        <w:rPr>
          <w:rFonts w:eastAsia="Times New Roman" w:cs="Times New Roman"/>
          <w:sz w:val="28"/>
        </w:rP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57"/>
      </w:r>
      <w:r>
        <w:rPr>
          <w:rFonts w:eastAsia="Times New Roman" w:cs="Times New Roman"/>
          <w:sz w:val="28"/>
        </w:rPr>
        <w:t>.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58"/>
      </w:r>
      <w:r>
        <w:rPr>
          <w:rFonts w:eastAsia="Times New Roman" w:cs="Times New Roman"/>
          <w:sz w:val="28"/>
        </w:rPr>
        <w:t>.</w:t>
      </w:r>
      <w:bookmarkEnd w:id="19"/>
    </w:p>
    <w:p>
      <w:pPr>
        <w:pStyle w:val="Heading3"/>
        <w:keepNext w:val="true"/>
        <w:spacing w:lineRule="auto" w:line="360" w:before="240" w:after="120"/>
        <w:ind w:firstLine="709"/>
        <w:jc w:val="both"/>
        <w:rPr/>
      </w:pPr>
      <w:bookmarkStart w:id="20" w:name="Xd6eefd4cc7ba4b935b761c202625a21524724c6"/>
      <w:r>
        <w:rPr>
          <w:rFonts w:eastAsia="Times New Roman" w:cs="Times New Roman" w:ascii="Times New Roman" w:hAnsi="Times New Roman"/>
          <w:b/>
          <w:i w:val="false"/>
          <w:sz w:val="28"/>
        </w:rPr>
        <w:t>3. Bank tizimi moliyaviy barqarorligining asosiy ko‘rsatkichlari</w:t>
      </w:r>
    </w:p>
    <w:p>
      <w:pPr>
        <w:pStyle w:val="FirstParagraph"/>
        <w:spacing w:lineRule="auto" w:line="360" w:before="0" w:after="0"/>
        <w:ind w:firstLine="709"/>
        <w:jc w:val="both"/>
        <w:rPr/>
      </w:pPr>
      <w:r>
        <w:rPr>
          <w:rFonts w:eastAsia="Times New Roman" w:cs="Times New Roman"/>
          <w:sz w:val="28"/>
        </w:rPr>
        <w:t>Amaldagi baholash tizimi natijalariga ko‘ra, O‘zbekiston bank tizimi kapital yetarliligi bo‘yicha barqaror holatda. Kapital monandligi 2023-yil oxirida 17,5 foizni</w:t>
      </w:r>
      <w:r>
        <w:rPr>
          <w:rStyle w:val="FootnoteReference"/>
        </w:rPr>
        <w:footnoteReference w:id="59"/>
      </w:r>
      <w:r>
        <w:rPr>
          <w:rFonts w:eastAsia="Times New Roman" w:cs="Times New Roman"/>
          <w:sz w:val="28"/>
        </w:rPr>
        <w:t>, 2024-yil oxirida 17 foizni, 2025-yil oxirida 18,3 foizni tashkil etgan; asosiy kapital (CET1) monandligi 2025-yil oxirida 14,7 foizga teng bo‘lgan</w:t>
      </w:r>
      <w:r>
        <w:rPr>
          <w:rStyle w:val="FootnoteReference"/>
        </w:rPr>
        <w:footnoteReference w:id="60"/>
      </w:r>
      <w:r>
        <w:rPr>
          <w:rFonts w:eastAsia="Times New Roman" w:cs="Times New Roman"/>
          <w:sz w:val="28"/>
        </w:rPr>
        <w:t>. 2026-yil 1-iyul holatiga kapital monandligi 18,5 foizni, CET1 15 foizni, muammoli kreditlar ulushi 3,6 foizni tashkil etgan</w:t>
      </w:r>
      <w:r>
        <w:rPr>
          <w:rStyle w:val="FootnoteReference"/>
        </w:rPr>
        <w:footnoteReference w:id="61"/>
      </w:r>
      <w:r>
        <w:rPr>
          <w:rFonts w:eastAsia="Times New Roman" w:cs="Times New Roman"/>
          <w:sz w:val="28"/>
        </w:rPr>
        <w:t xml:space="preserve"> (2.1.3-rasm).</w:t>
      </w:r>
    </w:p>
    <w:p>
      <w:pPr>
        <w:pStyle w:val="BodyText"/>
        <w:keepNext w:val="true"/>
        <w:spacing w:lineRule="auto" w:line="240" w:before="0" w:after="0"/>
        <w:ind w:hanging="0"/>
        <w:jc w:val="center"/>
        <w:rPr/>
      </w:pPr>
      <w:r>
        <w:rPr/>
        <w:drawing>
          <wp:inline distT="0" distB="0" distL="0" distR="0">
            <wp:extent cx="5760085" cy="2879725"/>
            <wp:effectExtent l="0" t="0" r="0" b="0"/>
            <wp:docPr id="245" name="2.1.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pPr>
        <w:pStyle w:val="BodyText"/>
        <w:spacing w:lineRule="auto" w:line="240" w:before="120" w:after="240"/>
        <w:ind w:hanging="0"/>
        <w:jc w:val="center"/>
        <w:rPr/>
      </w:pPr>
      <w:r>
        <w:rPr>
          <w:rFonts w:eastAsia="Times New Roman" w:cs="Times New Roman"/>
          <w:b/>
          <w:sz w:val="28"/>
        </w:rPr>
        <w:t>2.1.3-rasm. O‘zbekiston bank tizimida kapital monandligi ko‘rsatkichlari dinamikasi, %</w:t>
      </w:r>
      <w:r>
        <w:rPr>
          <w:rStyle w:val="FootnoteReference"/>
        </w:rPr>
        <w:footnoteReference w:id="62"/>
      </w:r>
    </w:p>
    <w:p>
      <w:pPr>
        <w:pStyle w:val="BodyText"/>
        <w:spacing w:lineRule="auto" w:line="360" w:before="0" w:after="0"/>
        <w:ind w:firstLine="709"/>
        <w:jc w:val="both"/>
        <w:rPr/>
      </w:pPr>
      <w:r>
        <w:rPr>
          <w:rFonts w:eastAsia="Times New Roman" w:cs="Times New Roman"/>
          <w:sz w:val="28"/>
        </w:rP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63"/>
      </w:r>
      <w:r>
        <w:rPr>
          <w:rFonts w:eastAsia="Times New Roman" w:cs="Times New Roman"/>
          <w:sz w:val="28"/>
        </w:rPr>
        <w:t>. 2025-yil birinchi yarmi bo‘yicha sharhda bu ko‘rsatkichlar mos ravishda 6,1 va 8,4 foiz, leverej koeffitsiyenti esa 5,3 foiz deb baholangan edi</w:t>
      </w:r>
      <w:r>
        <w:rPr>
          <w:rStyle w:val="FootnoteReference"/>
        </w:rPr>
        <w:footnoteReference w:id="64"/>
      </w:r>
      <w:r>
        <w:rPr>
          <w:rFonts w:eastAsia="Times New Roman" w:cs="Times New Roman"/>
          <w:sz w:val="28"/>
        </w:rPr>
        <w:t xml:space="preserve"> (2.1.4-rasm).</w:t>
      </w:r>
    </w:p>
    <w:p>
      <w:pPr>
        <w:pStyle w:val="BodyText"/>
        <w:keepNext w:val="true"/>
        <w:spacing w:lineRule="auto" w:line="240" w:before="0" w:after="0"/>
        <w:ind w:hanging="0"/>
        <w:jc w:val="center"/>
        <w:rPr/>
      </w:pPr>
      <w:r>
        <w:rPr/>
        <w:drawing>
          <wp:inline distT="0" distB="0" distL="0" distR="0">
            <wp:extent cx="5760085" cy="2879725"/>
            <wp:effectExtent l="0" t="0" r="0" b="0"/>
            <wp:docPr id="246" name="2.1.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pPr>
        <w:pStyle w:val="BodyText"/>
        <w:spacing w:lineRule="auto" w:line="240" w:before="120" w:after="240"/>
        <w:ind w:hanging="0"/>
        <w:jc w:val="center"/>
        <w:rPr/>
      </w:pPr>
      <w:r>
        <w:rPr>
          <w:rFonts w:eastAsia="Times New Roman" w:cs="Times New Roman"/>
          <w:b/>
          <w:sz w:val="28"/>
        </w:rPr>
        <w:t>2.1.4-rasm. Salbiy stress-ssenariyda bank tizimi kapital ko‘rsatkichlarining o‘zgarishi, %</w:t>
      </w:r>
      <w:r>
        <w:rPr>
          <w:rStyle w:val="FootnoteReference"/>
        </w:rPr>
        <w:footnoteReference w:id="65"/>
      </w:r>
    </w:p>
    <w:p>
      <w:pPr>
        <w:pStyle w:val="BodyText"/>
        <w:spacing w:lineRule="auto" w:line="360" w:before="0" w:after="0"/>
        <w:ind w:firstLine="709"/>
        <w:jc w:val="both"/>
        <w:rPr/>
      </w:pPr>
      <w:bookmarkStart w:id="21" w:name="Xd6eefd4cc7ba4b935b761c202625a21524724c6"/>
      <w:r>
        <w:rPr>
          <w:rFonts w:eastAsia="Times New Roman" w:cs="Times New Roman"/>
          <w:sz w:val="28"/>
        </w:rPr>
        <w:t>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bookmarkEnd w:id="21"/>
    </w:p>
    <w:p>
      <w:pPr>
        <w:pStyle w:val="Heading3"/>
        <w:keepNext w:val="true"/>
        <w:spacing w:lineRule="auto" w:line="360" w:before="240" w:after="120"/>
        <w:ind w:firstLine="709"/>
        <w:jc w:val="both"/>
        <w:rPr/>
      </w:pPr>
      <w:bookmarkStart w:id="22" w:name="X1eb9f5556cdb29c45b5626a98aaf278fffe0b89"/>
      <w:r>
        <w:rPr>
          <w:rFonts w:eastAsia="Times New Roman" w:cs="Times New Roman" w:ascii="Times New Roman" w:hAnsi="Times New Roman"/>
          <w:b/>
          <w:i w:val="false"/>
          <w:sz w:val="28"/>
        </w:rPr>
        <w:t>4. Xalqaro standartlarga moslashtirish muammolari</w:t>
      </w:r>
    </w:p>
    <w:p>
      <w:pPr>
        <w:pStyle w:val="FirstParagraph"/>
        <w:spacing w:lineRule="auto" w:line="360" w:before="0" w:after="0"/>
        <w:ind w:firstLine="709"/>
        <w:jc w:val="both"/>
        <w:rPr/>
      </w:pPr>
      <w:r>
        <w:rPr>
          <w:rFonts w:eastAsia="Times New Roman" w:cs="Times New Roman"/>
          <w:sz w:val="28"/>
        </w:rP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66"/>
      </w:r>
      <w:r>
        <w:rPr>
          <w:rFonts w:eastAsia="Times New Roman" w:cs="Times New Roman"/>
          <w:sz w:val="28"/>
        </w:rPr>
        <w:t>. FSAP topilmalari va ularga javoban yo‘l xaritasida belgilangan choralar 2.1.2-jadvalda tizimlashtirilgan.</w:t>
      </w:r>
    </w:p>
    <w:p>
      <w:pPr>
        <w:pStyle w:val="BodyText"/>
        <w:keepNext w:val="true"/>
        <w:spacing w:lineRule="auto" w:line="360" w:before="120" w:after="0"/>
        <w:ind w:hanging="0"/>
        <w:jc w:val="right"/>
        <w:rPr/>
      </w:pPr>
      <w:r>
        <w:rPr>
          <w:rFonts w:eastAsia="Times New Roman" w:cs="Times New Roman"/>
          <w:i/>
          <w:sz w:val="28"/>
        </w:rPr>
        <w:t>2.1.2-jadval</w:t>
      </w:r>
    </w:p>
    <w:p>
      <w:pPr>
        <w:pStyle w:val="BodyText"/>
        <w:keepNext w:val="true"/>
        <w:spacing w:lineRule="auto" w:line="240" w:before="0" w:after="120"/>
        <w:ind w:hanging="0"/>
        <w:jc w:val="center"/>
        <w:rPr/>
      </w:pPr>
      <w:r>
        <w:rPr>
          <w:rFonts w:eastAsia="Times New Roman" w:cs="Times New Roman"/>
          <w:b/>
          <w:bCs/>
          <w:sz w:val="28"/>
        </w:rPr>
        <w:t>O‘zbekistonda banklar moliyaviy barqarorligini baholashning xalqaro standartlarga muvofiqligi: tafovutlar va choralar</w:t>
      </w:r>
      <w:r>
        <w:rPr>
          <w:rStyle w:val="FootnoteReference"/>
        </w:rPr>
        <w:footnoteReference w:id="67"/>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37"/>
        <w:gridCol w:w="1938"/>
        <w:gridCol w:w="1938"/>
        <w:gridCol w:w="1938"/>
        <w:gridCol w:w="1938"/>
      </w:tblGrid>
      <w:tr>
        <w:trPr>
          <w:tblHeader w:val="true"/>
          <w:cantSplit w:val="true"/>
        </w:trPr>
        <w:tc>
          <w:tcPr>
            <w:tcW w:w="193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Soha</w:t>
            </w:r>
          </w:p>
        </w:tc>
        <w:tc>
          <w:tcPr>
            <w:tcW w:w="193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Xalqaro talab</w:t>
            </w:r>
          </w:p>
        </w:tc>
        <w:tc>
          <w:tcPr>
            <w:tcW w:w="193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O‘zbekistondagi holat (FSAP)</w:t>
            </w:r>
          </w:p>
        </w:tc>
        <w:tc>
          <w:tcPr>
            <w:tcW w:w="193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Yo‘l xaritasidagi chora</w:t>
            </w:r>
          </w:p>
        </w:tc>
        <w:tc>
          <w:tcPr>
            <w:tcW w:w="193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Muddat</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ta’rifi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instrumentlari yo‘qotishni qoplash qobiliyatiga ega bo‘lishi kerak</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II darajali kapitalning ~1/3 qismini tashkil etuvchi subordinar qarzlar hisobdan chiqarish yoki konvertatsiya xususiyatiga ega emas</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va II darajali kapital tarkibi va mezonlarini takomillashtirish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Risk bo‘yicha tortilgan aktivlar</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metodikasi bo‘yicha kredit, operatsion va bozor risklarini hisoblash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Ayrim jihatlarda Bazel metodikasidan chetlanish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Ayrim kredit, operatsion va bozor risklarini hisoblash tartibini takomillashtirish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buferlari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Saqlash, kontrsiklik va tizimli banklar buferlari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banklar aniqlangan, ammo ularga bufer qo‘llanmagan</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Uchala bufer joriy etildi (2025–2026)</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2025–2026-y.</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2-ustun (ICAAP, SREP)</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talabi bank risk profiliga moslashtiriladi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2-ustun metodikasi yo‘q</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Tizimli banklarda ICAAP ni majburiy joriy etish; foiz riski asosida 2-ustunni joriy etish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2026–2028-y.; ICAAP – 2027-y. III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va restrukturizatsiya qilingan aktivlarning Bazel ta’riflari; MHXS 9</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 to‘g‘risida hisobotlarda kamsitib ko‘rsatish holatlari, ayniqsa imtiyozli va yo‘naltirilgan kreditlarda</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 ta’rifini kengaytirish, MHXS 9 ning 3-bosqichini to‘liq qamrash, «forborne exposures» ta’rifini joriy etish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va NSFR elementlari Bazel III ga to‘liq mos</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Ayrim elementlar va koeffitsiyentlar Bazel III dan farq qiladi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va NSFR elementlarini to‘liq moslashtirish, 2026-yil 1-yanvardan monitoring</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3-ustun (oshkoralik)</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Moliyaviy va nazorat hisobotlarini oshkor qilish bo‘yicha minimal talablar</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Minimal talablar belgilanmagan</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Oshkoralik bo‘yicha minimal talablar nizomini ishlab chiqish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2027-y.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Konsolidatsiyalangan nazorat</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guruhlari, shu jumladan nobank ona kompaniyalar ustidan nazorat</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Huquqiy asos to‘liq emas</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Qonunga o‘zgartirish; konsolidatsiyalangan nazorat nizomi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2027-y. II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Erta aralashuv</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Erta ogohlantirish tizimi va tezkor tuzatuvchi choralar</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Mavjud emas</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Erta ogohlantirish tizimi (EWS) va tezkor tuzatuvchi choralar (PCA) tizimini joriy etish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2026-y. I chorak – 2027-y. I chorak</w:t>
            </w:r>
          </w:p>
        </w:tc>
      </w:tr>
      <w:tr>
        <w:trPr>
          <w:cantSplit w:val="true"/>
        </w:trPr>
        <w:tc>
          <w:tcPr>
            <w:tcW w:w="193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Banklarni sanatsiya qilish</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Sanatsiya rejimi, sanatsiya rejalari va jamg‘armasi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Shakllanish bosqichida</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Sanatsiya tizimini yaratish; tizimli banklar uchun birinchi sanatsiya rejalari</w:t>
            </w:r>
          </w:p>
        </w:tc>
        <w:tc>
          <w:tcPr>
            <w:tcW w:w="193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2026–2028-y.</w:t>
            </w:r>
          </w:p>
        </w:tc>
      </w:tr>
    </w:tbl>
    <w:p>
      <w:pPr>
        <w:pStyle w:val="BodyText"/>
        <w:spacing w:lineRule="auto" w:line="360" w:before="0" w:after="0"/>
        <w:ind w:firstLine="709"/>
        <w:jc w:val="both"/>
        <w:rPr/>
      </w:pPr>
      <w:r>
        <w:rPr>
          <w:rFonts w:eastAsia="Times New Roman" w:cs="Times New Roman"/>
          <w:sz w:val="28"/>
        </w:rPr>
        <w:t>Jadvalda keltirilgan tafovutlarni tahlil qilish ularni besh guruhga ajratish imkonini beradi (2.1.5-rasm).</w:t>
      </w:r>
    </w:p>
    <w:p>
      <w:pPr>
        <w:pStyle w:val="BodyText"/>
        <w:keepNext w:val="true"/>
        <w:spacing w:lineRule="auto" w:line="240" w:before="0" w:after="0"/>
        <w:ind w:hanging="0"/>
        <w:jc w:val="center"/>
        <w:rPr/>
      </w:pPr>
      <w:r>
        <w:rPr/>
        <mc:AlternateContent>
          <mc:Choice Requires="wpg">
            <w:drawing>
              <wp:inline distT="0" distB="0" distL="0" distR="0">
                <wp:extent cx="5904230" cy="2484120"/>
                <wp:effectExtent l="0" t="0" r="0" b="0"/>
                <wp:docPr id="247" name="2.1.5-rasm"/>
                <a:graphic xmlns:a="http://schemas.openxmlformats.org/drawingml/2006/main">
                  <a:graphicData uri="http://schemas.microsoft.com/office/word/2010/wordprocessingGroup">
                    <wpg:wgp>
                      <wpg:cNvGrpSpPr/>
                      <wpg:grpSpPr>
                        <a:xfrm>
                          <a:off x="0" y="0"/>
                          <a:ext cx="5904360" cy="2484000"/>
                          <a:chOff x="0" y="0"/>
                          <a:chExt cx="5904360" cy="2484000"/>
                        </a:xfrm>
                      </wpg:grpSpPr>
                      <wps:wsp>
                        <wps:cNvPr id="248" name="Shape 34"/>
                        <wps:cNvSpPr/>
                        <wps:spPr>
                          <a:xfrm>
                            <a:off x="1684080" y="0"/>
                            <a:ext cx="2562120" cy="3726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Xalqaro standartlarga moslashtirish muammolari</w:t>
                              </w:r>
                            </w:p>
                            <w:p>
                              <w:pPr>
                                <w:pStyle w:val="FrameContents"/>
                                <w:spacing w:before="0" w:after="200"/>
                                <w:rPr/>
                              </w:pPr>
                              <w:r>
                                <w:rPr/>
                              </w:r>
                            </w:p>
                          </w:txbxContent>
                        </wps:txbx>
                        <wps:bodyPr lIns="36360" rIns="36360" tIns="17640" bIns="17640" anchor="ctr">
                          <a:noAutofit/>
                        </wps:bodyPr>
                      </wps:wsp>
                      <wps:wsp>
                        <wps:cNvPr id="249" name="Connector 35"/>
                        <wps:cNvSpPr/>
                        <wps:spPr>
                          <a:xfrm flipH="1">
                            <a:off x="557640" y="374040"/>
                            <a:ext cx="240660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50" name="Shape 36"/>
                        <wps:cNvSpPr/>
                        <wps:spPr>
                          <a:xfrm>
                            <a:off x="0" y="597600"/>
                            <a:ext cx="1115640" cy="37332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Kapitalni o‘lchash</w:t>
                              </w:r>
                            </w:p>
                            <w:p>
                              <w:pPr>
                                <w:pStyle w:val="FrameContents"/>
                                <w:spacing w:before="0" w:after="200"/>
                                <w:rPr/>
                              </w:pPr>
                              <w:r>
                                <w:rPr/>
                              </w:r>
                            </w:p>
                          </w:txbxContent>
                        </wps:txbx>
                        <wps:bodyPr lIns="36360" rIns="36360" tIns="17640" bIns="17640" anchor="ctr">
                          <a:noAutofit/>
                        </wps:bodyPr>
                      </wps:wsp>
                      <wps:wsp>
                        <wps:cNvPr id="251" name="Shape 37"/>
                        <wps:cNvSpPr/>
                        <wps:spPr>
                          <a:xfrm>
                            <a:off x="0" y="1027440"/>
                            <a:ext cx="1115640" cy="859320"/>
                          </a:xfrm>
                          <a:prstGeom prst="roundRect">
                            <a:avLst>
                              <a:gd name="adj" fmla="val 10000"/>
                            </a:avLst>
                          </a:prstGeom>
                          <a:solidFill>
                            <a:srgbClr val="f2f2f2"/>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subordinar qarzlar Bazel</w:t>
                              </w:r>
                            </w:p>
                            <w:p>
                              <w:pPr>
                                <w:pStyle w:val="Normal"/>
                                <w:spacing w:lineRule="auto" w:line="228" w:before="0" w:after="0"/>
                                <w:ind w:hanging="0"/>
                                <w:jc w:val="center"/>
                                <w:rPr/>
                              </w:pPr>
                              <w:r>
                                <w:rPr>
                                  <w:rFonts w:cs="Times New Roman"/>
                                  <w:color w:val="000000"/>
                                  <w:sz w:val="18"/>
                                  <w:szCs w:val="18"/>
                                </w:rPr>
                                <w:t>mezonlariga mos emas;</w:t>
                              </w:r>
                            </w:p>
                            <w:p>
                              <w:pPr>
                                <w:pStyle w:val="Normal"/>
                                <w:spacing w:lineRule="auto" w:line="228" w:before="0" w:after="0"/>
                                <w:ind w:hanging="0"/>
                                <w:jc w:val="center"/>
                                <w:rPr/>
                              </w:pPr>
                              <w:r>
                                <w:rPr>
                                  <w:rFonts w:cs="Times New Roman"/>
                                  <w:color w:val="000000"/>
                                  <w:sz w:val="18"/>
                                  <w:szCs w:val="18"/>
                                </w:rPr>
                                <w:t>RWA metodikasida</w:t>
                              </w:r>
                            </w:p>
                            <w:p>
                              <w:pPr>
                                <w:pStyle w:val="Normal"/>
                                <w:spacing w:lineRule="auto" w:line="228" w:before="0" w:after="0"/>
                                <w:ind w:hanging="0"/>
                                <w:jc w:val="center"/>
                                <w:rPr/>
                              </w:pPr>
                              <w:r>
                                <w:rPr>
                                  <w:rFonts w:cs="Times New Roman"/>
                                  <w:color w:val="000000"/>
                                  <w:sz w:val="18"/>
                                  <w:szCs w:val="18"/>
                                </w:rPr>
                                <w:t>chetlanishlar</w:t>
                              </w:r>
                            </w:p>
                            <w:p>
                              <w:pPr>
                                <w:pStyle w:val="FrameContents"/>
                                <w:spacing w:before="0" w:after="200"/>
                                <w:rPr/>
                              </w:pPr>
                              <w:r>
                                <w:rPr/>
                              </w:r>
                            </w:p>
                          </w:txbxContent>
                        </wps:txbx>
                        <wps:bodyPr lIns="36360" rIns="36360" tIns="17640" bIns="17640" anchor="ctr">
                          <a:noAutofit/>
                        </wps:bodyPr>
                      </wps:wsp>
                      <wps:wsp>
                        <wps:cNvPr id="252" name="Connector 38"/>
                        <wps:cNvSpPr/>
                        <wps:spPr>
                          <a:xfrm>
                            <a:off x="558000" y="1887120"/>
                            <a:ext cx="240660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53" name="Connector 39"/>
                        <wps:cNvSpPr/>
                        <wps:spPr>
                          <a:xfrm flipH="1">
                            <a:off x="1754640" y="374040"/>
                            <a:ext cx="120960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54" name="Shape 40"/>
                        <wps:cNvSpPr/>
                        <wps:spPr>
                          <a:xfrm>
                            <a:off x="1197000" y="597600"/>
                            <a:ext cx="1116360" cy="37332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Aktivlar sifati</w:t>
                              </w:r>
                            </w:p>
                            <w:p>
                              <w:pPr>
                                <w:pStyle w:val="FrameContents"/>
                                <w:spacing w:before="0" w:after="200"/>
                                <w:rPr/>
                              </w:pPr>
                              <w:r>
                                <w:rPr/>
                              </w:r>
                            </w:p>
                          </w:txbxContent>
                        </wps:txbx>
                        <wps:bodyPr lIns="36360" rIns="36360" tIns="17640" bIns="17640" anchor="ctr">
                          <a:noAutofit/>
                        </wps:bodyPr>
                      </wps:wsp>
                      <wps:wsp>
                        <wps:cNvPr id="255" name="Shape 41"/>
                        <wps:cNvSpPr/>
                        <wps:spPr>
                          <a:xfrm>
                            <a:off x="1197000" y="1027440"/>
                            <a:ext cx="1116360" cy="859320"/>
                          </a:xfrm>
                          <a:prstGeom prst="roundRect">
                            <a:avLst>
                              <a:gd name="adj" fmla="val 10000"/>
                            </a:avLst>
                          </a:prstGeom>
                          <a:solidFill>
                            <a:srgbClr val="f2f2f2"/>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NPL va restrukturizatsiya</w:t>
                              </w:r>
                            </w:p>
                            <w:p>
                              <w:pPr>
                                <w:pStyle w:val="Normal"/>
                                <w:spacing w:lineRule="auto" w:line="228" w:before="0" w:after="0"/>
                                <w:ind w:hanging="0"/>
                                <w:jc w:val="center"/>
                                <w:rPr/>
                              </w:pPr>
                              <w:r>
                                <w:rPr>
                                  <w:rFonts w:cs="Times New Roman"/>
                                  <w:color w:val="000000"/>
                                  <w:sz w:val="18"/>
                                  <w:szCs w:val="18"/>
                                </w:rPr>
                                <w:t>ta’riflari tor;</w:t>
                              </w:r>
                            </w:p>
                            <w:p>
                              <w:pPr>
                                <w:pStyle w:val="Normal"/>
                                <w:spacing w:lineRule="auto" w:line="228" w:before="0" w:after="0"/>
                                <w:ind w:hanging="0"/>
                                <w:jc w:val="center"/>
                                <w:rPr/>
                              </w:pPr>
                              <w:r>
                                <w:rPr>
                                  <w:rFonts w:cs="Times New Roman"/>
                                  <w:color w:val="000000"/>
                                  <w:sz w:val="18"/>
                                  <w:szCs w:val="18"/>
                                </w:rPr>
                                <w:t>kamsitib ko‘rsatish;</w:t>
                              </w:r>
                            </w:p>
                            <w:p>
                              <w:pPr>
                                <w:pStyle w:val="Normal"/>
                                <w:spacing w:lineRule="auto" w:line="228" w:before="0" w:after="0"/>
                                <w:ind w:hanging="0"/>
                                <w:jc w:val="center"/>
                                <w:rPr/>
                              </w:pPr>
                              <w:r>
                                <w:rPr>
                                  <w:rFonts w:cs="Times New Roman"/>
                                  <w:color w:val="000000"/>
                                  <w:sz w:val="18"/>
                                  <w:szCs w:val="18"/>
                                </w:rPr>
                                <w:t>MHXS 9 to‘liq emas</w:t>
                              </w:r>
                            </w:p>
                            <w:p>
                              <w:pPr>
                                <w:pStyle w:val="FrameContents"/>
                                <w:spacing w:before="0" w:after="200"/>
                                <w:rPr/>
                              </w:pPr>
                              <w:r>
                                <w:rPr/>
                              </w:r>
                            </w:p>
                          </w:txbxContent>
                        </wps:txbx>
                        <wps:bodyPr lIns="36360" rIns="36360" tIns="17640" bIns="17640" anchor="ctr">
                          <a:noAutofit/>
                        </wps:bodyPr>
                      </wps:wsp>
                      <wps:wsp>
                        <wps:cNvPr id="256" name="Connector 42"/>
                        <wps:cNvSpPr/>
                        <wps:spPr>
                          <a:xfrm>
                            <a:off x="1755000" y="1887120"/>
                            <a:ext cx="120960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57" name="Connector 43"/>
                        <wps:cNvSpPr/>
                        <wps:spPr>
                          <a:xfrm flipH="1">
                            <a:off x="2951640" y="374040"/>
                            <a:ext cx="1260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58" name="Shape 44"/>
                        <wps:cNvSpPr/>
                        <wps:spPr>
                          <a:xfrm>
                            <a:off x="2394000" y="597600"/>
                            <a:ext cx="1115640" cy="37332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Axborot va</w:t>
                              </w:r>
                            </w:p>
                            <w:p>
                              <w:pPr>
                                <w:pStyle w:val="Normal"/>
                                <w:spacing w:lineRule="auto" w:line="228" w:before="0" w:after="0"/>
                                <w:ind w:hanging="0"/>
                                <w:jc w:val="center"/>
                                <w:rPr/>
                              </w:pPr>
                              <w:r>
                                <w:rPr>
                                  <w:rFonts w:cs="Times New Roman"/>
                                  <w:b/>
                                  <w:color w:val="FFFFFF"/>
                                  <w:sz w:val="20"/>
                                  <w:szCs w:val="20"/>
                                </w:rPr>
                                <w:t>shaffoflik</w:t>
                              </w:r>
                            </w:p>
                            <w:p>
                              <w:pPr>
                                <w:pStyle w:val="FrameContents"/>
                                <w:spacing w:before="0" w:after="200"/>
                                <w:rPr/>
                              </w:pPr>
                              <w:r>
                                <w:rPr/>
                              </w:r>
                            </w:p>
                          </w:txbxContent>
                        </wps:txbx>
                        <wps:bodyPr lIns="36360" rIns="36360" tIns="17640" bIns="17640" anchor="ctr">
                          <a:noAutofit/>
                        </wps:bodyPr>
                      </wps:wsp>
                      <wps:wsp>
                        <wps:cNvPr id="259" name="Shape 45"/>
                        <wps:cNvSpPr/>
                        <wps:spPr>
                          <a:xfrm>
                            <a:off x="2394000" y="1027440"/>
                            <a:ext cx="1115640" cy="859320"/>
                          </a:xfrm>
                          <a:prstGeom prst="roundRect">
                            <a:avLst>
                              <a:gd name="adj" fmla="val 10000"/>
                            </a:avLst>
                          </a:prstGeom>
                          <a:solidFill>
                            <a:srgbClr val="f2f2f2"/>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oshkoralik bo‘yicha</w:t>
                              </w:r>
                            </w:p>
                            <w:p>
                              <w:pPr>
                                <w:pStyle w:val="Normal"/>
                                <w:spacing w:lineRule="auto" w:line="228" w:before="0" w:after="0"/>
                                <w:ind w:hanging="0"/>
                                <w:jc w:val="center"/>
                                <w:rPr/>
                              </w:pPr>
                              <w:r>
                                <w:rPr>
                                  <w:rFonts w:cs="Times New Roman"/>
                                  <w:color w:val="000000"/>
                                  <w:sz w:val="18"/>
                                  <w:szCs w:val="18"/>
                                </w:rPr>
                                <w:t>minimal talablar yo‘q;</w:t>
                              </w:r>
                            </w:p>
                            <w:p>
                              <w:pPr>
                                <w:pStyle w:val="Normal"/>
                                <w:spacing w:lineRule="auto" w:line="228" w:before="0" w:after="0"/>
                                <w:ind w:hanging="0"/>
                                <w:jc w:val="center"/>
                                <w:rPr/>
                              </w:pPr>
                              <w:r>
                                <w:rPr>
                                  <w:rFonts w:cs="Times New Roman"/>
                                  <w:color w:val="000000"/>
                                  <w:sz w:val="18"/>
                                  <w:szCs w:val="18"/>
                                </w:rPr>
                                <w:t>milliy hisobot va MHXS</w:t>
                              </w:r>
                            </w:p>
                            <w:p>
                              <w:pPr>
                                <w:pStyle w:val="Normal"/>
                                <w:spacing w:lineRule="auto" w:line="228" w:before="0" w:after="0"/>
                                <w:ind w:hanging="0"/>
                                <w:jc w:val="center"/>
                                <w:rPr/>
                              </w:pPr>
                              <w:r>
                                <w:rPr>
                                  <w:rFonts w:cs="Times New Roman"/>
                                  <w:color w:val="000000"/>
                                  <w:sz w:val="18"/>
                                  <w:szCs w:val="18"/>
                                </w:rPr>
                                <w:t>farqi</w:t>
                              </w:r>
                            </w:p>
                            <w:p>
                              <w:pPr>
                                <w:pStyle w:val="FrameContents"/>
                                <w:spacing w:before="0" w:after="200"/>
                                <w:rPr/>
                              </w:pPr>
                              <w:r>
                                <w:rPr/>
                              </w:r>
                            </w:p>
                          </w:txbxContent>
                        </wps:txbx>
                        <wps:bodyPr lIns="36360" rIns="36360" tIns="17640" bIns="17640" anchor="ctr">
                          <a:noAutofit/>
                        </wps:bodyPr>
                      </wps:wsp>
                      <wps:wsp>
                        <wps:cNvPr id="260" name="Connector 46"/>
                        <wps:cNvSpPr/>
                        <wps:spPr>
                          <a:xfrm>
                            <a:off x="2952720" y="1887120"/>
                            <a:ext cx="1224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61" name="Connector 47"/>
                        <wps:cNvSpPr/>
                        <wps:spPr>
                          <a:xfrm>
                            <a:off x="2965320" y="374040"/>
                            <a:ext cx="118368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62" name="Shape 48"/>
                        <wps:cNvSpPr/>
                        <wps:spPr>
                          <a:xfrm>
                            <a:off x="3591000" y="597600"/>
                            <a:ext cx="1116360" cy="373320"/>
                          </a:xfrm>
                          <a:prstGeom prst="roundRect">
                            <a:avLst>
                              <a:gd name="adj" fmla="val 10000"/>
                            </a:avLst>
                          </a:prstGeom>
                          <a:solidFill>
                            <a:srgbClr val="a5a5a5"/>
                          </a:solidFill>
                          <a:ln w="12700">
                            <a:solidFill>
                              <a:srgbClr val="a5a5a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Institutsional</w:t>
                              </w:r>
                            </w:p>
                            <w:p>
                              <w:pPr>
                                <w:pStyle w:val="FrameContents"/>
                                <w:spacing w:before="0" w:after="200"/>
                                <w:rPr/>
                              </w:pPr>
                              <w:r>
                                <w:rPr/>
                              </w:r>
                            </w:p>
                          </w:txbxContent>
                        </wps:txbx>
                        <wps:bodyPr lIns="36360" rIns="36360" tIns="17640" bIns="17640" anchor="ctr">
                          <a:noAutofit/>
                        </wps:bodyPr>
                      </wps:wsp>
                      <wps:wsp>
                        <wps:cNvPr id="263" name="Shape 49"/>
                        <wps:cNvSpPr/>
                        <wps:spPr>
                          <a:xfrm>
                            <a:off x="3591000" y="1027440"/>
                            <a:ext cx="1116360" cy="859320"/>
                          </a:xfrm>
                          <a:prstGeom prst="roundRect">
                            <a:avLst>
                              <a:gd name="adj" fmla="val 10000"/>
                            </a:avLst>
                          </a:prstGeom>
                          <a:solidFill>
                            <a:srgbClr val="f2f2f2"/>
                          </a:solidFill>
                          <a:ln w="12700">
                            <a:solidFill>
                              <a:srgbClr val="a5a5a5"/>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davlat ulushi yuqori;</w:t>
                              </w:r>
                            </w:p>
                            <w:p>
                              <w:pPr>
                                <w:pStyle w:val="Normal"/>
                                <w:spacing w:lineRule="auto" w:line="228" w:before="0" w:after="0"/>
                                <w:ind w:hanging="0"/>
                                <w:jc w:val="center"/>
                                <w:rPr/>
                              </w:pPr>
                              <w:r>
                                <w:rPr>
                                  <w:rFonts w:cs="Times New Roman"/>
                                  <w:color w:val="000000"/>
                                  <w:sz w:val="18"/>
                                  <w:szCs w:val="18"/>
                                </w:rPr>
                                <w:t>konsolidatsiyalangan</w:t>
                              </w:r>
                            </w:p>
                            <w:p>
                              <w:pPr>
                                <w:pStyle w:val="Normal"/>
                                <w:spacing w:lineRule="auto" w:line="228" w:before="0" w:after="0"/>
                                <w:ind w:hanging="0"/>
                                <w:jc w:val="center"/>
                                <w:rPr/>
                              </w:pPr>
                              <w:r>
                                <w:rPr>
                                  <w:rFonts w:cs="Times New Roman"/>
                                  <w:color w:val="000000"/>
                                  <w:sz w:val="18"/>
                                  <w:szCs w:val="18"/>
                                </w:rPr>
                                <w:t>nazorat va sanatsiya</w:t>
                              </w:r>
                            </w:p>
                            <w:p>
                              <w:pPr>
                                <w:pStyle w:val="Normal"/>
                                <w:spacing w:lineRule="auto" w:line="228" w:before="0" w:after="0"/>
                                <w:ind w:hanging="0"/>
                                <w:jc w:val="center"/>
                                <w:rPr/>
                              </w:pPr>
                              <w:r>
                                <w:rPr>
                                  <w:rFonts w:cs="Times New Roman"/>
                                  <w:color w:val="000000"/>
                                  <w:sz w:val="18"/>
                                  <w:szCs w:val="18"/>
                                </w:rPr>
                                <w:t>rejimi shakllanmoqda</w:t>
                              </w:r>
                            </w:p>
                            <w:p>
                              <w:pPr>
                                <w:pStyle w:val="FrameContents"/>
                                <w:spacing w:before="0" w:after="200"/>
                                <w:rPr/>
                              </w:pPr>
                              <w:r>
                                <w:rPr/>
                              </w:r>
                            </w:p>
                          </w:txbxContent>
                        </wps:txbx>
                        <wps:bodyPr lIns="36360" rIns="36360" tIns="17640" bIns="17640" anchor="ctr">
                          <a:noAutofit/>
                        </wps:bodyPr>
                      </wps:wsp>
                      <wps:wsp>
                        <wps:cNvPr id="264" name="Connector 50"/>
                        <wps:cNvSpPr/>
                        <wps:spPr>
                          <a:xfrm flipH="1">
                            <a:off x="2964960" y="1887120"/>
                            <a:ext cx="118368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65" name="Connector 51"/>
                        <wps:cNvSpPr/>
                        <wps:spPr>
                          <a:xfrm>
                            <a:off x="2965320" y="374040"/>
                            <a:ext cx="2380680" cy="222840"/>
                          </a:xfrm>
                          <a:prstGeom prst="straightConnector1">
                            <a:avLst/>
                          </a:prstGeom>
                          <a:noFill/>
                          <a:ln w="15875">
                            <a:solidFill>
                              <a:srgbClr val="404040"/>
                            </a:solidFill>
                            <a:round/>
                            <a:tailEnd len="med" type="triangle" w="med"/>
                          </a:ln>
                        </wps:spPr>
                        <wps:style>
                          <a:lnRef idx="0"/>
                          <a:fillRef idx="0"/>
                          <a:effectRef idx="0"/>
                          <a:fontRef idx="minor"/>
                        </wps:style>
                        <wps:bodyPr/>
                      </wps:wsp>
                      <wps:wsp>
                        <wps:cNvPr id="266" name="Shape 52"/>
                        <wps:cNvSpPr/>
                        <wps:spPr>
                          <a:xfrm>
                            <a:off x="4788360" y="597600"/>
                            <a:ext cx="1115640" cy="373320"/>
                          </a:xfrm>
                          <a:prstGeom prst="roundRect">
                            <a:avLst>
                              <a:gd name="adj" fmla="val 10000"/>
                            </a:avLst>
                          </a:prstGeom>
                          <a:solidFill>
                            <a:srgbClr val="ffc000"/>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Baholash vositalari</w:t>
                              </w:r>
                            </w:p>
                            <w:p>
                              <w:pPr>
                                <w:pStyle w:val="FrameContents"/>
                                <w:spacing w:before="0" w:after="200"/>
                                <w:rPr/>
                              </w:pPr>
                              <w:r>
                                <w:rPr/>
                              </w:r>
                            </w:p>
                          </w:txbxContent>
                        </wps:txbx>
                        <wps:bodyPr lIns="36360" rIns="36360" tIns="17640" bIns="17640" anchor="ctr">
                          <a:noAutofit/>
                        </wps:bodyPr>
                      </wps:wsp>
                      <wps:wsp>
                        <wps:cNvPr id="267" name="Shape 53"/>
                        <wps:cNvSpPr/>
                        <wps:spPr>
                          <a:xfrm>
                            <a:off x="4788360" y="1027440"/>
                            <a:ext cx="1115640" cy="859320"/>
                          </a:xfrm>
                          <a:prstGeom prst="roundRect">
                            <a:avLst>
                              <a:gd name="adj" fmla="val 10000"/>
                            </a:avLst>
                          </a:prstGeom>
                          <a:solidFill>
                            <a:srgbClr val="f2f2f2"/>
                          </a:solidFill>
                          <a:ln w="12700">
                            <a:solidFill>
                              <a:srgbClr val="ffc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18"/>
                                  <w:szCs w:val="18"/>
                                </w:rPr>
                                <w:t>erta ogohlantirish va</w:t>
                              </w:r>
                            </w:p>
                            <w:p>
                              <w:pPr>
                                <w:pStyle w:val="Normal"/>
                                <w:spacing w:lineRule="auto" w:line="228" w:before="0" w:after="0"/>
                                <w:ind w:hanging="0"/>
                                <w:jc w:val="center"/>
                                <w:rPr/>
                              </w:pPr>
                              <w:r>
                                <w:rPr>
                                  <w:rFonts w:cs="Times New Roman"/>
                                  <w:color w:val="000000"/>
                                  <w:sz w:val="18"/>
                                  <w:szCs w:val="18"/>
                                </w:rPr>
                                <w:t>PCA yo‘q; 2-ustun yo‘q;</w:t>
                              </w:r>
                            </w:p>
                            <w:p>
                              <w:pPr>
                                <w:pStyle w:val="Normal"/>
                                <w:spacing w:lineRule="auto" w:line="228" w:before="0" w:after="0"/>
                                <w:ind w:hanging="0"/>
                                <w:jc w:val="center"/>
                                <w:rPr/>
                              </w:pPr>
                              <w:r>
                                <w:rPr>
                                  <w:rFonts w:cs="Times New Roman"/>
                                  <w:color w:val="000000"/>
                                  <w:sz w:val="18"/>
                                  <w:szCs w:val="18"/>
                                </w:rPr>
                                <w:t>reytinglar yopiq; integral</w:t>
                              </w:r>
                            </w:p>
                            <w:p>
                              <w:pPr>
                                <w:pStyle w:val="Normal"/>
                                <w:spacing w:lineRule="auto" w:line="228" w:before="0" w:after="0"/>
                                <w:ind w:hanging="0"/>
                                <w:jc w:val="center"/>
                                <w:rPr/>
                              </w:pPr>
                              <w:r>
                                <w:rPr>
                                  <w:rFonts w:cs="Times New Roman"/>
                                  <w:color w:val="000000"/>
                                  <w:sz w:val="18"/>
                                  <w:szCs w:val="18"/>
                                </w:rPr>
                                <w:t>ko‘rsatkich yo‘q</w:t>
                              </w:r>
                            </w:p>
                            <w:p>
                              <w:pPr>
                                <w:pStyle w:val="FrameContents"/>
                                <w:spacing w:before="0" w:after="200"/>
                                <w:rPr/>
                              </w:pPr>
                              <w:r>
                                <w:rPr/>
                              </w:r>
                            </w:p>
                          </w:txbxContent>
                        </wps:txbx>
                        <wps:bodyPr lIns="36360" rIns="36360" tIns="17640" bIns="17640" anchor="ctr">
                          <a:noAutofit/>
                        </wps:bodyPr>
                      </wps:wsp>
                      <wps:wsp>
                        <wps:cNvPr id="268" name="Connector 54"/>
                        <wps:cNvSpPr/>
                        <wps:spPr>
                          <a:xfrm flipH="1">
                            <a:off x="2964960" y="1887120"/>
                            <a:ext cx="2380680" cy="222840"/>
                          </a:xfrm>
                          <a:prstGeom prst="straightConnector1">
                            <a:avLst/>
                          </a:prstGeom>
                          <a:noFill/>
                          <a:ln w="12700">
                            <a:solidFill>
                              <a:srgbClr val="7f7f7f"/>
                            </a:solidFill>
                            <a:round/>
                            <a:tailEnd len="med" type="triangle" w="med"/>
                          </a:ln>
                        </wps:spPr>
                        <wps:style>
                          <a:lnRef idx="0"/>
                          <a:fillRef idx="0"/>
                          <a:effectRef idx="0"/>
                          <a:fontRef idx="minor"/>
                        </wps:style>
                        <wps:bodyPr/>
                      </wps:wsp>
                      <wps:wsp>
                        <wps:cNvPr id="269" name="Shape 55"/>
                        <wps:cNvSpPr/>
                        <wps:spPr>
                          <a:xfrm>
                            <a:off x="951840" y="2111400"/>
                            <a:ext cx="4026600" cy="372600"/>
                          </a:xfrm>
                          <a:prstGeom prst="roundRect">
                            <a:avLst>
                              <a:gd name="adj" fmla="val 10000"/>
                            </a:avLst>
                          </a:prstGeom>
                          <a:solidFill>
                            <a:srgbClr val="deebf7"/>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2"/>
                                  <w:szCs w:val="22"/>
                                </w:rPr>
                                <w:t>Ochiq ma’lumotlarga asoslangan integral baholash va erta ogohlantirish vositasiga ehtiyoj</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2.1.5-rasm" style="position:absolute;margin-left:0pt;margin-top:-97.8pt;width:464.9pt;height:195.6pt" coordorigin="0,-1956" coordsize="9298,3912">
                <v:shape id="shape_0" ID="Connector 35" path="m0,0l-2147483648,-2147483647e" stroked="t" o:allowincell="f" style="position:absolute;left:878;top:-1367;width:3789;height:350;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38" path="m0,0l-2147483648,-2147483647e" stroked="t" o:allowincell="f" style="position:absolute;left:879;top:1016;width:3789;height:350;mso-wrap-style:none;v-text-anchor:middle;mso-position-vertical:center" type="_x0000_t32">
                  <v:fill o:detectmouseclick="t" on="false"/>
                  <v:stroke color="#7f7f7f" weight="12600" endarrow="block" endarrowwidth="medium" endarrowlength="medium" joinstyle="round" endcap="flat"/>
                  <w10:wrap type="square"/>
                </v:shape>
                <v:shape id="shape_0" ID="Connector 39" path="m0,0l-2147483648,-2147483647e" stroked="t" o:allowincell="f" style="position:absolute;left:2763;top:-1367;width:1904;height:350;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42" path="m0,0l-2147483648,-2147483647e" stroked="t" o:allowincell="f" style="position:absolute;left:2764;top:1016;width:1904;height:350;mso-wrap-style:none;v-text-anchor:middle;mso-position-vertical:center" type="_x0000_t32">
                  <v:fill o:detectmouseclick="t" on="false"/>
                  <v:stroke color="#7f7f7f" weight="12600" endarrow="block" endarrowwidth="medium" endarrowlength="medium" joinstyle="round" endcap="flat"/>
                  <w10:wrap type="square"/>
                </v:shape>
                <v:shape id="shape_0" ID="Connector 43" path="m0,0l-2147483648,-2147483647e" stroked="t" o:allowincell="f" style="position:absolute;left:4648;top:-1367;width:19;height:350;flip:x;mso-wrap-style:none;v-text-anchor:middle;mso-position-vertical:center" type="_x0000_t32">
                  <v:fill o:detectmouseclick="t" on="false"/>
                  <v:stroke color="#404040" weight="15840" endarrow="block" endarrowwidth="medium" endarrowlength="medium" joinstyle="round" endcap="flat"/>
                  <w10:wrap type="square"/>
                </v:shape>
                <v:shape id="shape_0" ID="Connector 46" path="m0,0l-2147483648,-2147483647e" stroked="t" o:allowincell="f" style="position:absolute;left:4650;top:1016;width:18;height:350;mso-wrap-style:none;v-text-anchor:middle;mso-position-vertical:center" type="_x0000_t32">
                  <v:fill o:detectmouseclick="t" on="false"/>
                  <v:stroke color="#7f7f7f" weight="12600" endarrow="block" endarrowwidth="medium" endarrowlength="medium" joinstyle="round" endcap="flat"/>
                  <w10:wrap type="square"/>
                </v:shape>
                <v:shape id="shape_0" ID="Connector 47" path="m0,0l-2147483648,-2147483647e" stroked="t" o:allowincell="f" style="position:absolute;left:4670;top:-1367;width:1863;height:350;mso-wrap-style:none;v-text-anchor:middle;mso-position-vertical:center" type="_x0000_t32">
                  <v:fill o:detectmouseclick="t" on="false"/>
                  <v:stroke color="#404040" weight="15840" endarrow="block" endarrowwidth="medium" endarrowlength="medium" joinstyle="round" endcap="flat"/>
                  <w10:wrap type="square"/>
                </v:shape>
                <v:shape id="shape_0" ID="Connector 50" path="m0,0l-2147483648,-2147483647e" stroked="t" o:allowincell="f" style="position:absolute;left:4669;top:1016;width:1863;height:350;flip:x;mso-wrap-style:none;v-text-anchor:middle;mso-position-vertical:center" type="_x0000_t32">
                  <v:fill o:detectmouseclick="t" on="false"/>
                  <v:stroke color="#7f7f7f" weight="12600" endarrow="block" endarrowwidth="medium" endarrowlength="medium" joinstyle="round" endcap="flat"/>
                  <w10:wrap type="square"/>
                </v:shape>
                <v:shape id="shape_0" ID="Connector 51" path="m0,0l-2147483648,-2147483647e" stroked="t" o:allowincell="f" style="position:absolute;left:4670;top:-1367;width:3748;height:350;mso-wrap-style:none;v-text-anchor:middle;mso-position-vertical:center" type="_x0000_t32">
                  <v:fill o:detectmouseclick="t" on="false"/>
                  <v:stroke color="#404040" weight="15840" endarrow="block" endarrowwidth="medium" endarrowlength="medium" joinstyle="round" endcap="flat"/>
                  <w10:wrap type="square"/>
                </v:shape>
                <v:shape id="shape_0" ID="Connector 54" path="m0,0l-2147483648,-2147483647e" stroked="t" o:allowincell="f" style="position:absolute;left:4669;top:1016;width:3748;height:350;flip:x;mso-wrap-style:none;v-text-anchor:middle;mso-position-vertical:center" type="_x0000_t32">
                  <v:fill o:detectmouseclick="t" on="false"/>
                  <v:stroke color="#7f7f7f" weight="1260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2.1.5-rasm. Banklar moliyaviy barqarorligini baholashni xalqaro standartlarga moslashtirish muammolari</w:t>
      </w:r>
      <w:r>
        <w:rPr>
          <w:rStyle w:val="FootnoteReference"/>
        </w:rPr>
        <w:footnoteReference w:id="68"/>
      </w:r>
    </w:p>
    <w:p>
      <w:pPr>
        <w:pStyle w:val="BodyText"/>
        <w:spacing w:lineRule="auto" w:line="360" w:before="0" w:after="0"/>
        <w:ind w:firstLine="709"/>
        <w:jc w:val="both"/>
        <w:rPr/>
      </w:pPr>
      <w:r>
        <w:rPr>
          <w:rFonts w:eastAsia="Times New Roman" w:cs="Times New Roman"/>
          <w:b/>
          <w:bCs/>
          <w:sz w:val="28"/>
        </w:rPr>
        <w:t>Birinchi guruh – kapitalni o‘lchash muammolari.</w:t>
      </w:r>
      <w:r>
        <w:rPr>
          <w:rFonts w:eastAsia="Times New Roman" w:cs="Times New Roman"/>
          <w:sz w:val="28"/>
        </w:rPr>
        <w:t xml:space="preserve"> O‘zbekistonda miqdoriy kapital talablari xalqaro minimumlardan yuqori, ammo kapitalning </w:t>
      </w:r>
      <w:r>
        <w:rPr>
          <w:rFonts w:eastAsia="Times New Roman" w:cs="Times New Roman"/>
          <w:i/>
          <w:iCs/>
          <w:sz w:val="28"/>
        </w:rPr>
        <w:t>sifati</w:t>
      </w:r>
      <w:r>
        <w:rPr>
          <w:rFonts w:eastAsia="Times New Roman" w:cs="Times New Roman"/>
          <w:sz w:val="28"/>
        </w:rPr>
        <w:t xml:space="preserve"> 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69"/>
      </w:r>
      <w:r>
        <w:rPr>
          <w:rFonts w:eastAsia="Times New Roman" w:cs="Times New Roman"/>
          <w:sz w:val="28"/>
        </w:rPr>
        <w:t>.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Rule="auto" w:line="360" w:before="0" w:after="0"/>
        <w:ind w:firstLine="709"/>
        <w:jc w:val="both"/>
        <w:rPr/>
      </w:pPr>
      <w:r>
        <w:rPr>
          <w:rFonts w:eastAsia="Times New Roman" w:cs="Times New Roman"/>
          <w:b/>
          <w:bCs/>
          <w:sz w:val="28"/>
        </w:rPr>
        <w:t>Ikkinchi guruh – aktivlar sifatini baholash muammolari.</w:t>
      </w:r>
      <w:r>
        <w:rPr>
          <w:rFonts w:eastAsia="Times New Roman" w:cs="Times New Roman"/>
          <w:sz w:val="28"/>
        </w:rP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70"/>
      </w:r>
      <w:r>
        <w:rPr>
          <w:rFonts w:eastAsia="Times New Roman" w:cs="Times New Roman"/>
          <w:sz w:val="28"/>
        </w:rP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71"/>
      </w:r>
      <w:r>
        <w:rPr>
          <w:rFonts w:eastAsia="Times New Roman" w:cs="Times New Roman"/>
          <w:sz w:val="28"/>
        </w:rPr>
        <w:t>. Bu kamchiliklar e’lon qilinadigan muammoli kreditlar ulushining haqiqiy riskni to‘liq aks ettirmasligiga olib kelishi mumkin.</w:t>
      </w:r>
    </w:p>
    <w:p>
      <w:pPr>
        <w:pStyle w:val="BodyText"/>
        <w:spacing w:lineRule="auto" w:line="360" w:before="0" w:after="0"/>
        <w:ind w:firstLine="709"/>
        <w:jc w:val="both"/>
        <w:rPr/>
      </w:pPr>
      <w:r>
        <w:rPr>
          <w:rFonts w:eastAsia="Times New Roman" w:cs="Times New Roman"/>
          <w:b/>
          <w:bCs/>
          <w:sz w:val="28"/>
        </w:rPr>
        <w:t>Uchinchi guruh – axborot va shaffoflik muammolari.</w:t>
      </w:r>
      <w:r>
        <w:rPr>
          <w:rFonts w:eastAsia="Times New Roman" w:cs="Times New Roman"/>
          <w:sz w:val="28"/>
        </w:rP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72"/>
      </w:r>
      <w:r>
        <w:rPr>
          <w:rFonts w:eastAsia="Times New Roman" w:cs="Times New Roman"/>
          <w:sz w:val="28"/>
        </w:rPr>
        <w:t>. Hukumat va Markaziy bank barcha tijorat banklarini MHXS ga to‘liq o‘tkazishni maqsad qilib qo‘ygan</w:t>
      </w:r>
      <w:r>
        <w:rPr>
          <w:rStyle w:val="FootnoteReference"/>
        </w:rPr>
        <w:footnoteReference w:id="73"/>
      </w:r>
      <w:r>
        <w:rPr>
          <w:rFonts w:eastAsia="Times New Roman" w:cs="Times New Roman"/>
          <w:sz w:val="28"/>
        </w:rPr>
        <w:t>. Bu jarayon yakunlanmaguncha milliy hisobot va MHXS bo‘yicha ko‘rsatkichlar farq qilishi davom etadi, bu esa baholash natijalarining taqqoslanuvchanligini pasaytiradi.</w:t>
      </w:r>
    </w:p>
    <w:p>
      <w:pPr>
        <w:pStyle w:val="BodyText"/>
        <w:spacing w:lineRule="auto" w:line="360" w:before="0" w:after="0"/>
        <w:ind w:firstLine="709"/>
        <w:jc w:val="both"/>
        <w:rPr/>
      </w:pPr>
      <w:r>
        <w:rPr>
          <w:rFonts w:eastAsia="Times New Roman" w:cs="Times New Roman"/>
          <w:b/>
          <w:bCs/>
          <w:sz w:val="28"/>
        </w:rPr>
        <w:t>To‘rtinchi guruh – institutsional muammolar.</w:t>
      </w:r>
      <w:r>
        <w:rPr>
          <w:rFonts w:eastAsia="Times New Roman" w:cs="Times New Roman"/>
          <w:sz w:val="28"/>
        </w:rPr>
        <w:t xml:space="preserve"> 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74"/>
      </w:r>
      <w:r>
        <w:rPr>
          <w:rFonts w:eastAsia="Times New Roman" w:cs="Times New Roman"/>
          <w:sz w:val="28"/>
        </w:rP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75"/>
      </w:r>
      <w:r>
        <w:rPr>
          <w:rFonts w:eastAsia="Times New Roman" w:cs="Times New Roman"/>
          <w:sz w:val="28"/>
        </w:rPr>
        <w:t>. Bundan tashqari, konsolidatsiyalangan nazorat, banklarni sanatsiya qilish rejimi va Moliyaviy barqarorlik kengashi hali shakllanish bosqichida.</w:t>
      </w:r>
    </w:p>
    <w:p>
      <w:pPr>
        <w:pStyle w:val="BodyText"/>
        <w:spacing w:lineRule="auto" w:line="360" w:before="0" w:after="0"/>
        <w:ind w:firstLine="709"/>
        <w:jc w:val="both"/>
        <w:rPr/>
      </w:pPr>
      <w:r>
        <w:rPr>
          <w:rFonts w:eastAsia="Times New Roman" w:cs="Times New Roman"/>
          <w:b/>
          <w:bCs/>
          <w:sz w:val="28"/>
        </w:rPr>
        <w:t>Beshinchi guruh – baholash vositalari muammolari.</w:t>
      </w:r>
      <w:r>
        <w:rPr>
          <w:rFonts w:eastAsia="Times New Roman" w:cs="Times New Roman"/>
          <w:sz w:val="28"/>
        </w:rP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76"/>
      </w:r>
      <w:r>
        <w:rPr>
          <w:rFonts w:eastAsia="Times New Roman" w:cs="Times New Roman"/>
          <w:sz w:val="28"/>
        </w:rPr>
        <w:t>. To‘lov qobiliyati bo‘yicha makro stress-test MHXS 9 asosidagi muammoli kreditlar ma’lumotlari to‘liq shakllangandan keyingina shu ma’lumotlarga tayanadigan bo‘ladi</w:t>
      </w:r>
      <w:r>
        <w:rPr>
          <w:rStyle w:val="FootnoteReference"/>
        </w:rPr>
        <w:footnoteReference w:id="77"/>
      </w:r>
      <w:r>
        <w:rPr>
          <w:rFonts w:eastAsia="Times New Roman" w:cs="Times New Roman"/>
          <w:sz w:val="28"/>
        </w:rPr>
        <w:t>. Risklarga asoslangan nazorat doirasidagi reyting baholari esa yopiq. Natijada bank barqarorligini ochiq ma’lumotlar asosida, yagona integral ko‘rsatkich bilan va bashorat elementi bilan baholaydigan vosita mavjud emas.</w:t>
      </w:r>
    </w:p>
    <w:p>
      <w:pPr>
        <w:pStyle w:val="BodyText"/>
        <w:spacing w:lineRule="auto" w:line="360" w:before="0" w:after="0"/>
        <w:ind w:firstLine="709"/>
        <w:jc w:val="both"/>
        <w:rPr/>
      </w:pPr>
      <w:r>
        <w:rPr>
          <w:rFonts w:eastAsia="Times New Roman" w:cs="Times New Roman"/>
          <w:sz w:val="28"/>
        </w:rPr>
        <w:t>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78"/>
      </w:r>
      <w:r>
        <w:rPr>
          <w:rFonts w:eastAsia="Times New Roman" w:cs="Times New Roman"/>
          <w:sz w:val="28"/>
        </w:rPr>
        <w:t>. Demak, baholash tizimining mazmuniy elementlarini xalqaro standartlarga moslashtirish o‘tish davri kamida 2027–2028-yillargacha davom etadi.</w:t>
      </w:r>
      <w:bookmarkEnd w:id="22"/>
    </w:p>
    <w:p>
      <w:pPr>
        <w:pStyle w:val="Heading3"/>
        <w:keepNext w:val="true"/>
        <w:spacing w:lineRule="auto" w:line="360" w:before="240" w:after="120"/>
        <w:ind w:firstLine="709"/>
        <w:jc w:val="both"/>
        <w:rPr/>
      </w:pPr>
      <w:bookmarkStart w:id="23" w:name="paragraf-boyicha-xulosa"/>
      <w:r>
        <w:rPr>
          <w:rFonts w:eastAsia="Times New Roman" w:cs="Times New Roman" w:ascii="Times New Roman" w:hAnsi="Times New Roman"/>
          <w:b/>
          <w:i w:val="false"/>
          <w:sz w:val="28"/>
        </w:rPr>
        <w:t>Paragraf bo‘yicha xulosa</w:t>
      </w:r>
    </w:p>
    <w:p>
      <w:pPr>
        <w:pStyle w:val="Normal"/>
        <w:numPr>
          <w:ilvl w:val="0"/>
          <w:numId w:val="8"/>
        </w:numPr>
        <w:spacing w:lineRule="auto" w:line="360" w:before="0" w:after="0"/>
        <w:ind w:firstLine="709"/>
        <w:jc w:val="both"/>
        <w:rPr/>
      </w:pPr>
      <w:r>
        <w:rPr>
          <w:rFonts w:eastAsia="Times New Roman" w:cs="Times New Roman"/>
          <w:sz w:val="28"/>
        </w:rPr>
        <w:t>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pStyle w:val="Normal"/>
        <w:numPr>
          <w:ilvl w:val="0"/>
          <w:numId w:val="8"/>
        </w:numPr>
        <w:spacing w:lineRule="auto" w:line="360" w:before="0" w:after="0"/>
        <w:ind w:firstLine="709"/>
        <w:jc w:val="both"/>
        <w:rPr/>
      </w:pPr>
      <w:r>
        <w:rPr>
          <w:rFonts w:eastAsia="Times New Roman" w:cs="Times New Roman"/>
          <w:sz w:val="28"/>
        </w:rPr>
        <w:t>Bank tizimining kapital ko‘rsatkichlari regulyativ minimumlardan ancha yuqori, ammo salbiy stress-ssenariy kapitalning katta qismi jiddiy shok sharoitida yo‘qolishi mumkinligini ko‘rsatadi. Demak, bir sanadagi kapital ko‘rsatkichiga tayanuvchi baholash yetarli emas.</w:t>
      </w:r>
    </w:p>
    <w:p>
      <w:pPr>
        <w:pStyle w:val="Normal"/>
        <w:numPr>
          <w:ilvl w:val="0"/>
          <w:numId w:val="8"/>
        </w:numPr>
        <w:spacing w:lineRule="auto" w:line="360" w:before="0" w:after="0"/>
        <w:ind w:firstLine="709"/>
        <w:jc w:val="both"/>
        <w:rPr/>
      </w:pPr>
      <w:r>
        <w:rPr>
          <w:rFonts w:eastAsia="Times New Roman" w:cs="Times New Roman"/>
          <w:sz w:val="28"/>
        </w:rP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pStyle w:val="Normal"/>
        <w:numPr>
          <w:ilvl w:val="0"/>
          <w:numId w:val="8"/>
        </w:numPr>
        <w:spacing w:lineRule="auto" w:line="360" w:before="0" w:after="0"/>
        <w:ind w:firstLine="709"/>
        <w:jc w:val="both"/>
        <w:rPr/>
      </w:pPr>
      <w:bookmarkStart w:id="24" w:name="Xacf6eb0da76150b1b8727c097bc04fa1f11b2d8"/>
      <w:bookmarkStart w:id="25" w:name="paragraf-boyicha-xulosa"/>
      <w:r>
        <w:rPr>
          <w:rFonts w:eastAsia="Times New Roman" w:cs="Times New Roman"/>
          <w:sz w:val="28"/>
        </w:rP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bookmarkEnd w:id="24"/>
      <w:bookmarkEnd w:id="25"/>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26" w:name="__RefHeading___Toc38198_2843893380"/>
      <w:bookmarkStart w:id="27" w:name="X637944ed30af1a5c7e12bfca1a7866b67ed51e5"/>
      <w:bookmarkEnd w:id="26"/>
      <w:r>
        <w:rPr>
          <w:rFonts w:eastAsia="Times New Roman" w:cs="Times New Roman" w:ascii="Times New Roman" w:hAnsi="Times New Roman"/>
          <w:b/>
          <w:i w:val="false"/>
          <w:sz w:val="28"/>
        </w:rPr>
        <w:t>2.2-§. Oʻzbekiston bank tizimida moliyaviy barqarorlik koʻrsatkichlari dinamikasining xalqaro standartlar mezonlari boʻyicha tahlili</w:t>
      </w:r>
    </w:p>
    <w:p>
      <w:pPr>
        <w:pStyle w:val="FirstParagraph"/>
        <w:spacing w:lineRule="auto" w:line="360" w:before="0" w:after="0"/>
        <w:ind w:firstLine="709"/>
        <w:jc w:val="both"/>
        <w:rPr/>
      </w:pPr>
      <w:r>
        <w:rPr>
          <w:rFonts w:eastAsia="Times New Roman" w:cs="Times New Roman"/>
          <w:sz w:val="28"/>
        </w:rP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79"/>
      </w:r>
      <w:r>
        <w:rPr>
          <w:rStyle w:val="FootnoteReference"/>
        </w:rPr>
        <w:footnoteReference w:customMarkFollows="1" w:id="80"/>
      </w:r>
      <w:r>
        <w:rPr>
          <w:rStyle w:val="FootnoteReference"/>
        </w:rPr>
        <w:footnoteReference w:customMarkFollows="1" w:id="81"/>
      </w:r>
      <w:r>
        <w:rPr>
          <w:rStyle w:val="FootnoteReference"/>
        </w:rPr>
        <w:footnoteReference w:customMarkFollows="1" w:id="82"/>
      </w:r>
      <w:r>
        <w:rPr>
          <w:rStyle w:val="FootnoteReference"/>
        </w:rPr>
        <w:footnoteReference w:customMarkFollows="1" w:id="83"/>
      </w:r>
      <w:r>
        <w:rPr>
          <w:rStyle w:val="FootnoteReference"/>
        </w:rPr>
        <w:footnoteReference w:customMarkFollows="1" w:id="84"/>
      </w:r>
      <w:r>
        <w:rPr>
          <w:rStyle w:val="FootnoteReference"/>
        </w:rPr>
        <w:footnoteReference w:customMarkFollows="1" w:id="85"/>
      </w:r>
      <w:r>
        <w:rPr>
          <w:rStyle w:val="FootnoteReference"/>
        </w:rPr>
        <w:footnoteReference w:customMarkFollows="1" w:id="86"/>
      </w:r>
      <w:r>
        <w:rPr>
          <w:rStyle w:val="FootnoteReference"/>
        </w:rPr>
        <w:footnoteReference w:customMarkFollows="1" w:id="87"/>
      </w:r>
      <w:r>
        <w:rPr>
          <w:rStyle w:val="FootnoteReference"/>
        </w:rPr>
        <w:footnoteReference w:customMarkFollows="1" w:id="88"/>
      </w:r>
      <w:r>
        <w:rPr>
          <w:rStyle w:val="FootnoteReference"/>
        </w:rPr>
        <w:footnoteReference w:customMarkFollows="1" w:id="89"/>
      </w:r>
      <w:r>
        <w:rPr>
          <w:rStyle w:val="FootnoteReference"/>
        </w:rPr>
        <w:footnoteReference w:customMarkFollows="1" w:id="90"/>
      </w:r>
      <w:r>
        <w:rPr>
          <w:rStyle w:val="FootnoteReference"/>
        </w:rPr>
        <w:footnoteReference w:customMarkFollows="1" w:id="91"/>
      </w:r>
      <w:r>
        <w:rPr>
          <w:rStyle w:val="FootnoteReference"/>
        </w:rPr>
        <w:footnoteReference w:customMarkFollows="1" w:id="92"/>
      </w:r>
      <w:r>
        <w:rPr>
          <w:rStyle w:val="FootnoteReference"/>
        </w:rPr>
        <w:footnoteReference w:customMarkFollows="1" w:id="93"/>
      </w:r>
      <w:r>
        <w:rPr>
          <w:rStyle w:val="FootnoteReference"/>
        </w:rPr>
        <w:footnoteReference w:customMarkFollows="1" w:id="94"/>
      </w:r>
      <w:r>
        <w:rPr>
          <w:rStyle w:val="FootnoteReference"/>
        </w:rPr>
        <w:footnoteReference w:customMarkFollows="1" w:id="95"/>
      </w:r>
      <w:r>
        <w:rPr>
          <w:rStyle w:val="FootnoteReference"/>
        </w:rPr>
        <w:footnoteReference w:customMarkFollows="1" w:id="96"/>
      </w:r>
      <w:r>
        <w:rPr>
          <w:rStyle w:val="FootnoteReference"/>
        </w:rPr>
        <w:footnoteReference w:customMarkFollows="1" w:id="97"/>
      </w:r>
      <w:r>
        <w:rPr>
          <w:rStyle w:val="FootnoteReference"/>
        </w:rPr>
        <w:footnoteReference w:customMarkFollows="1" w:id="98"/>
      </w:r>
      <w:r>
        <w:rPr>
          <w:rStyle w:val="FootnoteReference"/>
        </w:rPr>
        <w:footnoteReference w:customMarkFollows="1" w:id="99"/>
      </w:r>
      <w:r>
        <w:rPr>
          <w:rStyle w:val="FootnoteReference"/>
        </w:rPr>
        <w:footnoteReference w:customMarkFollows="1" w:id="100"/>
      </w:r>
      <w:r>
        <w:rPr>
          <w:rStyle w:val="FootnoteReference"/>
        </w:rPr>
        <w:footnoteReference w:customMarkFollows="1" w:id="101"/>
      </w:r>
      <w:r>
        <w:rPr>
          <w:rStyle w:val="FootnoteReference"/>
        </w:rPr>
        <w:footnoteReference w:customMarkFollows="1" w:id="102"/>
      </w:r>
      <w:r>
        <w:rPr>
          <w:rStyle w:val="FootnoteReference"/>
        </w:rPr>
        <w:footnoteReference w:customMarkFollows="1" w:id="103"/>
      </w:r>
      <w:r>
        <w:rPr>
          <w:rStyle w:val="FootnoteReference"/>
        </w:rPr>
        <w:footnoteReference w:customMarkFollows="1" w:id="104"/>
      </w:r>
      <w:r>
        <w:rPr>
          <w:rStyle w:val="FootnoteReference"/>
        </w:rPr>
        <w:footnoteReference w:customMarkFollows="1" w:id="105"/>
      </w:r>
      <w:r>
        <w:rPr>
          <w:rStyle w:val="FootnoteReference"/>
        </w:rPr>
        <w:footnoteReference w:customMarkFollows="1" w:id="106"/>
      </w:r>
      <w:r>
        <w:rPr>
          <w:rStyle w:val="FootnoteReference"/>
        </w:rPr>
        <w:footnoteReference w:customMarkFollows="1" w:id="107"/>
      </w:r>
      <w:r>
        <w:rPr>
          <w:rStyle w:val="FootnoteReference"/>
        </w:rPr>
        <w:footnoteReference w:customMarkFollows="1" w:id="108"/>
      </w:r>
      <w:r>
        <w:rPr>
          <w:rStyle w:val="FootnoteReference"/>
        </w:rPr>
        <w:footnoteReference w:customMarkFollows="1" w:id="109"/>
      </w:r>
      <w:r>
        <w:rPr>
          <w:rStyle w:val="FootnoteReference"/>
        </w:rPr>
        <w:footnoteReference w:customMarkFollows="1" w:id="110"/>
      </w:r>
      <w:r>
        <w:rPr>
          <w:rStyle w:val="FootnoteReference"/>
        </w:rPr>
        <w:footnoteReference w:customMarkFollows="1" w:id="111"/>
      </w:r>
      <w:r>
        <w:rPr>
          <w:rStyle w:val="FootnoteReference"/>
        </w:rPr>
        <w:footnoteReference w:customMarkFollows="1" w:id="112"/>
      </w:r>
      <w:r>
        <w:rPr>
          <w:rStyle w:val="FootnoteReference"/>
        </w:rPr>
        <w:footnoteReference w:customMarkFollows="1" w:id="113"/>
      </w:r>
      <w:r>
        <w:rPr>
          <w:rStyle w:val="FootnoteReference"/>
        </w:rPr>
        <w:footnoteReference w:customMarkFollows="1" w:id="114"/>
      </w:r>
      <w:r>
        <w:rPr>
          <w:rStyle w:val="FootnoteReference"/>
        </w:rPr>
        <w:footnoteReference w:customMarkFollows="1" w:id="115"/>
      </w:r>
      <w:r>
        <w:rPr>
          <w:rStyle w:val="FootnoteReference"/>
        </w:rPr>
        <w:footnoteReference w:customMarkFollows="1" w:id="116"/>
      </w:r>
      <w:r>
        <w:rPr>
          <w:rStyle w:val="FootnoteReference"/>
        </w:rPr>
        <w:footnoteReference w:customMarkFollows="1" w:id="117"/>
      </w:r>
      <w:r>
        <w:rPr>
          <w:rStyle w:val="FootnoteReference"/>
        </w:rPr>
        <w:footnoteReference w:customMarkFollows="1" w:id="118"/>
      </w:r>
      <w:r>
        <w:rPr>
          <w:rStyle w:val="FootnoteReference"/>
        </w:rPr>
        <w:footnoteReference w:customMarkFollows="1" w:id="119"/>
      </w:r>
      <w:r>
        <w:rPr>
          <w:rStyle w:val="FootnoteReference"/>
        </w:rPr>
        <w:footnoteReference w:customMarkFollows="1" w:id="120"/>
      </w:r>
      <w:r>
        <w:rPr>
          <w:rStyle w:val="FootnoteReference"/>
        </w:rPr>
        <w:footnoteReference w:customMarkFollows="1" w:id="121"/>
      </w:r>
      <w:r>
        <w:rPr>
          <w:rStyle w:val="FootnoteReference"/>
        </w:rPr>
        <w:footnoteReference w:customMarkFollows="1" w:id="122"/>
      </w:r>
      <w:r>
        <w:rPr>
          <w:rStyle w:val="FootnoteReference"/>
        </w:rPr>
        <w:footnoteReference w:customMarkFollows="1" w:id="123"/>
      </w:r>
      <w:r>
        <w:rPr>
          <w:rStyle w:val="FootnoteReference"/>
        </w:rPr>
        <w:footnoteReference w:customMarkFollows="1" w:id="124"/>
      </w:r>
      <w:r>
        <w:rPr>
          <w:rStyle w:val="FootnoteReference"/>
        </w:rPr>
        <w:footnoteReference w:customMarkFollows="1" w:id="125"/>
      </w:r>
      <w:r>
        <w:rPr>
          <w:rFonts w:eastAsia="Times New Roman" w:cs="Times New Roman"/>
          <w:sz w:val="28"/>
        </w:rPr>
        <w:t>, har bir ko‘rsatkich esa milliy talablar bilan bir qatorda Bazel III, XVJ va CAMELS tizimida qo‘llanadigan xalqaro mezonlar bilan solishtirildi.</w:t>
      </w:r>
    </w:p>
    <w:p>
      <w:pPr>
        <w:pStyle w:val="BodyText"/>
        <w:spacing w:lineRule="auto" w:line="360" w:before="0" w:after="0"/>
        <w:ind w:firstLine="709"/>
        <w:jc w:val="both"/>
        <w:rPr/>
      </w:pPr>
      <w:r>
        <w:rPr>
          <w:rFonts w:eastAsia="Times New Roman" w:cs="Times New Roman"/>
          <w:sz w:val="28"/>
        </w:rP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126"/>
      </w:r>
      <w:r>
        <w:rPr>
          <w:rStyle w:val="FootnoteReference"/>
        </w:rPr>
        <w:footnoteReference w:id="127"/>
      </w:r>
      <w:r>
        <w:rPr>
          <w:rFonts w:eastAsia="Times New Roman" w:cs="Times New Roman"/>
          <w:sz w:val="28"/>
        </w:rP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Rule="auto" w:line="360" w:before="0" w:after="0"/>
        <w:ind w:firstLine="709"/>
        <w:jc w:val="both"/>
        <w:rPr/>
      </w:pPr>
      <w:r>
        <w:rPr>
          <w:rFonts w:eastAsia="Times New Roman" w:cs="Times New Roman"/>
          <w:sz w:val="28"/>
        </w:rPr>
        <w:t>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128"/>
      </w:r>
      <w:r>
        <w:rPr>
          <w:rFonts w:eastAsia="Times New Roman" w:cs="Times New Roman"/>
          <w:sz w:val="28"/>
        </w:rPr>
        <w:t>. 2023-yil oxirida bank tizimi aktivlari yalpi ichki mahsulotning 55 foiziga, kreditlar esa 40 foiziga teng bo‘lgan</w:t>
      </w:r>
      <w:r>
        <w:rPr>
          <w:rStyle w:val="FootnoteReference"/>
        </w:rPr>
        <w:footnoteReference w:id="129"/>
      </w:r>
      <w:r>
        <w:rPr>
          <w:rFonts w:eastAsia="Times New Roman" w:cs="Times New Roman"/>
          <w:sz w:val="28"/>
        </w:rPr>
        <w:t>, 2026-yil 1-yanvar holatiga esa tijorat banklari aktivlari 924,8 trln so‘mni, kreditlari 604 trln so‘mni tashkil etgan</w:t>
      </w:r>
      <w:r>
        <w:rPr>
          <w:rStyle w:val="FootnoteReference"/>
        </w:rPr>
        <w:footnoteReference w:id="130"/>
      </w:r>
      <w:r>
        <w:rPr>
          <w:rFonts w:eastAsia="Times New Roman" w:cs="Times New Roman"/>
          <w:sz w:val="28"/>
        </w:rP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131"/>
      </w:r>
      <w:r>
        <w:rPr>
          <w:rFonts w:eastAsia="Times New Roman" w:cs="Times New Roman"/>
          <w:sz w:val="28"/>
        </w:rPr>
        <w:t xml:space="preserve"> (2.2.1-rasm).</w:t>
      </w:r>
    </w:p>
    <w:p>
      <w:pPr>
        <w:pStyle w:val="BodyText"/>
        <w:keepNext w:val="true"/>
        <w:spacing w:lineRule="auto" w:line="240" w:before="0" w:after="0"/>
        <w:ind w:hanging="0"/>
        <w:jc w:val="center"/>
        <w:rPr/>
      </w:pPr>
      <w:r>
        <w:rPr/>
        <w:drawing>
          <wp:inline distT="0" distB="0" distL="0" distR="0">
            <wp:extent cx="5760085" cy="2879725"/>
            <wp:effectExtent l="0" t="0" r="0" b="0"/>
            <wp:docPr id="270" name="2.2.1-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pPr>
        <w:pStyle w:val="BodyText"/>
        <w:spacing w:lineRule="auto" w:line="240" w:before="120" w:after="240"/>
        <w:ind w:hanging="0"/>
        <w:jc w:val="center"/>
        <w:rPr/>
      </w:pPr>
      <w:r>
        <w:rPr>
          <w:rFonts w:eastAsia="Times New Roman" w:cs="Times New Roman"/>
          <w:b/>
          <w:sz w:val="28"/>
        </w:rPr>
        <w:t>2.2.1-rasm. Davlat ulushi mavjud banklarning bank tizimidagi ulushi, %</w:t>
      </w:r>
      <w:r>
        <w:rPr>
          <w:rStyle w:val="FootnoteReference"/>
        </w:rPr>
        <w:footnoteReference w:id="132"/>
      </w:r>
    </w:p>
    <w:p>
      <w:pPr>
        <w:pStyle w:val="BodyText"/>
        <w:spacing w:lineRule="auto" w:line="360" w:before="0" w:after="0"/>
        <w:ind w:firstLine="709"/>
        <w:jc w:val="both"/>
        <w:rPr/>
      </w:pPr>
      <w:r>
        <w:rPr>
          <w:rFonts w:eastAsia="Times New Roman" w:cs="Times New Roman"/>
          <w:sz w:val="28"/>
        </w:rPr>
        <w:t>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133"/>
      </w:r>
      <w:r>
        <w:rPr>
          <w:rFonts w:eastAsia="Times New Roman" w:cs="Times New Roman"/>
          <w:sz w:val="28"/>
        </w:rPr>
        <w:t>. Bank tizimining XVJ tuzilmasi bo‘yicha asosiy ko‘rsatkichlari Markaziy bankning statistik byulleteni ma’lumotlari asosida 2.2.1-jadvalda umumlashtirildi.</w:t>
      </w:r>
    </w:p>
    <w:p>
      <w:pPr>
        <w:pStyle w:val="BodyText"/>
        <w:keepNext w:val="true"/>
        <w:spacing w:lineRule="auto" w:line="360" w:before="120" w:after="0"/>
        <w:ind w:hanging="0"/>
        <w:jc w:val="right"/>
        <w:rPr/>
      </w:pPr>
      <w:r>
        <w:rPr>
          <w:rFonts w:eastAsia="Times New Roman" w:cs="Times New Roman"/>
          <w:i/>
          <w:sz w:val="28"/>
        </w:rPr>
        <w:t>2.2.1-jadval</w:t>
      </w:r>
    </w:p>
    <w:p>
      <w:pPr>
        <w:pStyle w:val="BodyText"/>
        <w:keepNext w:val="true"/>
        <w:spacing w:lineRule="auto" w:line="240" w:before="0" w:after="120"/>
        <w:ind w:hanging="0"/>
        <w:jc w:val="center"/>
        <w:rPr/>
      </w:pPr>
      <w:r>
        <w:rPr>
          <w:rFonts w:eastAsia="Times New Roman" w:cs="Times New Roman"/>
          <w:b/>
          <w:bCs/>
          <w:sz w:val="28"/>
        </w:rPr>
        <w:t>O‘zbekiston bank tizimining moliyaviy barqarorlik ko‘rsatkichlari, yil oxiriga, %</w:t>
      </w:r>
      <w:r>
        <w:rPr>
          <w:rStyle w:val="FootnoteReference"/>
        </w:rPr>
        <w:footnoteReference w:id="134"/>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1228"/>
        <w:gridCol w:w="1230"/>
        <w:gridCol w:w="1228"/>
        <w:gridCol w:w="1229"/>
        <w:gridCol w:w="1228"/>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Kapital yetarliligi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darajali kapital monandligi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darajali asosiy kapital (CET1) monandligi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darajali kapitalning jami aktivlarga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Aktivlar sifati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jami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shundan, davlat ulushi mavjud banklarda</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shundan, boshqa banklarda</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2,4</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2,6</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va muammoli kreditlar ulushi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Maxsus zaxiralarning muammoli kreditlarga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36,7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52,6</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Zaxiralar chegirilgan muammoli kreditlarning kapitalga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Daromadlilik</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rentabelligi (soliq to‘lagunga qadar)</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rentabelligi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Likvidlik va moliyalashtirish tuzilmasi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Likvidlikni qoplash koeffitsiyenti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189,6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211,6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164,8</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193,8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207,5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barqaror moliyalashtirish me’yori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115,4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115,6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111,8</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115,3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119,9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aktivlarning jami aktivlarga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17,7</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Mijozlar depozitlarining jami kreditlarga nisbati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42,2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47,8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53,6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63,3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Xorijiy valyutadagi kreditlar ulushi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49,2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42,0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38,4</w:t>
            </w:r>
          </w:p>
        </w:tc>
      </w:tr>
    </w:tbl>
    <w:p>
      <w:pPr>
        <w:pStyle w:val="BodyText"/>
        <w:spacing w:lineRule="auto" w:line="360" w:before="0" w:after="0"/>
        <w:ind w:firstLine="709"/>
        <w:jc w:val="both"/>
        <w:rPr/>
      </w:pPr>
      <w:r>
        <w:rPr>
          <w:rFonts w:eastAsia="Times New Roman" w:cs="Times New Roman"/>
          <w:i/>
          <w:iCs/>
          <w:sz w:val="28"/>
        </w:rPr>
        <w:t>Izoh: «–» – byulletenda ma’lumot berilmagan.</w:t>
      </w:r>
    </w:p>
    <w:p>
      <w:pPr>
        <w:pStyle w:val="BodyText"/>
        <w:spacing w:lineRule="auto" w:line="360" w:before="0" w:after="0"/>
        <w:ind w:firstLine="709"/>
        <w:jc w:val="both"/>
        <w:rPr/>
      </w:pPr>
      <w:r>
        <w:rPr>
          <w:rFonts w:eastAsia="Times New Roman" w:cs="Times New Roman"/>
          <w:sz w:val="28"/>
        </w:rP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Rule="auto" w:line="360" w:before="0" w:after="0"/>
        <w:ind w:firstLine="709"/>
        <w:jc w:val="both"/>
        <w:rPr/>
      </w:pPr>
      <w:r>
        <w:rPr>
          <w:rFonts w:eastAsia="Times New Roman" w:cs="Times New Roman"/>
          <w:sz w:val="28"/>
        </w:rP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135"/>
      </w:r>
      <w:r>
        <w:rPr>
          <w:rFonts w:eastAsia="Times New Roman" w:cs="Times New Roman"/>
          <w:sz w:val="28"/>
        </w:rPr>
        <w:t xml:space="preserve"> (2.2.2-rasm).</w:t>
      </w:r>
    </w:p>
    <w:p>
      <w:pPr>
        <w:pStyle w:val="BodyText"/>
        <w:keepNext w:val="true"/>
        <w:spacing w:lineRule="auto" w:line="240" w:before="0" w:after="0"/>
        <w:ind w:hanging="0"/>
        <w:jc w:val="center"/>
        <w:rPr/>
      </w:pPr>
      <w:r>
        <w:rPr/>
        <w:drawing>
          <wp:inline distT="0" distB="0" distL="0" distR="0">
            <wp:extent cx="5760085" cy="2879725"/>
            <wp:effectExtent l="0" t="0" r="0" b="0"/>
            <wp:docPr id="271" name="2.2.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pPr>
        <w:pStyle w:val="BodyText"/>
        <w:spacing w:lineRule="auto" w:line="240" w:before="120" w:after="240"/>
        <w:ind w:hanging="0"/>
        <w:jc w:val="center"/>
        <w:rPr/>
      </w:pPr>
      <w:r>
        <w:rPr>
          <w:rFonts w:eastAsia="Times New Roman" w:cs="Times New Roman"/>
          <w:b/>
          <w:sz w:val="28"/>
        </w:rPr>
        <w:t>2.2.2-rasm. O‘zbekiston bank tizimida kapital yetarliligi ko‘rsatkichlari dinamikasi, %</w:t>
      </w:r>
      <w:r>
        <w:rPr>
          <w:rStyle w:val="FootnoteReference"/>
        </w:rPr>
        <w:footnoteReference w:id="136"/>
      </w:r>
    </w:p>
    <w:p>
      <w:pPr>
        <w:pStyle w:val="BodyText"/>
        <w:spacing w:lineRule="auto" w:line="360" w:before="0" w:after="0"/>
        <w:ind w:firstLine="709"/>
        <w:jc w:val="both"/>
        <w:rPr/>
      </w:pPr>
      <w:r>
        <w:rPr>
          <w:rFonts w:eastAsia="Times New Roman" w:cs="Times New Roman"/>
          <w:sz w:val="28"/>
        </w:rPr>
        <w:t>Xalqaro mezonlar nuqtai nazaridan bu ko‘rsatkichlar yuqori: Bazel III da jami kapital uchun 8 foiz, konservatsiya buferi bilan 10,5 foiz, asosiy kapital uchun esa 4,5 foiz minimum belgilangan</w:t>
      </w:r>
      <w:r>
        <w:rPr>
          <w:rStyle w:val="FootnoteReference"/>
        </w:rPr>
        <w:footnoteReference w:id="137"/>
      </w:r>
      <w:r>
        <w:rPr>
          <w:rFonts w:eastAsia="Times New Roman" w:cs="Times New Roman"/>
          <w:sz w:val="28"/>
        </w:rPr>
        <w:t>. CAMELS tizimida eng yuqori, ya’ni 1-reyting kapital koeffitsiyentlari 4 va 8 foizlik chegaralardan ancha yuqori bo‘lganda beriladi</w:t>
      </w:r>
      <w:r>
        <w:rPr>
          <w:rStyle w:val="FootnoteReference"/>
        </w:rPr>
        <w:footnoteReference w:id="138"/>
      </w:r>
      <w:r>
        <w:rPr>
          <w:rFonts w:eastAsia="Times New Roman" w:cs="Times New Roman"/>
          <w:sz w:val="28"/>
        </w:rP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139"/>
      </w:r>
      <w:r>
        <w:rPr>
          <w:rFonts w:eastAsia="Times New Roman" w:cs="Times New Roman"/>
          <w:sz w:val="28"/>
        </w:rPr>
        <w:t>.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140"/>
      </w:r>
      <w:r>
        <w:rPr>
          <w:rFonts w:eastAsia="Times New Roman" w:cs="Times New Roman"/>
          <w:sz w:val="28"/>
        </w:rPr>
        <w:t>. Uchinchidan, Markaziy bankning stress-testlari salbiy ssenariyda asosiy kapital koeffitsiyenti 2028-yil oxirigacha 5,6 foizgacha, jami kapital monandligi esa 6,8 foizgacha pasayishi mumkinligini ko‘rsatgan</w:t>
      </w:r>
      <w:r>
        <w:rPr>
          <w:rStyle w:val="FootnoteReference"/>
        </w:rPr>
        <w:footnoteReference w:id="141"/>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142"/>
      </w:r>
      <w:r>
        <w:rPr>
          <w:rFonts w:eastAsia="Times New Roman" w:cs="Times New Roman"/>
          <w:sz w:val="28"/>
        </w:rP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143"/>
      </w:r>
      <w:r>
        <w:rPr>
          <w:rFonts w:eastAsia="Times New Roman" w:cs="Times New Roman"/>
          <w:sz w:val="28"/>
        </w:rPr>
        <w:t>, 2023-yil oxirida 19,5 foizni (shundan substandart kreditlar 16 foiz, muammoli kreditlar 3,5 foiz)</w:t>
      </w:r>
      <w:r>
        <w:rPr>
          <w:rStyle w:val="FootnoteReference"/>
        </w:rPr>
        <w:footnoteReference w:id="144"/>
      </w:r>
      <w:r>
        <w:rPr>
          <w:rFonts w:eastAsia="Times New Roman" w:cs="Times New Roman"/>
          <w:sz w:val="28"/>
        </w:rPr>
        <w:t>, 2024-yilda 21 foizni tashkil etgan va faqat 2025-yilda 15 foizgacha kamaygan</w:t>
      </w:r>
      <w:r>
        <w:rPr>
          <w:rStyle w:val="FootnoteReference"/>
        </w:rPr>
        <w:footnoteReference w:id="145"/>
      </w:r>
      <w:r>
        <w:rPr>
          <w:rFonts w:eastAsia="Times New Roman" w:cs="Times New Roman"/>
          <w:sz w:val="28"/>
        </w:rPr>
        <w:t xml:space="preserve"> (2.2.3-rasm). Jahon banki ma’lumotlariga ko‘ra, 2023-yil oxirida MHXS 9 bo‘yicha 3-bosqichdagi kreditlar ulushi 7,8 foiz bo‘lib, rasmiy ko‘rsatkichdan qariyb ikki barobar yuqori bo‘lgan</w:t>
      </w:r>
      <w:r>
        <w:rPr>
          <w:rStyle w:val="FootnoteReference"/>
        </w:rPr>
        <w:footnoteReference w:id="146"/>
      </w:r>
      <w:r>
        <w:rPr>
          <w:rFonts w:eastAsia="Times New Roman" w:cs="Times New Roman"/>
          <w:sz w:val="28"/>
        </w:rPr>
        <w:t>.</w:t>
      </w:r>
    </w:p>
    <w:p>
      <w:pPr>
        <w:pStyle w:val="BodyText"/>
        <w:keepNext w:val="true"/>
        <w:spacing w:lineRule="auto" w:line="240" w:before="0" w:after="0"/>
        <w:ind w:hanging="0"/>
        <w:jc w:val="center"/>
        <w:rPr/>
      </w:pPr>
      <w:r>
        <w:rPr/>
        <w:drawing>
          <wp:inline distT="0" distB="0" distL="0" distR="0">
            <wp:extent cx="5760085" cy="2879725"/>
            <wp:effectExtent l="0" t="0" r="0" b="0"/>
            <wp:docPr id="272" name="2.2.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pPr>
        <w:pStyle w:val="BodyText"/>
        <w:spacing w:lineRule="auto" w:line="240" w:before="120" w:after="240"/>
        <w:ind w:hanging="0"/>
        <w:jc w:val="center"/>
        <w:rPr/>
      </w:pPr>
      <w:r>
        <w:rPr>
          <w:rFonts w:eastAsia="Times New Roman" w:cs="Times New Roman"/>
          <w:b/>
          <w:sz w:val="28"/>
        </w:rPr>
        <w:t>2.2.3-rasm. O‘zbekiston bank tizimida aktivlar sifati ko‘rsatkichlari, %</w:t>
      </w:r>
      <w:r>
        <w:rPr>
          <w:rStyle w:val="FootnoteReference"/>
        </w:rPr>
        <w:footnoteReference w:id="147"/>
      </w:r>
    </w:p>
    <w:p>
      <w:pPr>
        <w:pStyle w:val="BodyText"/>
        <w:spacing w:lineRule="auto" w:line="360" w:before="0" w:after="0"/>
        <w:ind w:firstLine="709"/>
        <w:jc w:val="both"/>
        <w:rPr/>
      </w:pPr>
      <w:r>
        <w:rPr>
          <w:rFonts w:eastAsia="Times New Roman" w:cs="Times New Roman"/>
          <w:sz w:val="28"/>
        </w:rP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148"/>
      </w:r>
      <w:r>
        <w:rPr>
          <w:rFonts w:eastAsia="Times New Roman" w:cs="Times New Roman"/>
          <w:sz w:val="28"/>
        </w:rPr>
        <w:t>, 2022–2025-yillarda esa 36,7–52,6 foiz oralig‘ida bo‘lgan</w:t>
      </w:r>
      <w:r>
        <w:rPr>
          <w:rStyle w:val="FootnoteReference"/>
        </w:rPr>
        <w:footnoteReference w:id="149"/>
      </w:r>
      <w:r>
        <w:rPr>
          <w:rFonts w:eastAsia="Times New Roman" w:cs="Times New Roman"/>
          <w:sz w:val="28"/>
        </w:rP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150"/>
      </w:r>
      <w:r>
        <w:rPr>
          <w:rFonts w:eastAsia="Times New Roman" w:cs="Times New Roman"/>
          <w:sz w:val="28"/>
        </w:rPr>
        <w:t>, O.I. Lavrushin tahriridagi monografiyada esa ishlamaydigan kreditlar ulushining 10 foizgacha oshishi salbiy vaziyat darakchisi sifatida ko‘rsatiladi</w:t>
      </w:r>
      <w:r>
        <w:rPr>
          <w:rStyle w:val="FootnoteReference"/>
        </w:rPr>
        <w:footnoteReference w:id="151"/>
      </w:r>
      <w:r>
        <w:rPr>
          <w:rFonts w:eastAsia="Times New Roman" w:cs="Times New Roman"/>
          <w:sz w:val="28"/>
        </w:rP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Rule="auto" w:line="360" w:before="0" w:after="0"/>
        <w:ind w:firstLine="709"/>
        <w:jc w:val="both"/>
        <w:rPr/>
      </w:pPr>
      <w:r>
        <w:rPr>
          <w:rFonts w:eastAsia="Times New Roman" w:cs="Times New Roman"/>
          <w:sz w:val="28"/>
        </w:rP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152"/>
      </w:r>
      <w:r>
        <w:rPr>
          <w:rFonts w:eastAsia="Times New Roman" w:cs="Times New Roman"/>
          <w:sz w:val="28"/>
        </w:rPr>
        <w:t xml:space="preserve"> (2.2.4-rasm).</w:t>
      </w:r>
    </w:p>
    <w:p>
      <w:pPr>
        <w:pStyle w:val="BodyText"/>
        <w:keepNext w:val="true"/>
        <w:spacing w:lineRule="auto" w:line="240" w:before="0" w:after="0"/>
        <w:ind w:hanging="0"/>
        <w:jc w:val="center"/>
        <w:rPr/>
      </w:pPr>
      <w:r>
        <w:rPr/>
        <w:drawing>
          <wp:inline distT="0" distB="0" distL="0" distR="0">
            <wp:extent cx="5760085" cy="2879725"/>
            <wp:effectExtent l="0" t="0" r="0" b="0"/>
            <wp:docPr id="273" name="2.2.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pPr>
        <w:pStyle w:val="BodyText"/>
        <w:spacing w:lineRule="auto" w:line="240" w:before="120" w:after="240"/>
        <w:ind w:hanging="0"/>
        <w:jc w:val="center"/>
        <w:rPr/>
      </w:pPr>
      <w:r>
        <w:rPr>
          <w:rFonts w:eastAsia="Times New Roman" w:cs="Times New Roman"/>
          <w:b/>
          <w:sz w:val="28"/>
        </w:rPr>
        <w:t>2.2.4-rasm. O‘zbekiston bank tizimida aktivlar va kapital rentabelligi dinamikasi, %</w:t>
      </w:r>
      <w:r>
        <w:rPr>
          <w:rStyle w:val="FootnoteReference"/>
        </w:rPr>
        <w:footnoteReference w:id="153"/>
      </w:r>
    </w:p>
    <w:p>
      <w:pPr>
        <w:pStyle w:val="BodyText"/>
        <w:spacing w:lineRule="auto" w:line="360" w:before="0" w:after="0"/>
        <w:ind w:firstLine="709"/>
        <w:jc w:val="both"/>
        <w:rPr/>
      </w:pPr>
      <w:r>
        <w:rPr>
          <w:rFonts w:eastAsia="Times New Roman" w:cs="Times New Roman"/>
          <w:sz w:val="28"/>
        </w:rPr>
        <w:t>CAMELS tizimida aktivlar rentabelligi 1 foizdan yuqori bo‘lganda daromadlilik eng yuqori reyting bilan baholanadi</w:t>
      </w:r>
      <w:r>
        <w:rPr>
          <w:rStyle w:val="FootnoteReference"/>
        </w:rPr>
        <w:footnoteReference w:id="154"/>
      </w:r>
      <w:r>
        <w:rPr>
          <w:rFonts w:eastAsia="Times New Roman" w:cs="Times New Roman"/>
          <w:sz w:val="28"/>
        </w:rPr>
        <w:t>,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155"/>
      </w:r>
      <w:r>
        <w:rPr>
          <w:rFonts w:eastAsia="Times New Roman" w:cs="Times New Roman"/>
          <w:sz w:val="28"/>
        </w:rP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156"/>
      </w:r>
      <w:r>
        <w:rPr>
          <w:rFonts w:eastAsia="Times New Roman" w:cs="Times New Roman"/>
          <w:sz w:val="28"/>
        </w:rP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Rule="auto" w:line="360" w:before="0" w:after="0"/>
        <w:ind w:firstLine="709"/>
        <w:jc w:val="both"/>
        <w:rPr/>
      </w:pPr>
      <w:r>
        <w:rPr>
          <w:rFonts w:eastAsia="Times New Roman" w:cs="Times New Roman"/>
          <w:sz w:val="28"/>
        </w:rPr>
        <w:t>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val="true"/>
        <w:spacing w:lineRule="auto" w:line="360" w:before="120" w:after="0"/>
        <w:ind w:hanging="0"/>
        <w:jc w:val="right"/>
        <w:rPr/>
      </w:pPr>
      <w:r>
        <w:rPr>
          <w:rFonts w:eastAsia="Times New Roman" w:cs="Times New Roman"/>
          <w:i/>
          <w:sz w:val="28"/>
        </w:rPr>
        <w:t>2.2.2-jadval</w:t>
      </w:r>
    </w:p>
    <w:p>
      <w:pPr>
        <w:pStyle w:val="BodyText"/>
        <w:keepNext w:val="true"/>
        <w:spacing w:lineRule="auto" w:line="240" w:before="0" w:after="120"/>
        <w:ind w:hanging="0"/>
        <w:jc w:val="center"/>
        <w:rPr/>
      </w:pPr>
      <w:r>
        <w:rPr>
          <w:rFonts w:eastAsia="Times New Roman" w:cs="Times New Roman"/>
          <w:b/>
          <w:bCs/>
          <w:sz w:val="28"/>
        </w:rPr>
        <w:t>«O‘zsanoatqurilishbank» ATB va «Mikrokreditbank» ATB ning moliyaviy barqarorlik ko‘rsatkichlari</w:t>
      </w:r>
      <w:r>
        <w:rPr>
          <w:rStyle w:val="FootnoteReference"/>
        </w:rPr>
        <w:footnoteReference w:id="157"/>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1228"/>
        <w:gridCol w:w="1230"/>
        <w:gridCol w:w="1228"/>
        <w:gridCol w:w="1229"/>
        <w:gridCol w:w="1228"/>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i/>
                <w:iCs/>
                <w:kern w:val="0"/>
                <w:sz w:val="22"/>
                <w:szCs w:val="24"/>
                <w:lang w:val="en-US" w:eastAsia="en-US" w:bidi="ar-SA"/>
              </w:rPr>
              <w:t>«O‘zsanoatqurilishbank» ATB</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aktivlar, trln so‘m</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56,5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64,3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74,6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87,6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kapital (CET1) monandligi,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kreditlar ulushi,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164,5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177,3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148,4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222,9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NSFR,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115,0</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104,2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113,1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122,2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342,2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323,0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414,0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315,7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206,5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i/>
                <w:iCs/>
                <w:kern w:val="0"/>
                <w:sz w:val="22"/>
                <w:szCs w:val="24"/>
                <w:lang w:val="en-US" w:eastAsia="en-US" w:bidi="ar-SA"/>
              </w:rPr>
              <w:t>«Mikrokreditbank» ATB</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aktivlar, trln so‘m</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kapital (CET1) monandligi,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kreditlar ulushi,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24,5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0,3</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8,0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0,6</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45,5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165,2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156,4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131,7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169,0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231,9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NSFR,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117,1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114,3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108,3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113,1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113,0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343,0</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246,2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227,0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222,4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208,5</w:t>
            </w:r>
          </w:p>
        </w:tc>
      </w:tr>
    </w:tbl>
    <w:p>
      <w:pPr>
        <w:pStyle w:val="BodyText"/>
        <w:spacing w:lineRule="auto" w:line="360" w:before="0" w:after="0"/>
        <w:ind w:firstLine="709"/>
        <w:jc w:val="both"/>
        <w:rPr/>
      </w:pPr>
      <w:r>
        <w:rPr>
          <w:rFonts w:eastAsia="Times New Roman" w:cs="Times New Roman"/>
          <w:i/>
          <w:iCs/>
          <w:sz w:val="28"/>
        </w:rPr>
        <w:t>Izoh: muammoli kreditlar – qoniqarsiz, shubhali va umidsiz deb tasniflangan kreditlar; ROA va ROE sof foydaning aktivlar va kapitalning o‘rtacha yillik qiymatiga nisbati sifatida hisoblandi.</w:t>
      </w:r>
    </w:p>
    <w:p>
      <w:pPr>
        <w:pStyle w:val="BodyText"/>
        <w:spacing w:lineRule="auto" w:line="360" w:before="0" w:after="0"/>
        <w:ind w:firstLine="709"/>
        <w:jc w:val="both"/>
        <w:rPr/>
      </w:pPr>
      <w:r>
        <w:rPr>
          <w:rFonts w:eastAsia="Times New Roman" w:cs="Times New Roman"/>
          <w:sz w:val="28"/>
        </w:rP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pPr>
        <w:pStyle w:val="BodyText"/>
        <w:keepNext w:val="true"/>
        <w:spacing w:lineRule="auto" w:line="240" w:before="0" w:after="0"/>
        <w:ind w:hanging="0"/>
        <w:jc w:val="center"/>
        <w:rPr/>
      </w:pPr>
      <w:r>
        <w:rPr/>
        <w:drawing>
          <wp:inline distT="0" distB="0" distL="0" distR="0">
            <wp:extent cx="5760085" cy="2879725"/>
            <wp:effectExtent l="0" t="0" r="0" b="0"/>
            <wp:docPr id="274" name="2.2.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pPr>
        <w:pStyle w:val="BodyText"/>
        <w:spacing w:lineRule="auto" w:line="240" w:before="120" w:after="240"/>
        <w:ind w:hanging="0"/>
        <w:jc w:val="center"/>
        <w:rPr/>
      </w:pPr>
      <w:r>
        <w:rPr>
          <w:rFonts w:eastAsia="Times New Roman" w:cs="Times New Roman"/>
          <w:b/>
          <w:sz w:val="28"/>
        </w:rPr>
        <w:t>2.2.5-rasm. «O‘zsanoatqurilishbank» ATB va «Mikrokreditbank» ATB da regulyativ kapital monandligi, %</w:t>
      </w:r>
      <w:r>
        <w:rPr>
          <w:rStyle w:val="FootnoteReference"/>
        </w:rPr>
        <w:footnoteReference w:id="158"/>
      </w:r>
    </w:p>
    <w:p>
      <w:pPr>
        <w:pStyle w:val="BodyText"/>
        <w:spacing w:lineRule="auto" w:line="360" w:before="0" w:after="0"/>
        <w:ind w:firstLine="709"/>
        <w:jc w:val="both"/>
        <w:rPr/>
      </w:pPr>
      <w:r>
        <w:rPr>
          <w:rFonts w:eastAsia="Times New Roman" w:cs="Times New Roman"/>
          <w:sz w:val="28"/>
        </w:rP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159"/>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Aktivlar sifati bo‘yicha ham ikki bank turlicha manzarani namoyon etadi (2.2.6-rasm).</w:t>
      </w:r>
    </w:p>
    <w:p>
      <w:pPr>
        <w:pStyle w:val="BodyText"/>
        <w:keepNext w:val="true"/>
        <w:spacing w:lineRule="auto" w:line="240" w:before="0" w:after="0"/>
        <w:ind w:hanging="0"/>
        <w:jc w:val="center"/>
        <w:rPr/>
      </w:pPr>
      <w:r>
        <w:rPr/>
        <w:drawing>
          <wp:inline distT="0" distB="0" distL="0" distR="0">
            <wp:extent cx="5760085" cy="2879725"/>
            <wp:effectExtent l="0" t="0" r="0" b="0"/>
            <wp:docPr id="275" name="2.2.6-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pPr>
        <w:pStyle w:val="BodyText"/>
        <w:spacing w:lineRule="auto" w:line="240" w:before="120" w:after="240"/>
        <w:ind w:hanging="0"/>
        <w:jc w:val="center"/>
        <w:rPr/>
      </w:pPr>
      <w:r>
        <w:rPr>
          <w:rFonts w:eastAsia="Times New Roman" w:cs="Times New Roman"/>
          <w:b/>
          <w:sz w:val="28"/>
        </w:rPr>
        <w:t>2.2.6-rasm. «O‘zsanoatqurilishbank» ATB va «Mikrokreditbank» ATB da muammoli va substandart kreditlar ulushi, %</w:t>
      </w:r>
      <w:r>
        <w:rPr>
          <w:rStyle w:val="FootnoteReference"/>
        </w:rPr>
        <w:footnoteReference w:id="160"/>
      </w:r>
    </w:p>
    <w:p>
      <w:pPr>
        <w:pStyle w:val="BodyText"/>
        <w:spacing w:lineRule="auto" w:line="360" w:before="0" w:after="0"/>
        <w:ind w:firstLine="709"/>
        <w:jc w:val="both"/>
        <w:rPr/>
      </w:pPr>
      <w:r>
        <w:rPr>
          <w:rFonts w:eastAsia="Times New Roman" w:cs="Times New Roman"/>
          <w:sz w:val="28"/>
        </w:rP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161"/>
      </w:r>
      <w:r>
        <w:rPr>
          <w:rFonts w:eastAsia="Times New Roman" w:cs="Times New Roman"/>
          <w:sz w:val="28"/>
        </w:rP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pPr>
        <w:pStyle w:val="BodyText"/>
        <w:keepNext w:val="true"/>
        <w:spacing w:lineRule="auto" w:line="240" w:before="0" w:after="0"/>
        <w:ind w:hanging="0"/>
        <w:jc w:val="center"/>
        <w:rPr/>
      </w:pPr>
      <w:r>
        <w:rPr/>
        <w:drawing>
          <wp:inline distT="0" distB="0" distL="0" distR="0">
            <wp:extent cx="5760085" cy="2879725"/>
            <wp:effectExtent l="0" t="0" r="0" b="0"/>
            <wp:docPr id="276" name="2.2.7-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pPr>
        <w:pStyle w:val="BodyText"/>
        <w:spacing w:lineRule="auto" w:line="240" w:before="120" w:after="240"/>
        <w:ind w:hanging="0"/>
        <w:jc w:val="center"/>
        <w:rPr/>
      </w:pPr>
      <w:r>
        <w:rPr>
          <w:rFonts w:eastAsia="Times New Roman" w:cs="Times New Roman"/>
          <w:b/>
          <w:sz w:val="28"/>
        </w:rPr>
        <w:t>2.2.7-rasm. «O‘zsanoatqurilishbank» ATB va «Mikrokreditbank» ATB da MHXS 9 bo‘yicha 3-bosqich kreditlari va rasmiy muammoli kreditlar ulushi, %</w:t>
      </w:r>
      <w:r>
        <w:rPr>
          <w:rStyle w:val="FootnoteReference"/>
        </w:rPr>
        <w:footnoteReference w:id="162"/>
      </w:r>
    </w:p>
    <w:p>
      <w:pPr>
        <w:pStyle w:val="BodyText"/>
        <w:spacing w:lineRule="auto" w:line="360" w:before="0" w:after="0"/>
        <w:ind w:firstLine="709"/>
        <w:jc w:val="both"/>
        <w:rPr/>
      </w:pPr>
      <w:r>
        <w:rPr>
          <w:rFonts w:eastAsia="Times New Roman" w:cs="Times New Roman"/>
          <w:sz w:val="28"/>
        </w:rPr>
        <w:t>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163"/>
      </w:r>
      <w:r>
        <w:rPr>
          <w:rStyle w:val="FootnoteReference"/>
        </w:rPr>
        <w:footnoteReference w:id="164"/>
      </w:r>
      <w:r>
        <w:rPr>
          <w:rFonts w:eastAsia="Times New Roman" w:cs="Times New Roman"/>
          <w:sz w:val="28"/>
        </w:rPr>
        <w:t>. Bundan ham muhimi, bankda 2-bosqich, ya’ni kredit riski sezilarli oshgan kreditlar ulushi 2023-yildagi 15,8 foizdan 2024-yilda 27,1 foizga, 2025-yilda esa 35,7 foizga ko‘tarilgan</w:t>
      </w:r>
      <w:r>
        <w:rPr>
          <w:rStyle w:val="FootnoteReference"/>
        </w:rPr>
        <w:footnoteReference w:id="165"/>
      </w:r>
      <w:r>
        <w:rPr>
          <w:rFonts w:eastAsia="Times New Roman" w:cs="Times New Roman"/>
          <w:sz w:val="28"/>
        </w:rP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166"/>
      </w:r>
      <w:r>
        <w:rPr>
          <w:rFonts w:eastAsia="Times New Roman" w:cs="Times New Roman"/>
          <w:sz w:val="28"/>
        </w:rPr>
        <w:t>. Taqqoslash uchun, 2020-yil oxirida bu bankda 3-bosqich kreditlari ulushi atigi 2,4 foizni, 2-bosqich kreditlari ulushi esa 5,1 foizni tashkil etgan, «O‘zsanoatqurilishbank» ATB da esa mos ravishda 6,6 va 29,3 foiz bo‘lgan</w:t>
      </w:r>
      <w:r>
        <w:rPr>
          <w:rStyle w:val="FootnoteReference"/>
        </w:rPr>
        <w:footnoteReference w:id="167"/>
      </w:r>
      <w:r>
        <w:rPr>
          <w:rFonts w:eastAsia="Times New Roman" w:cs="Times New Roman"/>
          <w:sz w:val="28"/>
        </w:rPr>
        <w:t>.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Rule="auto" w:line="360" w:before="0" w:after="0"/>
        <w:ind w:firstLine="709"/>
        <w:jc w:val="both"/>
        <w:rPr/>
      </w:pPr>
      <w:r>
        <w:rPr>
          <w:rFonts w:eastAsia="Times New Roman" w:cs="Times New Roman"/>
          <w:sz w:val="28"/>
        </w:rPr>
        <w:t>Aktivlar sifatidagi bu muammolar «Mikrokreditbank» ATB ning daromadliligiga keskin ta’sir ko‘rsatdi (2.2.8-rasm).</w:t>
      </w:r>
    </w:p>
    <w:p>
      <w:pPr>
        <w:pStyle w:val="BodyText"/>
        <w:keepNext w:val="true"/>
        <w:spacing w:lineRule="auto" w:line="240" w:before="0" w:after="0"/>
        <w:ind w:hanging="0"/>
        <w:jc w:val="center"/>
        <w:rPr/>
      </w:pPr>
      <w:r>
        <w:rPr/>
        <w:drawing>
          <wp:inline distT="0" distB="0" distL="0" distR="0">
            <wp:extent cx="5760085" cy="2879725"/>
            <wp:effectExtent l="0" t="0" r="0" b="0"/>
            <wp:docPr id="277" name="2.2.8-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pPr>
        <w:pStyle w:val="BodyText"/>
        <w:spacing w:lineRule="auto" w:line="240" w:before="120" w:after="240"/>
        <w:ind w:hanging="0"/>
        <w:jc w:val="center"/>
        <w:rPr/>
      </w:pPr>
      <w:r>
        <w:rPr>
          <w:rFonts w:eastAsia="Times New Roman" w:cs="Times New Roman"/>
          <w:b/>
          <w:sz w:val="28"/>
        </w:rPr>
        <w:t>2.2.8-rasm. «O‘zsanoatqurilishbank» ATB va «Mikrokreditbank» ATB da kapital rentabelligi (ROE), %</w:t>
      </w:r>
      <w:r>
        <w:rPr>
          <w:rStyle w:val="FootnoteReference"/>
        </w:rPr>
        <w:footnoteReference w:id="168"/>
      </w:r>
    </w:p>
    <w:p>
      <w:pPr>
        <w:pStyle w:val="BodyText"/>
        <w:spacing w:lineRule="auto" w:line="360" w:before="0" w:after="0"/>
        <w:ind w:firstLine="709"/>
        <w:jc w:val="both"/>
        <w:rPr/>
      </w:pPr>
      <w:r>
        <w:rPr>
          <w:rFonts w:eastAsia="Times New Roman" w:cs="Times New Roman"/>
          <w:sz w:val="28"/>
        </w:rPr>
        <w:t>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169"/>
      </w:r>
      <w:r>
        <w:rPr>
          <w:rFonts w:eastAsia="Times New Roman" w:cs="Times New Roman"/>
          <w:sz w:val="28"/>
        </w:rPr>
        <w:t>. Boshqacha aytganda, ilgari kamsitib ko‘rsatilgan kredit riski 2024-yilda bir yo‘la tan olingan va kapitalni yemirgan, keyin esa yana davlat kapitali hisobiga to‘ldirilgan.</w:t>
      </w:r>
    </w:p>
    <w:p>
      <w:pPr>
        <w:pStyle w:val="BodyText"/>
        <w:spacing w:lineRule="auto" w:line="360" w:before="0" w:after="0"/>
        <w:ind w:firstLine="709"/>
        <w:jc w:val="both"/>
        <w:rPr/>
      </w:pPr>
      <w:r>
        <w:rPr>
          <w:rFonts w:eastAsia="Times New Roman" w:cs="Times New Roman"/>
          <w:sz w:val="28"/>
        </w:rP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170"/>
      </w:r>
      <w:r>
        <w:rPr>
          <w:rFonts w:eastAsia="Times New Roman" w:cs="Times New Roman"/>
          <w:sz w:val="28"/>
        </w:rPr>
        <w:t>. Bunday tuzilma tashqi moliyalashtirish sharoiti yomonlashganda likvidlik va valyuta riskini oshiradi.</w:t>
      </w:r>
    </w:p>
    <w:p>
      <w:pPr>
        <w:pStyle w:val="BodyText"/>
        <w:spacing w:lineRule="auto" w:line="360" w:before="0" w:after="0"/>
        <w:ind w:firstLine="709"/>
        <w:jc w:val="both"/>
        <w:rPr/>
      </w:pPr>
      <w:r>
        <w:rPr>
          <w:rFonts w:eastAsia="Times New Roman" w:cs="Times New Roman"/>
          <w:sz w:val="28"/>
        </w:rPr>
        <w:t>Tahlil natijalarini umumlashtirish uchun bank tizimi va ikki bankning so‘nggi ko‘rsatkichlari xalqaro mezonlar bilan solishtirildi (2.2.3-jadval).</w:t>
      </w:r>
    </w:p>
    <w:p>
      <w:pPr>
        <w:pStyle w:val="BodyText"/>
        <w:keepNext w:val="true"/>
        <w:spacing w:lineRule="auto" w:line="360" w:before="120" w:after="0"/>
        <w:ind w:hanging="0"/>
        <w:jc w:val="right"/>
        <w:rPr/>
      </w:pPr>
      <w:r>
        <w:rPr>
          <w:rFonts w:eastAsia="Times New Roman" w:cs="Times New Roman"/>
          <w:i/>
          <w:sz w:val="28"/>
        </w:rPr>
        <w:t>2.2.3-jadval</w:t>
      </w:r>
    </w:p>
    <w:p>
      <w:pPr>
        <w:pStyle w:val="BodyText"/>
        <w:keepNext w:val="true"/>
        <w:spacing w:lineRule="auto" w:line="240" w:before="0" w:after="120"/>
        <w:ind w:hanging="0"/>
        <w:jc w:val="center"/>
        <w:rPr/>
      </w:pPr>
      <w:r>
        <w:rPr>
          <w:rFonts w:eastAsia="Times New Roman" w:cs="Times New Roman"/>
          <w:b/>
          <w:bCs/>
          <w:sz w:val="28"/>
        </w:rPr>
        <w:t>Bank tizimi va tanlangan banklarning moliyaviy barqarorlik ko‘rsatkichlari: xalqaro mezonlar bo‘yicha baho, 2025-yil</w:t>
      </w:r>
      <w:r>
        <w:rPr>
          <w:rStyle w:val="FootnoteReference"/>
        </w:rPr>
        <w:footnoteReference w:id="17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127"/>
        <w:gridCol w:w="1512"/>
        <w:gridCol w:w="1512"/>
        <w:gridCol w:w="1512"/>
        <w:gridCol w:w="1513"/>
        <w:gridCol w:w="1512"/>
      </w:tblGrid>
      <w:tr>
        <w:trPr>
          <w:tblHeader w:val="true"/>
          <w:cantSplit w:val="true"/>
        </w:trPr>
        <w:tc>
          <w:tcPr>
            <w:tcW w:w="212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51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Bank tizimi</w:t>
            </w:r>
          </w:p>
        </w:tc>
        <w:tc>
          <w:tcPr>
            <w:tcW w:w="151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«O‘zsanoatqurilishbank»</w:t>
            </w:r>
          </w:p>
        </w:tc>
        <w:tc>
          <w:tcPr>
            <w:tcW w:w="151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«Mikrokreditbank»</w:t>
            </w:r>
          </w:p>
        </w:tc>
        <w:tc>
          <w:tcPr>
            <w:tcW w:w="151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Xalqaro mezon</w:t>
            </w:r>
          </w:p>
        </w:tc>
        <w:tc>
          <w:tcPr>
            <w:tcW w:w="151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Baho</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18,3</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18,5</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10,5 (Bazel III, bufer bilan)</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ammo davlat kapitaliga bog‘liq</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kapital monandligi,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14,7</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16,4</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7 (Bazel III, bufer bilan)</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Yetarli, SQB da zaxira kichik</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&lt; 5 (erta ogohlantirish)</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Rasmiy jihatdan qoniqarli</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9 bo‘yicha 3-bosqich,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7,8 (2023)</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12,3</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&lt; 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Zaif</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va muammoli kreditlar,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20,9</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13,4</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&lt; 10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Zaif</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0,6</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&gt; 1 (CAMELS 1-reyting)</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Tizim va SQB yuqori, MK past</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LCR,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207,5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222,9</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231,9</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 (Bazel III)</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NSFR,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119,9</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122,2</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113,0</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 (Bazel III)</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Yetarli</w:t>
            </w:r>
          </w:p>
        </w:tc>
      </w:tr>
      <w:tr>
        <w:trPr>
          <w:cantSplit w:val="true"/>
        </w:trPr>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158</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206,5</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208,5</w:t>
            </w:r>
          </w:p>
        </w:tc>
        <w:tc>
          <w:tcPr>
            <w:tcW w:w="151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151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risk</w:t>
            </w:r>
          </w:p>
        </w:tc>
      </w:tr>
    </w:tbl>
    <w:p>
      <w:pPr>
        <w:pStyle w:val="BodyText"/>
        <w:spacing w:lineRule="auto" w:line="360" w:before="0" w:after="0"/>
        <w:ind w:firstLine="709"/>
        <w:jc w:val="both"/>
        <w:rPr/>
      </w:pPr>
      <w:r>
        <w:rPr>
          <w:rFonts w:eastAsia="Times New Roman" w:cs="Times New Roman"/>
          <w:sz w:val="28"/>
        </w:rP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Rule="auto" w:line="360" w:before="0" w:after="0"/>
        <w:ind w:firstLine="709"/>
        <w:jc w:val="both"/>
        <w:rPr/>
      </w:pPr>
      <w:bookmarkStart w:id="28" w:name="X637944ed30af1a5c7e12bfca1a7866b67ed51e5"/>
      <w:r>
        <w:rPr>
          <w:rFonts w:eastAsia="Times New Roman" w:cs="Times New Roman"/>
          <w:sz w:val="28"/>
        </w:rPr>
        <w:t>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bookmarkEnd w:id="28"/>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29" w:name="__RefHeading___Toc38200_2843893380"/>
      <w:bookmarkStart w:id="30" w:name="Xbcd6da71180214302fa2c75f57626c82e5c9a7c"/>
      <w:bookmarkEnd w:id="29"/>
      <w:r>
        <w:rPr>
          <w:rFonts w:eastAsia="Times New Roman" w:cs="Times New Roman" w:ascii="Times New Roman" w:hAnsi="Times New Roman"/>
          <w:b/>
          <w:i w:val="false"/>
          <w:sz w:val="28"/>
        </w:rPr>
        <w:t>2.3-§. Tijorat banklari moliyaviy ko‘rsatkichlarining milliy va MHXS hisobotlari bo‘yicha qiyosiy tahlili</w:t>
      </w:r>
    </w:p>
    <w:p>
      <w:pPr>
        <w:pStyle w:val="FirstParagraph"/>
        <w:spacing w:lineRule="auto" w:line="360" w:before="0" w:after="0"/>
        <w:ind w:firstLine="709"/>
        <w:jc w:val="both"/>
        <w:rPr/>
      </w:pPr>
      <w:r>
        <w:rPr>
          <w:rFonts w:eastAsia="Times New Roman" w:cs="Times New Roman"/>
          <w:sz w:val="28"/>
        </w:rP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172"/>
      </w:r>
      <w:r>
        <w:rPr>
          <w:rStyle w:val="FootnoteReference"/>
        </w:rPr>
        <w:footnoteReference w:customMarkFollows="1" w:id="173"/>
      </w:r>
      <w:r>
        <w:rPr>
          <w:rStyle w:val="FootnoteReference"/>
        </w:rPr>
        <w:footnoteReference w:customMarkFollows="1" w:id="174"/>
      </w:r>
      <w:r>
        <w:rPr>
          <w:rStyle w:val="FootnoteReference"/>
        </w:rPr>
        <w:footnoteReference w:customMarkFollows="1" w:id="175"/>
      </w:r>
      <w:r>
        <w:rPr>
          <w:rStyle w:val="FootnoteReference"/>
        </w:rPr>
        <w:footnoteReference w:customMarkFollows="1" w:id="176"/>
      </w:r>
      <w:r>
        <w:rPr>
          <w:rStyle w:val="FootnoteReference"/>
        </w:rPr>
        <w:footnoteReference w:customMarkFollows="1" w:id="177"/>
      </w:r>
      <w:r>
        <w:rPr>
          <w:rStyle w:val="FootnoteReference"/>
        </w:rPr>
        <w:footnoteReference w:customMarkFollows="1" w:id="178"/>
      </w:r>
      <w:r>
        <w:rPr>
          <w:rStyle w:val="FootnoteReference"/>
        </w:rPr>
        <w:footnoteReference w:customMarkFollows="1" w:id="179"/>
      </w:r>
      <w:r>
        <w:rPr>
          <w:rStyle w:val="FootnoteReference"/>
        </w:rPr>
        <w:footnoteReference w:customMarkFollows="1" w:id="180"/>
      </w:r>
      <w:r>
        <w:rPr>
          <w:rStyle w:val="FootnoteReference"/>
        </w:rPr>
        <w:footnoteReference w:customMarkFollows="1" w:id="181"/>
      </w:r>
      <w:r>
        <w:rPr>
          <w:rStyle w:val="FootnoteReference"/>
        </w:rPr>
        <w:footnoteReference w:customMarkFollows="1" w:id="182"/>
      </w:r>
      <w:r>
        <w:rPr>
          <w:rStyle w:val="FootnoteReference"/>
        </w:rPr>
        <w:footnoteReference w:customMarkFollows="1" w:id="183"/>
      </w:r>
      <w:r>
        <w:rPr>
          <w:rStyle w:val="FootnoteReference"/>
        </w:rPr>
        <w:footnoteReference w:customMarkFollows="1" w:id="184"/>
      </w:r>
      <w:r>
        <w:rPr>
          <w:rStyle w:val="FootnoteReference"/>
        </w:rPr>
        <w:footnoteReference w:customMarkFollows="1" w:id="185"/>
      </w:r>
      <w:r>
        <w:rPr>
          <w:rStyle w:val="FootnoteReference"/>
        </w:rPr>
        <w:footnoteReference w:customMarkFollows="1" w:id="186"/>
      </w:r>
      <w:r>
        <w:rPr>
          <w:rStyle w:val="FootnoteReference"/>
        </w:rPr>
        <w:footnoteReference w:customMarkFollows="1" w:id="187"/>
      </w:r>
      <w:r>
        <w:rPr>
          <w:rStyle w:val="FootnoteReference"/>
        </w:rPr>
        <w:footnoteReference w:customMarkFollows="1" w:id="188"/>
      </w:r>
      <w:r>
        <w:rPr>
          <w:rStyle w:val="FootnoteReference"/>
        </w:rPr>
        <w:footnoteReference w:customMarkFollows="1" w:id="189"/>
      </w:r>
      <w:r>
        <w:rPr>
          <w:rStyle w:val="FootnoteReference"/>
        </w:rPr>
        <w:footnoteReference w:customMarkFollows="1" w:id="190"/>
      </w:r>
      <w:r>
        <w:rPr>
          <w:rStyle w:val="FootnoteReference"/>
        </w:rPr>
        <w:footnoteReference w:customMarkFollows="1" w:id="191"/>
      </w:r>
      <w:r>
        <w:rPr>
          <w:rStyle w:val="FootnoteReference"/>
        </w:rPr>
        <w:footnoteReference w:customMarkFollows="1" w:id="192"/>
      </w:r>
      <w:r>
        <w:rPr>
          <w:rStyle w:val="FootnoteReference"/>
        </w:rPr>
        <w:footnoteReference w:customMarkFollows="1" w:id="193"/>
      </w:r>
      <w:r>
        <w:rPr>
          <w:rStyle w:val="FootnoteReference"/>
        </w:rPr>
        <w:footnoteReference w:customMarkFollows="1" w:id="194"/>
      </w:r>
      <w:r>
        <w:rPr>
          <w:rStyle w:val="FootnoteReference"/>
        </w:rPr>
        <w:footnoteReference w:customMarkFollows="1" w:id="195"/>
      </w:r>
      <w:r>
        <w:rPr>
          <w:rStyle w:val="FootnoteReference"/>
        </w:rPr>
        <w:footnoteReference w:customMarkFollows="1" w:id="196"/>
      </w:r>
      <w:r>
        <w:rPr>
          <w:rStyle w:val="FootnoteReference"/>
        </w:rPr>
        <w:footnoteReference w:customMarkFollows="1" w:id="197"/>
      </w:r>
      <w:r>
        <w:rPr>
          <w:rStyle w:val="FootnoteReference"/>
        </w:rPr>
        <w:footnoteReference w:customMarkFollows="1" w:id="198"/>
      </w:r>
      <w:r>
        <w:rPr>
          <w:rStyle w:val="FootnoteReference"/>
        </w:rPr>
        <w:footnoteReference w:customMarkFollows="1" w:id="199"/>
      </w:r>
      <w:r>
        <w:rPr>
          <w:rStyle w:val="FootnoteReference"/>
        </w:rPr>
        <w:footnoteReference w:customMarkFollows="1" w:id="200"/>
      </w:r>
      <w:r>
        <w:rPr>
          <w:rStyle w:val="FootnoteReference"/>
        </w:rPr>
        <w:footnoteReference w:customMarkFollows="1" w:id="201"/>
      </w:r>
      <w:r>
        <w:rPr>
          <w:rStyle w:val="FootnoteReference"/>
        </w:rPr>
        <w:footnoteReference w:customMarkFollows="1" w:id="202"/>
      </w:r>
      <w:r>
        <w:rPr>
          <w:rStyle w:val="FootnoteReference"/>
        </w:rPr>
        <w:footnoteReference w:customMarkFollows="1" w:id="203"/>
      </w:r>
      <w:r>
        <w:rPr>
          <w:rStyle w:val="FootnoteReference"/>
        </w:rPr>
        <w:footnoteReference w:customMarkFollows="1" w:id="204"/>
      </w:r>
      <w:r>
        <w:rPr>
          <w:rStyle w:val="FootnoteReference"/>
        </w:rPr>
        <w:footnoteReference w:customMarkFollows="1" w:id="205"/>
      </w:r>
      <w:r>
        <w:rPr>
          <w:rStyle w:val="FootnoteReference"/>
        </w:rPr>
        <w:footnoteReference w:customMarkFollows="1" w:id="206"/>
      </w:r>
      <w:r>
        <w:rPr>
          <w:rStyle w:val="FootnoteReference"/>
        </w:rPr>
        <w:footnoteReference w:customMarkFollows="1" w:id="207"/>
      </w:r>
      <w:r>
        <w:rPr>
          <w:rStyle w:val="FootnoteReference"/>
        </w:rPr>
        <w:footnoteReference w:customMarkFollows="1" w:id="208"/>
      </w:r>
      <w:r>
        <w:rPr>
          <w:rStyle w:val="FootnoteReference"/>
        </w:rPr>
        <w:footnoteReference w:customMarkFollows="1" w:id="209"/>
      </w:r>
      <w:r>
        <w:rPr>
          <w:rFonts w:eastAsia="Times New Roman" w:cs="Times New Roman"/>
          <w:sz w:val="28"/>
        </w:rPr>
        <w:t>,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210"/>
      </w:r>
      <w:r>
        <w:rPr>
          <w:rFonts w:eastAsia="Times New Roman" w:cs="Times New Roman"/>
          <w:sz w:val="28"/>
        </w:rP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Rule="auto" w:line="360" w:before="0" w:after="0"/>
        <w:ind w:firstLine="709"/>
        <w:jc w:val="both"/>
        <w:rPr/>
      </w:pPr>
      <w:r>
        <w:rPr>
          <w:rFonts w:eastAsia="Times New Roman" w:cs="Times New Roman"/>
          <w:sz w:val="28"/>
        </w:rP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211"/>
      </w:r>
      <w:r>
        <w:rPr>
          <w:rFonts w:eastAsia="Times New Roman" w:cs="Times New Roman"/>
          <w:sz w:val="28"/>
        </w:rPr>
        <w:t>. Bundan oldin qo‘mita banklarga kutilgan kredit zararlarini baholashda buxgalteriya talablari va kredit riskini boshqarish amaliyotini o‘zaro uyg‘unlashtirish bo‘yicha alohida yo‘riqnoma bergan edi</w:t>
      </w:r>
      <w:r>
        <w:rPr>
          <w:rStyle w:val="FootnoteReference"/>
        </w:rPr>
        <w:footnoteReference w:id="212"/>
      </w:r>
      <w:r>
        <w:rPr>
          <w:rFonts w:eastAsia="Times New Roman" w:cs="Times New Roman"/>
          <w:sz w:val="28"/>
        </w:rP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213"/>
      </w:r>
      <w:r>
        <w:rPr>
          <w:rFonts w:eastAsia="Times New Roman" w:cs="Times New Roman"/>
          <w:sz w:val="28"/>
        </w:rP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214"/>
      </w:r>
      <w:r>
        <w:rPr>
          <w:rFonts w:eastAsia="Times New Roman" w:cs="Times New Roman"/>
          <w:sz w:val="28"/>
        </w:rPr>
        <w:t>. J. Abad va J. Suarez kutilgan kredit zararlari modeli zaxiralarni iqtisodiy pasayish boshlanishida keskin oshirib, kapitalga bosimni avvalgi modelga nisbatan ertaroq yuzaga keltirishini isbotlagan</w:t>
      </w:r>
      <w:r>
        <w:rPr>
          <w:rStyle w:val="FootnoteReference"/>
        </w:rPr>
        <w:footnoteReference w:id="215"/>
      </w:r>
      <w:r>
        <w:rPr>
          <w:rFonts w:eastAsia="Times New Roman" w:cs="Times New Roman"/>
          <w:sz w:val="28"/>
        </w:rPr>
        <w:t>. Rossiya iqtisodchisi N.E. Sokolinskaya bank moliyaviy holatini MHXS asosida tahlil qilish milliy hisobotga nisbatan aktivlar sifati va kapitalning haqiqiy darajasini aniqroq ko‘rsatishini ta’kidlagan</w:t>
      </w:r>
      <w:r>
        <w:rPr>
          <w:rStyle w:val="FootnoteReference"/>
        </w:rPr>
        <w:footnoteReference w:id="216"/>
      </w:r>
      <w:r>
        <w:rPr>
          <w:rFonts w:eastAsia="Times New Roman" w:cs="Times New Roman"/>
          <w:sz w:val="28"/>
        </w:rPr>
        <w:t>. Bu tadqiqotlar bitta umumiy xulosaga olib keladi: hisobot standarti moliyaviy barqarorlik ko‘rsatkichlarining shunchaki texnik sharti emas, balki baholash natijasini o‘zgartira oladigan mustaqil omildir.</w:t>
      </w:r>
    </w:p>
    <w:p>
      <w:pPr>
        <w:pStyle w:val="BodyText"/>
        <w:spacing w:lineRule="auto" w:line="360" w:before="0" w:after="0"/>
        <w:ind w:firstLine="709"/>
        <w:jc w:val="both"/>
        <w:rPr/>
      </w:pPr>
      <w:r>
        <w:rPr>
          <w:rFonts w:eastAsia="Times New Roman" w:cs="Times New Roman"/>
          <w:sz w:val="28"/>
        </w:rPr>
        <w:t>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val="true"/>
        <w:spacing w:lineRule="auto" w:line="360" w:before="120" w:after="0"/>
        <w:ind w:hanging="0"/>
        <w:jc w:val="right"/>
        <w:rPr/>
      </w:pPr>
      <w:r>
        <w:rPr>
          <w:rFonts w:eastAsia="Times New Roman" w:cs="Times New Roman"/>
          <w:i/>
          <w:sz w:val="28"/>
        </w:rPr>
        <w:t>2.3.1-jadval</w:t>
      </w:r>
    </w:p>
    <w:p>
      <w:pPr>
        <w:pStyle w:val="BodyText"/>
        <w:keepNext w:val="true"/>
        <w:spacing w:lineRule="auto" w:line="240" w:before="0" w:after="120"/>
        <w:ind w:hanging="0"/>
        <w:jc w:val="center"/>
        <w:rPr/>
      </w:pPr>
      <w:r>
        <w:rPr>
          <w:rFonts w:eastAsia="Times New Roman" w:cs="Times New Roman"/>
          <w:b/>
          <w:bCs/>
          <w:sz w:val="28"/>
        </w:rPr>
        <w:t>Milliy prudensial hisobot va MHXS bo‘yicha hisobot o‘rtasidagi asosiy farqlar</w:t>
      </w:r>
      <w:r>
        <w:rPr>
          <w:rStyle w:val="FootnoteReference"/>
        </w:rPr>
        <w:footnoteReference w:id="217"/>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772"/>
        <w:gridCol w:w="2599"/>
        <w:gridCol w:w="2718"/>
        <w:gridCol w:w="2599"/>
      </w:tblGrid>
      <w:tr>
        <w:trPr>
          <w:tblHeader w:val="true"/>
          <w:cantSplit w:val="true"/>
        </w:trPr>
        <w:tc>
          <w:tcPr>
            <w:tcW w:w="177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Belgi</w:t>
            </w:r>
          </w:p>
        </w:tc>
        <w:tc>
          <w:tcPr>
            <w:tcW w:w="259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Milliy prudensial hisobot</w:t>
            </w:r>
          </w:p>
        </w:tc>
        <w:tc>
          <w:tcPr>
            <w:tcW w:w="27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MHXS bo‘yicha hisobot</w:t>
            </w:r>
          </w:p>
        </w:tc>
        <w:tc>
          <w:tcPr>
            <w:tcW w:w="259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Ko‘rsatkichlarga ta’siri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Hisobot doirasi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Alohida bank</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 guruhi (sho‘ba korxonalar bilan birga)</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kapital va foyda tarkibi o‘zgaradi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Kreditlarni tasniflash asosi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Besh toifa: standart, substandart, qoniqarsiz, shubhali, umidsiz; asosiy mezon – muddati o‘tgan kunlar</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Uch bosqich: 1-bosqich, kredit riski sezilarli oshgan 2-bosqich, kredit qadrsizlangan 3-bosqich; restrukturizatsiya, defolt tarixi va kelajakka yo‘naltirilgan ma’lumotlar ham hisobga olinadi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MHXS bo‘yicha yuqori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Zaxira shakllantirish</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Toifa bo‘yicha qat’iy stavkalar: 1, 10, 25, 50 va 100 foiz</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Kutilgan kredit zararlari: defolt ehtimoli, defolt holatidagi yo‘qotish va riskdagi summa asosida</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Zaxiralar va zararlar MHXS bo‘yicha ko‘proq va ertaroq tan olinadi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Bozor stavkasidan past stavkadagi kreditlar va resurslar</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Nominal qiymatda aks ettiriladi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Haqqoniy qiymatda tan olinadi, farq dastlabki tan olishdagi foyda yoki zarar sifatida ko‘rsatiladi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dasturlari bo‘yicha imtiyozli operatsiyalar foydaga ta’sir qiladi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buxgalteriya hisobi asosida hisoblanadi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Hisoblanmaydi, faqat oshkor qilinadi</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bo‘yicha kapital farqi kapital monandligida aks etmaydi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Hisobot muddati va oshkoralik</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Har oylik, choraklik; asosiy shakllar e’lon qilinadi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Yillik, auditorlik xulosasi bilan; bosqichlar, garov va risklar bo‘yicha batafsil izohlar</w:t>
            </w:r>
          </w:p>
        </w:tc>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chuqurroq, ammo kechroq ma’lumot beradi</w:t>
            </w:r>
          </w:p>
        </w:tc>
      </w:tr>
    </w:tbl>
    <w:p>
      <w:pPr>
        <w:pStyle w:val="BodyText"/>
        <w:spacing w:lineRule="auto" w:line="360" w:before="0" w:after="0"/>
        <w:ind w:firstLine="709"/>
        <w:jc w:val="both"/>
        <w:rPr/>
      </w:pPr>
      <w:r>
        <w:rPr>
          <w:rFonts w:eastAsia="Times New Roman" w:cs="Times New Roman"/>
          <w:sz w:val="28"/>
        </w:rPr>
        <w:t>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218"/>
      </w:r>
      <w:r>
        <w:rPr>
          <w:rFonts w:eastAsia="Times New Roman" w:cs="Times New Roman"/>
          <w:sz w:val="28"/>
        </w:rP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219"/>
      </w:r>
      <w:r>
        <w:rPr>
          <w:rFonts w:eastAsia="Times New Roman" w:cs="Times New Roman"/>
          <w:sz w:val="28"/>
        </w:rPr>
        <w:t>. MHXS 9 da esa zaxira har bir kredit yoki kreditlar guruhi bo‘yicha defolt ehtimoli, garov qiymati va kutilayotgan undirish summasini hisobga olgan holda aniqlanadi</w:t>
      </w:r>
      <w:r>
        <w:rPr>
          <w:rStyle w:val="FootnoteReference"/>
        </w:rPr>
        <w:footnoteReference w:id="220"/>
      </w:r>
      <w:r>
        <w:rPr>
          <w:rFonts w:eastAsia="Times New Roman" w:cs="Times New Roman"/>
          <w:sz w:val="28"/>
        </w:rPr>
        <w:t>. Shu bilan birga, ikki tizimdagi farq zaxiradan boshlanib, ketma-ket bir necha ko‘rsatkichga o‘tadi: tasniflash farqi zaxiraga, zaxira foydaga, foyda kapitalga, kapital esa kapital monandligi va sof barqaror moliyalashtirish me’yoriga ta’sir qiladi (2.3.1-rasm).</w:t>
      </w:r>
    </w:p>
    <w:p>
      <w:pPr>
        <w:pStyle w:val="BodyText"/>
        <w:keepNext w:val="true"/>
        <w:spacing w:lineRule="auto" w:line="240" w:before="0" w:after="0"/>
        <w:ind w:hanging="0"/>
        <w:jc w:val="center"/>
        <w:rPr/>
      </w:pPr>
      <w:r>
        <w:rPr/>
        <mc:AlternateContent>
          <mc:Choice Requires="wpg">
            <w:drawing>
              <wp:inline distT="0" distB="0" distL="0" distR="0">
                <wp:extent cx="6012180" cy="2160270"/>
                <wp:effectExtent l="0" t="0" r="0" b="0"/>
                <wp:docPr id="278" name="2.3.1-rasm"/>
                <a:graphic xmlns:a="http://schemas.openxmlformats.org/drawingml/2006/main">
                  <a:graphicData uri="http://schemas.microsoft.com/office/word/2010/wordprocessingGroup">
                    <wpg:wgp>
                      <wpg:cNvGrpSpPr/>
                      <wpg:grpSpPr>
                        <a:xfrm>
                          <a:off x="0" y="0"/>
                          <a:ext cx="6012360" cy="2160360"/>
                          <a:chOff x="0" y="0"/>
                          <a:chExt cx="6012360" cy="2160360"/>
                        </a:xfrm>
                      </wpg:grpSpPr>
                      <wps:wsp>
                        <wps:cNvPr id="279" name="Shape 2"/>
                        <wps:cNvSpPr/>
                        <wps:spPr>
                          <a:xfrm>
                            <a:off x="0" y="0"/>
                            <a:ext cx="1019880" cy="57780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Kreditlarni</w:t>
                              </w:r>
                            </w:p>
                            <w:p>
                              <w:pPr>
                                <w:pStyle w:val="Normal"/>
                                <w:spacing w:lineRule="auto" w:line="228" w:before="0" w:after="0"/>
                                <w:ind w:hanging="0"/>
                                <w:jc w:val="center"/>
                                <w:rPr/>
                              </w:pPr>
                              <w:r>
                                <w:rPr>
                                  <w:rFonts w:cs="Times New Roman"/>
                                  <w:b/>
                                  <w:color w:val="FFFFFF"/>
                                  <w:sz w:val="22"/>
                                  <w:szCs w:val="22"/>
                                </w:rPr>
                                <w:t>tasniflash</w:t>
                              </w:r>
                            </w:p>
                            <w:p>
                              <w:pPr>
                                <w:pStyle w:val="FrameContents"/>
                                <w:spacing w:before="0" w:after="200"/>
                                <w:rPr/>
                              </w:pPr>
                              <w:r>
                                <w:rPr/>
                              </w:r>
                            </w:p>
                          </w:txbxContent>
                        </wps:txbx>
                        <wps:bodyPr lIns="36360" rIns="36360" tIns="17640" bIns="17640" anchor="ctr">
                          <a:noAutofit/>
                        </wps:bodyPr>
                      </wps:wsp>
                      <wps:wsp>
                        <wps:cNvPr id="280" name="Shape 3"/>
                        <wps:cNvSpPr/>
                        <wps:spPr>
                          <a:xfrm>
                            <a:off x="0" y="694800"/>
                            <a:ext cx="101988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Toifa (milliy) /</w:t>
                              </w:r>
                            </w:p>
                            <w:p>
                              <w:pPr>
                                <w:pStyle w:val="Normal"/>
                                <w:spacing w:lineRule="auto" w:line="228" w:before="0" w:after="0"/>
                                <w:ind w:hanging="0"/>
                                <w:jc w:val="center"/>
                                <w:rPr/>
                              </w:pPr>
                              <w:r>
                                <w:rPr>
                                  <w:rFonts w:cs="Times New Roman"/>
                                  <w:color w:val="000000"/>
                                  <w:sz w:val="20"/>
                                  <w:szCs w:val="20"/>
                                </w:rPr>
                                <w:t>bosqich (MHXS 9)</w:t>
                              </w:r>
                            </w:p>
                            <w:p>
                              <w:pPr>
                                <w:pStyle w:val="FrameContents"/>
                                <w:spacing w:before="0" w:after="200"/>
                                <w:rPr/>
                              </w:pPr>
                              <w:r>
                                <w:rPr/>
                              </w:r>
                            </w:p>
                          </w:txbxContent>
                        </wps:txbx>
                        <wps:bodyPr lIns="36360" rIns="36360" tIns="17640" bIns="17640" anchor="ctr">
                          <a:noAutofit/>
                        </wps:bodyPr>
                      </wps:wsp>
                      <wps:wsp>
                        <wps:cNvPr id="281" name="Connector 4"/>
                        <wps:cNvSpPr/>
                        <wps:spPr>
                          <a:xfrm>
                            <a:off x="1027440" y="289440"/>
                            <a:ext cx="203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82" name="Shape 5"/>
                        <wps:cNvSpPr/>
                        <wps:spPr>
                          <a:xfrm>
                            <a:off x="1238760" y="0"/>
                            <a:ext cx="1019160" cy="57780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Zaxiralar</w:t>
                              </w:r>
                            </w:p>
                            <w:p>
                              <w:pPr>
                                <w:pStyle w:val="FrameContents"/>
                                <w:spacing w:before="0" w:after="200"/>
                                <w:rPr/>
                              </w:pPr>
                              <w:r>
                                <w:rPr/>
                              </w:r>
                            </w:p>
                          </w:txbxContent>
                        </wps:txbx>
                        <wps:bodyPr lIns="36360" rIns="36360" tIns="17640" bIns="17640" anchor="ctr">
                          <a:noAutofit/>
                        </wps:bodyPr>
                      </wps:wsp>
                      <wps:wsp>
                        <wps:cNvPr id="283" name="Shape 6"/>
                        <wps:cNvSpPr/>
                        <wps:spPr>
                          <a:xfrm>
                            <a:off x="1238760" y="694800"/>
                            <a:ext cx="101916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Qat’iy stavkalar /</w:t>
                              </w:r>
                            </w:p>
                            <w:p>
                              <w:pPr>
                                <w:pStyle w:val="Normal"/>
                                <w:spacing w:lineRule="auto" w:line="228" w:before="0" w:after="0"/>
                                <w:ind w:hanging="0"/>
                                <w:jc w:val="center"/>
                                <w:rPr/>
                              </w:pPr>
                              <w:r>
                                <w:rPr>
                                  <w:rFonts w:cs="Times New Roman"/>
                                  <w:color w:val="000000"/>
                                  <w:sz w:val="20"/>
                                  <w:szCs w:val="20"/>
                                </w:rPr>
                                <w:t>kutilgan zararlar</w:t>
                              </w:r>
                            </w:p>
                            <w:p>
                              <w:pPr>
                                <w:pStyle w:val="FrameContents"/>
                                <w:spacing w:before="0" w:after="200"/>
                                <w:rPr/>
                              </w:pPr>
                              <w:r>
                                <w:rPr/>
                              </w:r>
                            </w:p>
                          </w:txbxContent>
                        </wps:txbx>
                        <wps:bodyPr lIns="36360" rIns="36360" tIns="17640" bIns="17640" anchor="ctr">
                          <a:noAutofit/>
                        </wps:bodyPr>
                      </wps:wsp>
                      <wps:wsp>
                        <wps:cNvPr id="284" name="Connector 7"/>
                        <wps:cNvSpPr/>
                        <wps:spPr>
                          <a:xfrm>
                            <a:off x="2266200" y="289440"/>
                            <a:ext cx="203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85" name="Shape 8"/>
                        <wps:cNvSpPr/>
                        <wps:spPr>
                          <a:xfrm>
                            <a:off x="2477880" y="0"/>
                            <a:ext cx="1019880" cy="57780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Sof foyda</w:t>
                              </w:r>
                            </w:p>
                            <w:p>
                              <w:pPr>
                                <w:pStyle w:val="FrameContents"/>
                                <w:spacing w:before="0" w:after="200"/>
                                <w:rPr/>
                              </w:pPr>
                              <w:r>
                                <w:rPr/>
                              </w:r>
                            </w:p>
                          </w:txbxContent>
                        </wps:txbx>
                        <wps:bodyPr lIns="36360" rIns="36360" tIns="17640" bIns="17640" anchor="ctr">
                          <a:noAutofit/>
                        </wps:bodyPr>
                      </wps:wsp>
                      <wps:wsp>
                        <wps:cNvPr id="286" name="Shape 9"/>
                        <wps:cNvSpPr/>
                        <wps:spPr>
                          <a:xfrm>
                            <a:off x="2477880" y="694800"/>
                            <a:ext cx="101988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Zaxira xarajati,</w:t>
                              </w:r>
                            </w:p>
                            <w:p>
                              <w:pPr>
                                <w:pStyle w:val="Normal"/>
                                <w:spacing w:lineRule="auto" w:line="228" w:before="0" w:after="0"/>
                                <w:ind w:hanging="0"/>
                                <w:jc w:val="center"/>
                                <w:rPr/>
                              </w:pPr>
                              <w:r>
                                <w:rPr>
                                  <w:rFonts w:cs="Times New Roman"/>
                                  <w:color w:val="000000"/>
                                  <w:sz w:val="20"/>
                                  <w:szCs w:val="20"/>
                                </w:rPr>
                                <w:t>dastlabki tan olish</w:t>
                              </w:r>
                            </w:p>
                            <w:p>
                              <w:pPr>
                                <w:pStyle w:val="FrameContents"/>
                                <w:spacing w:before="0" w:after="200"/>
                                <w:rPr/>
                              </w:pPr>
                              <w:r>
                                <w:rPr/>
                              </w:r>
                            </w:p>
                          </w:txbxContent>
                        </wps:txbx>
                        <wps:bodyPr lIns="36360" rIns="36360" tIns="17640" bIns="17640" anchor="ctr">
                          <a:noAutofit/>
                        </wps:bodyPr>
                      </wps:wsp>
                      <wps:wsp>
                        <wps:cNvPr id="287" name="Connector 10"/>
                        <wps:cNvSpPr/>
                        <wps:spPr>
                          <a:xfrm>
                            <a:off x="3505680" y="289440"/>
                            <a:ext cx="203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88" name="Shape 11"/>
                        <wps:cNvSpPr/>
                        <wps:spPr>
                          <a:xfrm>
                            <a:off x="3716640" y="0"/>
                            <a:ext cx="1019880" cy="57780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Xususiy</w:t>
                              </w:r>
                            </w:p>
                            <w:p>
                              <w:pPr>
                                <w:pStyle w:val="Normal"/>
                                <w:spacing w:lineRule="auto" w:line="228" w:before="0" w:after="0"/>
                                <w:ind w:hanging="0"/>
                                <w:jc w:val="center"/>
                                <w:rPr/>
                              </w:pPr>
                              <w:r>
                                <w:rPr>
                                  <w:rFonts w:cs="Times New Roman"/>
                                  <w:b/>
                                  <w:color w:val="FFFFFF"/>
                                  <w:sz w:val="22"/>
                                  <w:szCs w:val="22"/>
                                </w:rPr>
                                <w:t>kapital</w:t>
                              </w:r>
                            </w:p>
                            <w:p>
                              <w:pPr>
                                <w:pStyle w:val="FrameContents"/>
                                <w:spacing w:before="0" w:after="200"/>
                                <w:rPr/>
                              </w:pPr>
                              <w:r>
                                <w:rPr/>
                              </w:r>
                            </w:p>
                          </w:txbxContent>
                        </wps:txbx>
                        <wps:bodyPr lIns="36360" rIns="36360" tIns="17640" bIns="17640" anchor="ctr">
                          <a:noAutofit/>
                        </wps:bodyPr>
                      </wps:wsp>
                      <wps:wsp>
                        <wps:cNvPr id="289" name="Shape 12"/>
                        <wps:cNvSpPr/>
                        <wps:spPr>
                          <a:xfrm>
                            <a:off x="3716640" y="694800"/>
                            <a:ext cx="101988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Taqsimlanmagan</w:t>
                              </w:r>
                            </w:p>
                            <w:p>
                              <w:pPr>
                                <w:pStyle w:val="Normal"/>
                                <w:spacing w:lineRule="auto" w:line="228" w:before="0" w:after="0"/>
                                <w:ind w:hanging="0"/>
                                <w:jc w:val="center"/>
                                <w:rPr/>
                              </w:pPr>
                              <w:r>
                                <w:rPr>
                                  <w:rFonts w:cs="Times New Roman"/>
                                  <w:color w:val="000000"/>
                                  <w:sz w:val="20"/>
                                  <w:szCs w:val="20"/>
                                </w:rPr>
                                <w:t>foyda</w:t>
                              </w:r>
                            </w:p>
                            <w:p>
                              <w:pPr>
                                <w:pStyle w:val="FrameContents"/>
                                <w:spacing w:before="0" w:after="200"/>
                                <w:rPr/>
                              </w:pPr>
                              <w:r>
                                <w:rPr/>
                              </w:r>
                            </w:p>
                          </w:txbxContent>
                        </wps:txbx>
                        <wps:bodyPr lIns="36360" rIns="36360" tIns="17640" bIns="17640" anchor="ctr">
                          <a:noAutofit/>
                        </wps:bodyPr>
                      </wps:wsp>
                      <wps:wsp>
                        <wps:cNvPr id="290" name="Connector 13"/>
                        <wps:cNvSpPr/>
                        <wps:spPr>
                          <a:xfrm>
                            <a:off x="4744800" y="289440"/>
                            <a:ext cx="20304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291" name="Shape 14"/>
                        <wps:cNvSpPr/>
                        <wps:spPr>
                          <a:xfrm>
                            <a:off x="4956120" y="0"/>
                            <a:ext cx="1019160" cy="577800"/>
                          </a:xfrm>
                          <a:prstGeom prst="roundRect">
                            <a:avLst>
                              <a:gd name="adj" fmla="val 10000"/>
                            </a:avLst>
                          </a:prstGeom>
                          <a:solidFill>
                            <a:srgbClr val="7030a0"/>
                          </a:solidFill>
                          <a:ln w="12700">
                            <a:solidFill>
                              <a:srgbClr val="7030a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2"/>
                                  <w:szCs w:val="22"/>
                                </w:rPr>
                                <w:t>Kapital</w:t>
                              </w:r>
                            </w:p>
                            <w:p>
                              <w:pPr>
                                <w:pStyle w:val="Normal"/>
                                <w:spacing w:lineRule="auto" w:line="228" w:before="0" w:after="0"/>
                                <w:ind w:hanging="0"/>
                                <w:jc w:val="center"/>
                                <w:rPr/>
                              </w:pPr>
                              <w:r>
                                <w:rPr>
                                  <w:rFonts w:cs="Times New Roman"/>
                                  <w:b/>
                                  <w:color w:val="FFFFFF"/>
                                  <w:sz w:val="22"/>
                                  <w:szCs w:val="22"/>
                                </w:rPr>
                                <w:t>monandligi va</w:t>
                              </w:r>
                            </w:p>
                            <w:p>
                              <w:pPr>
                                <w:pStyle w:val="Normal"/>
                                <w:spacing w:lineRule="auto" w:line="228" w:before="0" w:after="0"/>
                                <w:ind w:hanging="0"/>
                                <w:jc w:val="center"/>
                                <w:rPr/>
                              </w:pPr>
                              <w:r>
                                <w:rPr>
                                  <w:rFonts w:cs="Times New Roman"/>
                                  <w:b/>
                                  <w:color w:val="FFFFFF"/>
                                  <w:sz w:val="22"/>
                                  <w:szCs w:val="22"/>
                                </w:rPr>
                                <w:t>NSFR</w:t>
                              </w:r>
                            </w:p>
                            <w:p>
                              <w:pPr>
                                <w:pStyle w:val="FrameContents"/>
                                <w:spacing w:before="0" w:after="200"/>
                                <w:rPr/>
                              </w:pPr>
                              <w:r>
                                <w:rPr/>
                              </w:r>
                            </w:p>
                          </w:txbxContent>
                        </wps:txbx>
                        <wps:bodyPr lIns="36360" rIns="36360" tIns="17640" bIns="17640" anchor="ctr">
                          <a:noAutofit/>
                        </wps:bodyPr>
                      </wps:wsp>
                      <wps:wsp>
                        <wps:cNvPr id="292" name="Shape 15"/>
                        <wps:cNvSpPr/>
                        <wps:spPr>
                          <a:xfrm>
                            <a:off x="4956120" y="694800"/>
                            <a:ext cx="1019160" cy="501120"/>
                          </a:xfrm>
                          <a:prstGeom prst="roundRect">
                            <a:avLst>
                              <a:gd name="adj" fmla="val 10000"/>
                            </a:avLst>
                          </a:prstGeom>
                          <a:solidFill>
                            <a:srgbClr val="f2f2f2"/>
                          </a:solidFill>
                          <a:ln w="12700">
                            <a:solidFill>
                              <a:srgbClr val="a6a6a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color w:val="000000"/>
                                  <w:sz w:val="20"/>
                                  <w:szCs w:val="20"/>
                                </w:rPr>
                                <w:t>Regulyativ</w:t>
                              </w:r>
                            </w:p>
                            <w:p>
                              <w:pPr>
                                <w:pStyle w:val="Normal"/>
                                <w:spacing w:lineRule="auto" w:line="228" w:before="0" w:after="0"/>
                                <w:ind w:hanging="0"/>
                                <w:jc w:val="center"/>
                                <w:rPr/>
                              </w:pPr>
                              <w:r>
                                <w:rPr>
                                  <w:rFonts w:cs="Times New Roman"/>
                                  <w:color w:val="000000"/>
                                  <w:sz w:val="20"/>
                                  <w:szCs w:val="20"/>
                                </w:rPr>
                                <w:t>ko‘rsatkichlar</w:t>
                              </w:r>
                            </w:p>
                            <w:p>
                              <w:pPr>
                                <w:pStyle w:val="FrameContents"/>
                                <w:spacing w:before="0" w:after="200"/>
                                <w:rPr/>
                              </w:pPr>
                              <w:r>
                                <w:rPr/>
                              </w:r>
                            </w:p>
                          </w:txbxContent>
                        </wps:txbx>
                        <wps:bodyPr lIns="36360" rIns="36360" tIns="17640" bIns="17640" anchor="ctr">
                          <a:noAutofit/>
                        </wps:bodyPr>
                      </wps:wsp>
                      <wps:wsp>
                        <wps:cNvPr id="293" name="Connector 16"/>
                        <wps:cNvSpPr/>
                        <wps:spPr>
                          <a:xfrm>
                            <a:off x="72360" y="1428120"/>
                            <a:ext cx="5939640" cy="720"/>
                          </a:xfrm>
                          <a:prstGeom prst="straightConnector1">
                            <a:avLst/>
                          </a:prstGeom>
                          <a:noFill/>
                          <a:ln w="28575">
                            <a:solidFill>
                              <a:srgbClr val="c00000"/>
                            </a:solidFill>
                            <a:round/>
                            <a:tailEnd len="med" type="triangle" w="med"/>
                          </a:ln>
                        </wps:spPr>
                        <wps:style>
                          <a:lnRef idx="0"/>
                          <a:fillRef idx="0"/>
                          <a:effectRef idx="0"/>
                          <a:fontRef idx="minor"/>
                        </wps:style>
                        <wps:bodyPr/>
                      </wps:wsp>
                      <wps:wsp>
                        <wps:cNvPr id="294" name="Shape 17"/>
                        <wps:cNvSpPr/>
                        <wps:spPr>
                          <a:xfrm>
                            <a:off x="0" y="1504800"/>
                            <a:ext cx="1529640" cy="345960"/>
                          </a:xfrm>
                          <a:prstGeom prst="roundRect">
                            <a:avLst>
                              <a:gd name="adj" fmla="val 10000"/>
                            </a:avLst>
                          </a:prstGeom>
                          <a:solidFill>
                            <a:srgbClr val="fce4d6"/>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Tafovut: 2–3 barobar</w:t>
                              </w:r>
                            </w:p>
                            <w:p>
                              <w:pPr>
                                <w:pStyle w:val="FrameContents"/>
                                <w:spacing w:before="0" w:after="200"/>
                                <w:rPr/>
                              </w:pPr>
                              <w:r>
                                <w:rPr/>
                              </w:r>
                            </w:p>
                          </w:txbxContent>
                        </wps:txbx>
                        <wps:bodyPr lIns="36360" rIns="36360" tIns="17640" bIns="17640" anchor="ctr">
                          <a:noAutofit/>
                        </wps:bodyPr>
                      </wps:wsp>
                      <wps:wsp>
                        <wps:cNvPr id="295" name="Shape 18"/>
                        <wps:cNvSpPr/>
                        <wps:spPr>
                          <a:xfrm>
                            <a:off x="2223000" y="1504800"/>
                            <a:ext cx="1529640" cy="345960"/>
                          </a:xfrm>
                          <a:prstGeom prst="roundRect">
                            <a:avLst>
                              <a:gd name="adj" fmla="val 10000"/>
                            </a:avLst>
                          </a:prstGeom>
                          <a:solidFill>
                            <a:srgbClr val="fce4d6"/>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Tafovut: 10–20 foiz</w:t>
                              </w:r>
                            </w:p>
                            <w:p>
                              <w:pPr>
                                <w:pStyle w:val="FrameContents"/>
                                <w:spacing w:before="0" w:after="200"/>
                                <w:rPr/>
                              </w:pPr>
                              <w:r>
                                <w:rPr/>
                              </w:r>
                            </w:p>
                          </w:txbxContent>
                        </wps:txbx>
                        <wps:bodyPr lIns="36360" rIns="36360" tIns="17640" bIns="17640" anchor="ctr">
                          <a:noAutofit/>
                        </wps:bodyPr>
                      </wps:wsp>
                      <wps:wsp>
                        <wps:cNvPr id="296" name="Shape 19"/>
                        <wps:cNvSpPr/>
                        <wps:spPr>
                          <a:xfrm>
                            <a:off x="4445640" y="1504800"/>
                            <a:ext cx="1566720" cy="345960"/>
                          </a:xfrm>
                          <a:prstGeom prst="roundRect">
                            <a:avLst>
                              <a:gd name="adj" fmla="val 10000"/>
                            </a:avLst>
                          </a:prstGeom>
                          <a:solidFill>
                            <a:srgbClr val="fce4d6"/>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000000"/>
                                  <w:sz w:val="20"/>
                                  <w:szCs w:val="20"/>
                                </w:rPr>
                                <w:t>Tafovut: 2–3 foiz punkt</w:t>
                              </w:r>
                            </w:p>
                            <w:p>
                              <w:pPr>
                                <w:pStyle w:val="FrameContents"/>
                                <w:spacing w:before="0" w:after="200"/>
                                <w:rPr/>
                              </w:pPr>
                              <w:r>
                                <w:rPr/>
                              </w:r>
                            </w:p>
                          </w:txbxContent>
                        </wps:txbx>
                        <wps:bodyPr lIns="36360" rIns="36360" tIns="17640" bIns="17640" anchor="ctr">
                          <a:noAutofit/>
                        </wps:bodyPr>
                      </wps:wsp>
                      <wps:wsp>
                        <wps:cNvPr id="297" name="Shape 20"/>
                        <wps:cNvSpPr/>
                        <wps:spPr>
                          <a:xfrm>
                            <a:off x="0" y="1929600"/>
                            <a:ext cx="6012360" cy="230400"/>
                          </a:xfrm>
                          <a:prstGeom prst="roundRect">
                            <a:avLst>
                              <a:gd name="adj" fmla="val 10000"/>
                            </a:avLst>
                          </a:prstGeom>
                          <a:noFill/>
                          <a:ln w="0">
                            <a:noFill/>
                          </a:ln>
                        </wps:spPr>
                        <wps:style>
                          <a:lnRef idx="0"/>
                          <a:fillRef idx="0"/>
                          <a:effectRef idx="0"/>
                          <a:fontRef idx="minor"/>
                        </wps:style>
                        <wps:txbx>
                          <w:txbxContent>
                            <w:p>
                              <w:pPr>
                                <w:pStyle w:val="Normal"/>
                                <w:spacing w:lineRule="auto" w:line="228" w:before="0" w:after="0"/>
                                <w:ind w:hanging="0"/>
                                <w:jc w:val="center"/>
                                <w:rPr/>
                              </w:pPr>
                              <w:r>
                                <w:rPr>
                                  <w:rFonts w:cs="Times New Roman"/>
                                  <w:i/>
                                  <w:color w:val="000000"/>
                                  <w:sz w:val="20"/>
                                  <w:szCs w:val="20"/>
                                </w:rPr>
                                <w:t>Ta’sir zanjir bo‘ylab kuchsizlanib boradi: aktivlar sifati → daromadlilik → kapital → likvidlik</w:t>
                              </w:r>
                            </w:p>
                            <w:p>
                              <w:pPr>
                                <w:pStyle w:val="FrameContents"/>
                                <w:spacing w:before="0" w:after="200"/>
                                <w:rPr/>
                              </w:pPr>
                              <w:r>
                                <w:rPr/>
                              </w:r>
                            </w:p>
                          </w:txbxContent>
                        </wps:txbx>
                        <wps:bodyPr lIns="36360" rIns="36360" tIns="17640" bIns="17640" anchor="ctr">
                          <a:noAutofit/>
                        </wps:bodyPr>
                      </wps:wsp>
                    </wpg:wgp>
                  </a:graphicData>
                </a:graphic>
              </wp:inline>
            </w:drawing>
          </mc:Choice>
          <mc:Fallback>
            <w:pict>
              <v:group id="shape_0" alt="2.3.1-rasm" style="position:absolute;margin-left:0pt;margin-top:-85.05pt;width:473.4pt;height:170.1pt" coordorigin="0,-1701" coordsize="9468,3402">
                <v:shape id="shape_0" ID="Connector 4" path="m0,0l-2147483648,-2147483647e" stroked="t" o:allowincell="f" style="position:absolute;left:1618;top:-1245;width:31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7" path="m0,0l-2147483648,-2147483647e" stroked="t" o:allowincell="f" style="position:absolute;left:3569;top:-1245;width:31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0" path="m0,0l-2147483648,-2147483647e" stroked="t" o:allowincell="f" style="position:absolute;left:5521;top:-1245;width:31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3" path="m0,0l-2147483648,-2147483647e" stroked="t" o:allowincell="f" style="position:absolute;left:7472;top:-1245;width:319;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6" path="m0,0l-2147483648,-2147483647e" stroked="t" o:allowincell="f" style="position:absolute;left:114;top:548;width:9353;height:0;mso-wrap-style:none;v-text-anchor:middle;mso-position-vertical:center" type="_x0000_t32">
                  <v:fill o:detectmouseclick="t" on="false"/>
                  <v:stroke color="#c00000" weight="2844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2.3.1-rasm. Milliy hisobot va MHXS ko‘rsatkichlari o‘rtasidagi tafovutning shakllanish mexanizmi</w:t>
      </w:r>
      <w:r>
        <w:rPr>
          <w:rStyle w:val="FootnoteReference"/>
        </w:rPr>
        <w:footnoteReference w:id="221"/>
      </w:r>
    </w:p>
    <w:p>
      <w:pPr>
        <w:pStyle w:val="BodyText"/>
        <w:spacing w:lineRule="auto" w:line="360" w:before="0" w:after="0"/>
        <w:ind w:firstLine="709"/>
        <w:jc w:val="both"/>
        <w:rPr/>
      </w:pPr>
      <w:r>
        <w:rPr>
          <w:rFonts w:eastAsia="Times New Roman" w:cs="Times New Roman"/>
          <w:sz w:val="28"/>
        </w:rPr>
        <w:t>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Rule="auto" w:line="360" w:before="0" w:after="0"/>
        <w:ind w:firstLine="709"/>
        <w:jc w:val="both"/>
        <w:rPr/>
      </w:pPr>
      <w:r>
        <w:rPr>
          <w:rFonts w:eastAsia="Times New Roman" w:cs="Times New Roman"/>
          <w:sz w:val="28"/>
        </w:rP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222"/>
      </w:r>
      <w:r>
        <w:rPr>
          <w:rStyle w:val="FootnoteReference"/>
        </w:rPr>
        <w:footnoteReference w:id="223"/>
      </w:r>
      <w:r>
        <w:rPr>
          <w:rFonts w:eastAsia="Times New Roman" w:cs="Times New Roman"/>
          <w:sz w:val="28"/>
        </w:rPr>
        <w:t xml:space="preserve"> 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Rule="auto" w:line="360" w:before="0" w:after="0"/>
        <w:ind w:firstLine="709"/>
        <w:jc w:val="both"/>
        <w:rPr/>
      </w:pPr>
      <w:r>
        <w:rPr>
          <w:rFonts w:eastAsia="Times New Roman" w:cs="Times New Roman"/>
          <w:i/>
          <w:iCs/>
          <w:sz w:val="28"/>
        </w:rPr>
        <w:t>K</w:t>
      </w:r>
      <w:r>
        <w:rPr>
          <w:rFonts w:eastAsia="Times New Roman" w:cs="Times New Roman"/>
          <w:sz w:val="28"/>
          <w:vertAlign w:val="subscript"/>
        </w:rPr>
        <w:t>taf</w:t>
      </w:r>
      <w:r>
        <w:rPr>
          <w:rFonts w:eastAsia="Times New Roman" w:cs="Times New Roman"/>
          <w:sz w:val="28"/>
        </w:rPr>
        <w:t xml:space="preserve"> = (</w:t>
      </w:r>
      <w:r>
        <w:rPr>
          <w:rFonts w:eastAsia="Times New Roman" w:cs="Times New Roman"/>
          <w:i/>
          <w:iCs/>
          <w:sz w:val="28"/>
        </w:rPr>
        <w:t>X</w:t>
      </w:r>
      <w:r>
        <w:rPr>
          <w:rFonts w:eastAsia="Times New Roman" w:cs="Times New Roman"/>
          <w:sz w:val="28"/>
          <w:vertAlign w:val="subscript"/>
        </w:rPr>
        <w:t>MHXS</w:t>
      </w:r>
      <w:r>
        <w:rPr>
          <w:rFonts w:eastAsia="Times New Roman" w:cs="Times New Roman"/>
          <w:sz w:val="28"/>
        </w:rPr>
        <w:t xml:space="preserve"> – </w:t>
      </w:r>
      <w:r>
        <w:rPr>
          <w:rFonts w:eastAsia="Times New Roman" w:cs="Times New Roman"/>
          <w:i/>
          <w:iCs/>
          <w:sz w:val="28"/>
        </w:rPr>
        <w:t>X</w:t>
      </w:r>
      <w:r>
        <w:rPr>
          <w:rFonts w:eastAsia="Times New Roman" w:cs="Times New Roman"/>
          <w:sz w:val="28"/>
          <w:vertAlign w:val="subscript"/>
        </w:rPr>
        <w:t>milliy</w:t>
      </w:r>
      <w:r>
        <w:rPr>
          <w:rFonts w:eastAsia="Times New Roman" w:cs="Times New Roman"/>
          <w:sz w:val="28"/>
        </w:rPr>
        <w:t xml:space="preserve">) / </w:t>
      </w:r>
      <w:r>
        <w:rPr>
          <w:rFonts w:eastAsia="Times New Roman" w:cs="Times New Roman"/>
          <w:i/>
          <w:iCs/>
          <w:sz w:val="28"/>
        </w:rPr>
        <w:t>X</w:t>
      </w:r>
      <w:r>
        <w:rPr>
          <w:rFonts w:eastAsia="Times New Roman" w:cs="Times New Roman"/>
          <w:sz w:val="28"/>
          <w:vertAlign w:val="subscript"/>
        </w:rPr>
        <w:t>milliy</w:t>
      </w:r>
      <w:r>
        <w:rPr>
          <w:rFonts w:eastAsia="Times New Roman" w:cs="Times New Roman"/>
          <w:sz w:val="28"/>
        </w:rPr>
        <w:t xml:space="preserve"> × 100%,</w:t>
      </w:r>
    </w:p>
    <w:p>
      <w:pPr>
        <w:pStyle w:val="BodyText"/>
        <w:spacing w:lineRule="auto" w:line="360" w:before="0" w:after="0"/>
        <w:ind w:firstLine="709"/>
        <w:jc w:val="both"/>
        <w:rPr/>
      </w:pPr>
      <w:r>
        <w:rPr>
          <w:rFonts w:eastAsia="Times New Roman" w:cs="Times New Roman"/>
          <w:sz w:val="28"/>
        </w:rPr>
        <w:t xml:space="preserve">bu yerda </w:t>
      </w:r>
      <w:r>
        <w:rPr>
          <w:rFonts w:eastAsia="Times New Roman" w:cs="Times New Roman"/>
          <w:i/>
          <w:iCs/>
          <w:sz w:val="28"/>
        </w:rPr>
        <w:t>X</w:t>
      </w:r>
      <w:r>
        <w:rPr>
          <w:rFonts w:eastAsia="Times New Roman" w:cs="Times New Roman"/>
          <w:sz w:val="28"/>
          <w:vertAlign w:val="subscript"/>
        </w:rPr>
        <w:t>MHXS</w:t>
      </w:r>
      <w:r>
        <w:rPr>
          <w:rFonts w:eastAsia="Times New Roman" w:cs="Times New Roman"/>
          <w:sz w:val="28"/>
        </w:rPr>
        <w:t xml:space="preserve"> va </w:t>
      </w:r>
      <w:r>
        <w:rPr>
          <w:rFonts w:eastAsia="Times New Roman" w:cs="Times New Roman"/>
          <w:i/>
          <w:iCs/>
          <w:sz w:val="28"/>
        </w:rPr>
        <w:t>X</w:t>
      </w:r>
      <w:r>
        <w:rPr>
          <w:rFonts w:eastAsia="Times New Roman" w:cs="Times New Roman"/>
          <w:sz w:val="28"/>
          <w:vertAlign w:val="subscript"/>
        </w:rPr>
        <w:t>milliy</w:t>
      </w:r>
      <w:r>
        <w:rPr>
          <w:rFonts w:eastAsia="Times New Roman" w:cs="Times New Roman"/>
          <w:sz w:val="28"/>
        </w:rPr>
        <w:t xml:space="preserve"> –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Rule="auto" w:line="360" w:before="0" w:after="0"/>
        <w:ind w:firstLine="709"/>
        <w:jc w:val="both"/>
        <w:rPr/>
      </w:pPr>
      <w:r>
        <w:rPr>
          <w:rFonts w:eastAsia="Times New Roman" w:cs="Times New Roman"/>
          <w:i/>
          <w:iCs/>
          <w:sz w:val="28"/>
        </w:rPr>
        <w:t>K</w:t>
      </w:r>
      <w:r>
        <w:rPr>
          <w:rFonts w:eastAsia="Times New Roman" w:cs="Times New Roman"/>
          <w:sz w:val="28"/>
          <w:vertAlign w:val="subscript"/>
        </w:rPr>
        <w:t>ykr</w:t>
      </w:r>
      <w:r>
        <w:rPr>
          <w:rFonts w:eastAsia="Times New Roman" w:cs="Times New Roman"/>
          <w:sz w:val="28"/>
        </w:rPr>
        <w:t xml:space="preserve"> = (</w:t>
      </w:r>
      <w:r>
        <w:rPr>
          <w:rFonts w:eastAsia="Times New Roman" w:cs="Times New Roman"/>
          <w:i/>
          <w:iCs/>
          <w:sz w:val="28"/>
        </w:rPr>
        <w:t>S3</w:t>
      </w:r>
      <w:r>
        <w:rPr>
          <w:rFonts w:eastAsia="Times New Roman" w:cs="Times New Roman"/>
          <w:sz w:val="28"/>
        </w:rPr>
        <w:t xml:space="preserve"> / </w:t>
      </w:r>
      <w:r>
        <w:rPr>
          <w:rFonts w:eastAsia="Times New Roman" w:cs="Times New Roman"/>
          <w:i/>
          <w:iCs/>
          <w:sz w:val="28"/>
        </w:rPr>
        <w:t>L</w:t>
      </w:r>
      <w:r>
        <w:rPr>
          <w:rFonts w:eastAsia="Times New Roman" w:cs="Times New Roman"/>
          <w:sz w:val="28"/>
          <w:vertAlign w:val="subscript"/>
        </w:rPr>
        <w:t>MHXS</w:t>
      </w:r>
      <w:r>
        <w:rPr>
          <w:rFonts w:eastAsia="Times New Roman" w:cs="Times New Roman"/>
          <w:sz w:val="28"/>
        </w:rPr>
        <w:t>) / (</w:t>
      </w:r>
      <w:r>
        <w:rPr>
          <w:rFonts w:eastAsia="Times New Roman" w:cs="Times New Roman"/>
          <w:i/>
          <w:iCs/>
          <w:sz w:val="28"/>
        </w:rPr>
        <w:t>NPL</w:t>
      </w:r>
      <w:r>
        <w:rPr>
          <w:rFonts w:eastAsia="Times New Roman" w:cs="Times New Roman"/>
          <w:sz w:val="28"/>
        </w:rPr>
        <w:t xml:space="preserve"> / </w:t>
      </w:r>
      <w:r>
        <w:rPr>
          <w:rFonts w:eastAsia="Times New Roman" w:cs="Times New Roman"/>
          <w:i/>
          <w:iCs/>
          <w:sz w:val="28"/>
        </w:rPr>
        <w:t>L</w:t>
      </w:r>
      <w:r>
        <w:rPr>
          <w:rFonts w:eastAsia="Times New Roman" w:cs="Times New Roman"/>
          <w:sz w:val="28"/>
          <w:vertAlign w:val="subscript"/>
        </w:rPr>
        <w:t>milliy</w:t>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 xml:space="preserve">bu yerda </w:t>
      </w:r>
      <w:r>
        <w:rPr>
          <w:rFonts w:eastAsia="Times New Roman" w:cs="Times New Roman"/>
          <w:i/>
          <w:iCs/>
          <w:sz w:val="28"/>
        </w:rPr>
        <w:t>S3</w:t>
      </w:r>
      <w:r>
        <w:rPr>
          <w:rFonts w:eastAsia="Times New Roman" w:cs="Times New Roman"/>
          <w:sz w:val="28"/>
        </w:rPr>
        <w:t xml:space="preserve"> – MHXS 9 bo‘yicha 3-bosqich kreditlari, </w:t>
      </w:r>
      <w:r>
        <w:rPr>
          <w:rFonts w:eastAsia="Times New Roman" w:cs="Times New Roman"/>
          <w:i/>
          <w:iCs/>
          <w:sz w:val="28"/>
        </w:rPr>
        <w:t>NPL</w:t>
      </w:r>
      <w:r>
        <w:rPr>
          <w:rFonts w:eastAsia="Times New Roman" w:cs="Times New Roman"/>
          <w:sz w:val="28"/>
        </w:rPr>
        <w:t xml:space="preserve"> – milliy tasnif bo‘yicha muammoli kreditlar, </w:t>
      </w:r>
      <w:r>
        <w:rPr>
          <w:rFonts w:eastAsia="Times New Roman" w:cs="Times New Roman"/>
          <w:i/>
          <w:iCs/>
          <w:sz w:val="28"/>
        </w:rPr>
        <w:t>L</w:t>
      </w:r>
      <w:r>
        <w:rPr>
          <w:rFonts w:eastAsia="Times New Roman" w:cs="Times New Roman"/>
          <w:sz w:val="28"/>
          <w:vertAlign w:val="subscript"/>
        </w:rPr>
        <w:t>MHXS</w:t>
      </w:r>
      <w:r>
        <w:rPr>
          <w:rFonts w:eastAsia="Times New Roman" w:cs="Times New Roman"/>
          <w:sz w:val="28"/>
        </w:rPr>
        <w:t xml:space="preserve"> va </w:t>
      </w:r>
      <w:r>
        <w:rPr>
          <w:rFonts w:eastAsia="Times New Roman" w:cs="Times New Roman"/>
          <w:i/>
          <w:iCs/>
          <w:sz w:val="28"/>
        </w:rPr>
        <w:t>L</w:t>
      </w:r>
      <w:r>
        <w:rPr>
          <w:rFonts w:eastAsia="Times New Roman" w:cs="Times New Roman"/>
          <w:sz w:val="28"/>
          <w:vertAlign w:val="subscript"/>
        </w:rPr>
        <w:t>milliy</w:t>
      </w:r>
      <w:r>
        <w:rPr>
          <w:rFonts w:eastAsia="Times New Roman" w:cs="Times New Roman"/>
          <w:sz w:val="28"/>
        </w:rP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Rule="auto" w:line="360" w:before="0" w:after="0"/>
        <w:ind w:firstLine="709"/>
        <w:jc w:val="both"/>
        <w:rPr/>
      </w:pPr>
      <w:r>
        <w:rPr>
          <w:rFonts w:eastAsia="Times New Roman" w:cs="Times New Roman"/>
          <w:sz w:val="28"/>
        </w:rPr>
        <w:t>«O‘zsanoatqurilishbank» ATB bo‘yicha solishtirish natijalari 2.3.2-jadvalda keltirildi.</w:t>
      </w:r>
    </w:p>
    <w:p>
      <w:pPr>
        <w:pStyle w:val="BodyText"/>
        <w:keepNext w:val="true"/>
        <w:spacing w:lineRule="auto" w:line="360" w:before="120" w:after="0"/>
        <w:ind w:hanging="0"/>
        <w:jc w:val="right"/>
        <w:rPr/>
      </w:pPr>
      <w:r>
        <w:rPr>
          <w:rFonts w:eastAsia="Times New Roman" w:cs="Times New Roman"/>
          <w:i/>
          <w:sz w:val="28"/>
        </w:rPr>
        <w:t>2.3.2-jadval</w:t>
      </w:r>
    </w:p>
    <w:p>
      <w:pPr>
        <w:pStyle w:val="BodyText"/>
        <w:keepNext w:val="true"/>
        <w:spacing w:lineRule="auto" w:line="240" w:before="0" w:after="120"/>
        <w:ind w:hanging="0"/>
        <w:jc w:val="center"/>
        <w:rPr/>
      </w:pPr>
      <w:r>
        <w:rPr>
          <w:rFonts w:eastAsia="Times New Roman" w:cs="Times New Roman"/>
          <w:b/>
          <w:bCs/>
          <w:sz w:val="28"/>
        </w:rPr>
        <w:t>«O‘zsanoatqurilishbank» ATB ning asosiy ko‘rsatkichlari: milliy hisobot va MHXS, 2021–2025-yillar</w:t>
      </w:r>
      <w:r>
        <w:rPr>
          <w:rStyle w:val="FootnoteReference"/>
        </w:rPr>
        <w:footnoteReference w:id="224"/>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1228"/>
        <w:gridCol w:w="1230"/>
        <w:gridCol w:w="1228"/>
        <w:gridCol w:w="1229"/>
        <w:gridCol w:w="1228"/>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aktivlar,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56 511,3</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64 263,8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74 634,4</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87 597,0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102 438,7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55 731,9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63 189,3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73 293,3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84 800,2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97 184,4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Xususiy kapital,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7 700,9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7 828,1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8 728,4</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10 025,4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11 875,2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6 944,8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7 581,2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8 439,9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9 352,8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10 273,8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Tafovut,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9,8</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3,2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3,3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6,7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foyda,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998,2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588,9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911,7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1 303,2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1 880,1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857,0</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633,7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856,2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1 115,0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1 543,8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Tafovut,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14,1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6,1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14,4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17,9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Birinchi darajali asosiy kapital monandligi, %: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11,86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12,08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11,03</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10,62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asosida qayta hisoblangan</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11,89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11,62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10,72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8,87</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zaxiralari / kreditlar, %: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2,9</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(milliy) / 3-bosqich (MHXS),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3,8 / 6,2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 / 7,4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 / 4,8</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 / 5,9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 / 7,5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(milliy) / 2-bosqich (MHXS),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6,2 / 20,4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5,3 / 14,7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11,0 / 15,8</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14,8 / 27,1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18,4 / 35,7</w:t>
            </w:r>
          </w:p>
        </w:tc>
      </w:tr>
    </w:tbl>
    <w:p>
      <w:pPr>
        <w:pStyle w:val="BodyText"/>
        <w:spacing w:lineRule="auto" w:line="360" w:before="0" w:after="0"/>
        <w:ind w:firstLine="709"/>
        <w:jc w:val="both"/>
        <w:rPr/>
      </w:pPr>
      <w:r>
        <w:rPr>
          <w:rFonts w:eastAsia="Times New Roman" w:cs="Times New Roman"/>
          <w:i/>
          <w:iCs/>
          <w:sz w:val="28"/>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Rule="auto" w:line="360" w:before="0" w:after="0"/>
        <w:ind w:firstLine="709"/>
        <w:jc w:val="both"/>
        <w:rPr/>
      </w:pPr>
      <w:r>
        <w:rPr>
          <w:rFonts w:eastAsia="Times New Roman" w:cs="Times New Roman"/>
          <w:sz w:val="28"/>
        </w:rP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w:pPr>
        <w:pStyle w:val="BodyText"/>
        <w:keepNext w:val="true"/>
        <w:spacing w:lineRule="auto" w:line="240" w:before="0" w:after="0"/>
        <w:ind w:hanging="0"/>
        <w:jc w:val="center"/>
        <w:rPr/>
      </w:pPr>
      <w:r>
        <w:rPr/>
        <w:drawing>
          <wp:inline distT="0" distB="0" distL="0" distR="0">
            <wp:extent cx="5760085" cy="2879725"/>
            <wp:effectExtent l="0" t="0" r="0" b="0"/>
            <wp:docPr id="298" name="2.3.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pPr>
        <w:pStyle w:val="BodyText"/>
        <w:spacing w:lineRule="auto" w:line="240" w:before="120" w:after="240"/>
        <w:ind w:hanging="0"/>
        <w:jc w:val="center"/>
        <w:rPr/>
      </w:pPr>
      <w:r>
        <w:rPr>
          <w:rFonts w:eastAsia="Times New Roman" w:cs="Times New Roman"/>
          <w:b/>
          <w:sz w:val="28"/>
        </w:rPr>
        <w:t>2.3.2-rasm. «O‘zsanoatqurilishbank» ATB ning sof foydasi: milliy hisobot va MHXS, mlrd so‘m</w:t>
      </w:r>
      <w:r>
        <w:rPr>
          <w:rStyle w:val="FootnoteReference"/>
        </w:rPr>
        <w:footnoteReference w:id="225"/>
      </w:r>
    </w:p>
    <w:p>
      <w:pPr>
        <w:pStyle w:val="BodyText"/>
        <w:spacing w:lineRule="auto" w:line="360" w:before="0" w:after="0"/>
        <w:ind w:firstLine="709"/>
        <w:jc w:val="both"/>
        <w:rPr/>
      </w:pPr>
      <w:r>
        <w:rPr>
          <w:rFonts w:eastAsia="Times New Roman" w:cs="Times New Roman"/>
          <w:sz w:val="28"/>
        </w:rP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226"/>
      </w:r>
      <w:r>
        <w:rPr>
          <w:rStyle w:val="FootnoteReference"/>
        </w:rPr>
        <w:footnoteReference w:id="227"/>
      </w:r>
      <w:r>
        <w:rPr>
          <w:rFonts w:eastAsia="Times New Roman" w:cs="Times New Roman"/>
          <w:sz w:val="28"/>
        </w:rPr>
        <w:t>.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228"/>
      </w:r>
      <w:r>
        <w:rPr>
          <w:rFonts w:eastAsia="Times New Roman" w:cs="Times New Roman"/>
          <w:sz w:val="28"/>
        </w:rPr>
        <w:t>. Bu raqamlar davlat dasturlari doirasidagi imtiyozli operatsiyalarning haqiqiy iqtisodiy qiymati faqat MHXS hisobotida aks etishini ko‘rsatadi.</w:t>
      </w:r>
    </w:p>
    <w:p>
      <w:pPr>
        <w:pStyle w:val="BodyText"/>
        <w:spacing w:lineRule="auto" w:line="360" w:before="0" w:after="0"/>
        <w:ind w:firstLine="709"/>
        <w:jc w:val="both"/>
        <w:rPr/>
      </w:pPr>
      <w:r>
        <w:rPr>
          <w:rFonts w:eastAsia="Times New Roman" w:cs="Times New Roman"/>
          <w:sz w:val="28"/>
        </w:rP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pPr>
        <w:pStyle w:val="BodyText"/>
        <w:keepNext w:val="true"/>
        <w:spacing w:lineRule="auto" w:line="240" w:before="0" w:after="0"/>
        <w:ind w:hanging="0"/>
        <w:jc w:val="center"/>
        <w:rPr/>
      </w:pPr>
      <w:r>
        <w:rPr/>
        <w:drawing>
          <wp:inline distT="0" distB="0" distL="0" distR="0">
            <wp:extent cx="5760085" cy="2879725"/>
            <wp:effectExtent l="0" t="0" r="0" b="0"/>
            <wp:docPr id="299" name="2.3.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pPr>
        <w:pStyle w:val="BodyText"/>
        <w:spacing w:lineRule="auto" w:line="240" w:before="120" w:after="240"/>
        <w:ind w:hanging="0"/>
        <w:jc w:val="center"/>
        <w:rPr/>
      </w:pPr>
      <w:r>
        <w:rPr>
          <w:rFonts w:eastAsia="Times New Roman" w:cs="Times New Roman"/>
          <w:b/>
          <w:sz w:val="28"/>
        </w:rPr>
        <w:t>2.3.3-rasm. «O‘zsanoatqurilishbank» ATB da kredit zaxiralarining jami kreditlarga nisbati: milliy hisobot va MHXS, %</w:t>
      </w:r>
      <w:r>
        <w:rPr>
          <w:rStyle w:val="FootnoteReference"/>
        </w:rPr>
        <w:footnoteReference w:id="229"/>
      </w:r>
    </w:p>
    <w:p>
      <w:pPr>
        <w:pStyle w:val="BodyText"/>
        <w:spacing w:lineRule="auto" w:line="360" w:before="0" w:after="0"/>
        <w:ind w:firstLine="709"/>
        <w:jc w:val="both"/>
        <w:rPr/>
      </w:pPr>
      <w:r>
        <w:rPr>
          <w:rFonts w:eastAsia="Times New Roman" w:cs="Times New Roman"/>
          <w:sz w:val="28"/>
        </w:rPr>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Rule="auto" w:line="360" w:before="0" w:after="0"/>
        <w:ind w:firstLine="709"/>
        <w:jc w:val="both"/>
        <w:rPr/>
      </w:pPr>
      <w:r>
        <w:rPr>
          <w:rFonts w:eastAsia="Times New Roman" w:cs="Times New Roman"/>
          <w:sz w:val="28"/>
        </w:rPr>
        <w:t>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230"/>
      </w:r>
      <w:r>
        <w:rPr>
          <w:rFonts w:eastAsia="Times New Roman" w:cs="Times New Roman"/>
          <w:sz w:val="28"/>
        </w:rPr>
        <w:t>. Ushbu jadval ma’lumotlari asosida 3-bosqich kreditlarining milliy tasnif bo‘yicha tarkibi aniqlandi (2.3.4-rasm).</w:t>
      </w:r>
    </w:p>
    <w:p>
      <w:pPr>
        <w:pStyle w:val="BodyText"/>
        <w:keepNext w:val="true"/>
        <w:spacing w:lineRule="auto" w:line="240" w:before="0" w:after="0"/>
        <w:ind w:hanging="0"/>
        <w:jc w:val="center"/>
        <w:rPr/>
      </w:pPr>
      <w:r>
        <w:rPr/>
        <w:drawing>
          <wp:inline distT="0" distB="0" distL="0" distR="0">
            <wp:extent cx="5760085" cy="2879725"/>
            <wp:effectExtent l="0" t="0" r="0" b="0"/>
            <wp:docPr id="300" name="2.3.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pPr>
        <w:pStyle w:val="BodyText"/>
        <w:spacing w:lineRule="auto" w:line="240" w:before="120" w:after="240"/>
        <w:ind w:hanging="0"/>
        <w:jc w:val="center"/>
        <w:rPr/>
      </w:pPr>
      <w:r>
        <w:rPr>
          <w:rFonts w:eastAsia="Times New Roman" w:cs="Times New Roman"/>
          <w:b/>
          <w:sz w:val="28"/>
        </w:rPr>
        <w:t>2.3.4-rasm. «O‘zsanoatqurilishbank» ATB da MHXS 9 bo‘yicha 3-bosqich kreditlarining milliy tasnif toifalari bo‘yicha tarkibi, mlrd so‘m</w:t>
      </w:r>
      <w:r>
        <w:rPr>
          <w:rStyle w:val="FootnoteReference"/>
        </w:rPr>
        <w:footnoteReference w:id="231"/>
      </w:r>
    </w:p>
    <w:p>
      <w:pPr>
        <w:pStyle w:val="BodyText"/>
        <w:spacing w:lineRule="auto" w:line="360" w:before="0" w:after="0"/>
        <w:ind w:firstLine="709"/>
        <w:jc w:val="both"/>
        <w:rPr/>
      </w:pPr>
      <w:r>
        <w:rPr>
          <w:rFonts w:eastAsia="Times New Roman" w:cs="Times New Roman"/>
          <w:sz w:val="28"/>
        </w:rP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232"/>
      </w:r>
      <w:r>
        <w:rPr>
          <w:rFonts w:eastAsia="Times New Roman" w:cs="Times New Roman"/>
          <w:sz w:val="28"/>
        </w:rPr>
        <w:t>. 2-bosqich kreditlari bo‘yicha ham manzara o‘xshash: 2025-yilda kredit riski sezilarli oshgan 25 320,4 mlrd so‘mlik kreditlarning 51,2 foizi milliy tasnifda «standart» kreditlar hisoblangan.</w:t>
      </w:r>
    </w:p>
    <w:p>
      <w:pPr>
        <w:pStyle w:val="BodyText"/>
        <w:spacing w:lineRule="auto" w:line="360" w:before="0" w:after="0"/>
        <w:ind w:firstLine="709"/>
        <w:jc w:val="both"/>
        <w:rPr/>
      </w:pPr>
      <w:r>
        <w:rPr>
          <w:rFonts w:eastAsia="Times New Roman" w:cs="Times New Roman"/>
          <w:sz w:val="28"/>
        </w:rPr>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pPr>
        <w:pStyle w:val="BodyText"/>
        <w:keepNext w:val="true"/>
        <w:spacing w:lineRule="auto" w:line="240" w:before="0" w:after="0"/>
        <w:ind w:hanging="0"/>
        <w:jc w:val="center"/>
        <w:rPr/>
      </w:pPr>
      <w:r>
        <w:rPr/>
        <w:drawing>
          <wp:inline distT="0" distB="0" distL="0" distR="0">
            <wp:extent cx="5760085" cy="2879725"/>
            <wp:effectExtent l="0" t="0" r="0" b="0"/>
            <wp:docPr id="301" name="2.3.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pPr>
        <w:pStyle w:val="BodyText"/>
        <w:spacing w:lineRule="auto" w:line="240" w:before="120" w:after="240"/>
        <w:ind w:hanging="0"/>
        <w:jc w:val="center"/>
        <w:rPr/>
      </w:pPr>
      <w:r>
        <w:rPr>
          <w:rFonts w:eastAsia="Times New Roman" w:cs="Times New Roman"/>
          <w:b/>
          <w:sz w:val="28"/>
        </w:rPr>
        <w:t>2.3.5-rasm. «O‘zsanoatqurilishbank» ATB va «Mikrokreditbank» ATB da yashirin kredit riski koeffitsiyenti</w:t>
      </w:r>
      <w:r>
        <w:rPr>
          <w:rStyle w:val="FootnoteReference"/>
        </w:rPr>
        <w:footnoteReference w:id="233"/>
      </w:r>
    </w:p>
    <w:p>
      <w:pPr>
        <w:pStyle w:val="BodyText"/>
        <w:spacing w:lineRule="auto" w:line="360" w:before="0" w:after="0"/>
        <w:ind w:firstLine="709"/>
        <w:jc w:val="both"/>
        <w:rPr/>
      </w:pPr>
      <w:r>
        <w:rPr>
          <w:rFonts w:eastAsia="Times New Roman" w:cs="Times New Roman"/>
          <w:sz w:val="28"/>
        </w:rPr>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234"/>
      </w:r>
      <w:r>
        <w:rPr>
          <w:rFonts w:eastAsia="Times New Roman" w:cs="Times New Roman"/>
          <w:sz w:val="28"/>
        </w:rPr>
        <w:t>.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Rule="auto" w:line="360" w:before="0" w:after="0"/>
        <w:ind w:firstLine="709"/>
        <w:jc w:val="both"/>
        <w:rPr/>
      </w:pPr>
      <w:r>
        <w:rPr>
          <w:rFonts w:eastAsia="Times New Roman" w:cs="Times New Roman"/>
          <w:sz w:val="28"/>
        </w:rPr>
        <w:t>«Mikrokreditbank» ATB bo‘yicha solishtirish natijalari esa tafovutning yana bir jihatini – zararlarni tan olish vaqtidagi farqni ochib beradi (2.3.3-jadval).</w:t>
      </w:r>
    </w:p>
    <w:p>
      <w:pPr>
        <w:pStyle w:val="BodyText"/>
        <w:keepNext w:val="true"/>
        <w:spacing w:lineRule="auto" w:line="360" w:before="120" w:after="0"/>
        <w:ind w:hanging="0"/>
        <w:jc w:val="right"/>
        <w:rPr/>
      </w:pPr>
      <w:r>
        <w:rPr>
          <w:rFonts w:eastAsia="Times New Roman" w:cs="Times New Roman"/>
          <w:i/>
          <w:sz w:val="28"/>
        </w:rPr>
        <w:t>2.3.3-jadval</w:t>
      </w:r>
    </w:p>
    <w:p>
      <w:pPr>
        <w:pStyle w:val="BodyText"/>
        <w:keepNext w:val="true"/>
        <w:spacing w:lineRule="auto" w:line="240" w:before="0" w:after="120"/>
        <w:ind w:hanging="0"/>
        <w:jc w:val="center"/>
        <w:rPr/>
      </w:pPr>
      <w:r>
        <w:rPr>
          <w:rFonts w:eastAsia="Times New Roman" w:cs="Times New Roman"/>
          <w:b/>
          <w:bCs/>
          <w:sz w:val="28"/>
        </w:rPr>
        <w:t>«Mikrokreditbank» ATB ning asosiy ko‘rsatkichlari: milliy hisobot va MHXS, 2021–2025-yillar</w:t>
      </w:r>
      <w:r>
        <w:rPr>
          <w:rStyle w:val="FootnoteReference"/>
        </w:rPr>
        <w:footnoteReference w:id="235"/>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1228"/>
        <w:gridCol w:w="1230"/>
        <w:gridCol w:w="1228"/>
        <w:gridCol w:w="1229"/>
        <w:gridCol w:w="1228"/>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23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22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2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Jami aktivlar,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13 483,4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16 782,5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19 061,5</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23 542,5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30 728,8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12 802,3</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16 521,3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18 244,1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23 851,4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30 969,3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Xususiy kapital,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2 321,1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3 643,9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3 933,6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3 550,6</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5 739,2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2 291,6</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3 650,9</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3 578,1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4 101,3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6 270,8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Tafovut,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9,0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+9,3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foyda (zarar), mlrd so‘m: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38,4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41,1</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1 703,8</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160,8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5,1</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10,4</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471,2</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961,3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(milliy) / 3-bosqich (MHXS), %</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5,9 / 17,4</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4,8 / 13,5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6,0 / 16,6</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4,6 / 15,2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 / 12,3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Birinchi darajali asosiy kapital monandligi, %: milliy</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13,22</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20,03</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17,60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12,95</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16,39</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asosida qayta hisoblangan</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13,59</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20,17</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16,20</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15,02</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18,24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Yashirin kredit riski koeffitsiyenti</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2,95</w:t>
            </w:r>
          </w:p>
        </w:tc>
        <w:tc>
          <w:tcPr>
            <w:tcW w:w="123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2,81</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2,77</w:t>
            </w:r>
          </w:p>
        </w:tc>
        <w:tc>
          <w:tcPr>
            <w:tcW w:w="122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3,30</w:t>
            </w:r>
          </w:p>
        </w:tc>
        <w:tc>
          <w:tcPr>
            <w:tcW w:w="12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2,80</w:t>
            </w:r>
          </w:p>
        </w:tc>
      </w:tr>
    </w:tbl>
    <w:p>
      <w:pPr>
        <w:pStyle w:val="BodyText"/>
        <w:spacing w:lineRule="auto" w:line="360" w:before="0" w:after="0"/>
        <w:ind w:firstLine="709"/>
        <w:jc w:val="both"/>
        <w:rPr/>
      </w:pPr>
      <w:r>
        <w:rPr>
          <w:rFonts w:eastAsia="Times New Roman" w:cs="Times New Roman"/>
          <w:sz w:val="28"/>
        </w:rP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236"/>
      </w:r>
      <w:r>
        <w:rPr>
          <w:rFonts w:eastAsia="Times New Roman" w:cs="Times New Roman"/>
          <w:sz w:val="28"/>
        </w:rPr>
        <w:t>, milliy hisobotda esa shu yili 41,1 mlrd so‘m foyda ko‘rsatilgan. 2024-yilda esa milliy hisobotda 1 703,8 mlrd so‘m zarar bir yo‘la tan olingan, MHXS bo‘yicha zarar 961,3 mlrd so‘mni tashkil etgan (2.3.6-rasm).</w:t>
      </w:r>
    </w:p>
    <w:p>
      <w:pPr>
        <w:pStyle w:val="BodyText"/>
        <w:keepNext w:val="true"/>
        <w:spacing w:lineRule="auto" w:line="240" w:before="0" w:after="0"/>
        <w:ind w:hanging="0"/>
        <w:jc w:val="center"/>
        <w:rPr/>
      </w:pPr>
      <w:r>
        <w:rPr/>
        <w:drawing>
          <wp:inline distT="0" distB="0" distL="0" distR="0">
            <wp:extent cx="5760085" cy="2879725"/>
            <wp:effectExtent l="0" t="0" r="0" b="0"/>
            <wp:docPr id="302" name="2.3.6-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pPr>
        <w:pStyle w:val="BodyText"/>
        <w:spacing w:lineRule="auto" w:line="240" w:before="120" w:after="240"/>
        <w:ind w:hanging="0"/>
        <w:jc w:val="center"/>
        <w:rPr/>
      </w:pPr>
      <w:r>
        <w:rPr>
          <w:rFonts w:eastAsia="Times New Roman" w:cs="Times New Roman"/>
          <w:b/>
          <w:sz w:val="28"/>
        </w:rPr>
        <w:t>2.3.6-rasm. «Mikrokreditbank» ATB ning sof foydasi (zarari): milliy hisobot va MHXS, mlrd so‘m</w:t>
      </w:r>
      <w:r>
        <w:rPr>
          <w:rStyle w:val="FootnoteReference"/>
        </w:rPr>
        <w:footnoteReference w:id="237"/>
      </w:r>
    </w:p>
    <w:p>
      <w:pPr>
        <w:pStyle w:val="BodyText"/>
        <w:spacing w:lineRule="auto" w:line="360" w:before="0" w:after="0"/>
        <w:ind w:firstLine="709"/>
        <w:jc w:val="both"/>
        <w:rPr/>
      </w:pPr>
      <w:r>
        <w:rPr>
          <w:rFonts w:eastAsia="Times New Roman" w:cs="Times New Roman"/>
          <w:sz w:val="28"/>
        </w:rPr>
        <w:t>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Rule="auto" w:line="360" w:before="0" w:after="0"/>
        <w:ind w:firstLine="709"/>
        <w:jc w:val="both"/>
        <w:rPr/>
      </w:pPr>
      <w:r>
        <w:rPr>
          <w:rFonts w:eastAsia="Times New Roman" w:cs="Times New Roman"/>
          <w:sz w:val="28"/>
        </w:rP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238"/>
      </w:r>
      <w:r>
        <w:rPr>
          <w:rFonts w:eastAsia="Times New Roman" w:cs="Times New Roman"/>
          <w:sz w:val="28"/>
        </w:rP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239"/>
      </w:r>
      <w:r>
        <w:rPr>
          <w:rFonts w:eastAsia="Times New Roman" w:cs="Times New Roman"/>
          <w:sz w:val="28"/>
        </w:rP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240"/>
      </w:r>
      <w:r>
        <w:rPr>
          <w:rStyle w:val="FootnoteReference"/>
        </w:rPr>
        <w:footnoteReference w:id="241"/>
      </w:r>
      <w:r>
        <w:rPr>
          <w:rFonts w:eastAsia="Times New Roman" w:cs="Times New Roman"/>
          <w:sz w:val="28"/>
        </w:rPr>
        <w:t>. Likvidlikni qoplash koeffitsiyenti uchun esa milliy amaliyotda yuqori likvid aktivlarga kiritiladigan, ammo Bazel III da bunday aktiv hisoblanmaydigan boshqa banklardagi mablag‘lar alohida ajratildi</w:t>
      </w:r>
      <w:r>
        <w:rPr>
          <w:rStyle w:val="FootnoteReference"/>
        </w:rPr>
        <w:footnoteReference w:id="242"/>
      </w:r>
      <w:r>
        <w:rPr>
          <w:rFonts w:eastAsia="Times New Roman" w:cs="Times New Roman"/>
          <w:sz w:val="28"/>
        </w:rPr>
        <w:t>. Hisob-kitob natijalari 2.3.4-jadvalda keltirildi.</w:t>
      </w:r>
    </w:p>
    <w:p>
      <w:pPr>
        <w:pStyle w:val="BodyText"/>
        <w:keepNext w:val="true"/>
        <w:spacing w:lineRule="auto" w:line="360" w:before="120" w:after="0"/>
        <w:ind w:hanging="0"/>
        <w:jc w:val="right"/>
        <w:rPr/>
      </w:pPr>
      <w:r>
        <w:rPr>
          <w:rFonts w:eastAsia="Times New Roman" w:cs="Times New Roman"/>
          <w:i/>
          <w:sz w:val="28"/>
        </w:rPr>
        <w:t>2.3.4-jadval</w:t>
      </w:r>
    </w:p>
    <w:p>
      <w:pPr>
        <w:pStyle w:val="BodyText"/>
        <w:keepNext w:val="true"/>
        <w:spacing w:lineRule="auto" w:line="240" w:before="0" w:after="120"/>
        <w:ind w:hanging="0"/>
        <w:jc w:val="center"/>
        <w:rPr/>
      </w:pPr>
      <w:r>
        <w:rPr>
          <w:rFonts w:eastAsia="Times New Roman" w:cs="Times New Roman"/>
          <w:b/>
          <w:bCs/>
          <w:sz w:val="28"/>
        </w:rPr>
        <w:t>«O‘zsanoatqurilishbank» ATB moliyaviy barqarorlik ko‘rsatkichlarining milliy va xalqaro yondashuv bo‘yicha tafovuti, 2025-yil yakuni</w:t>
      </w:r>
      <w:r>
        <w:rPr>
          <w:rStyle w:val="FootnoteReference"/>
        </w:rPr>
        <w:footnoteReference w:id="243"/>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35"/>
        <w:gridCol w:w="2955"/>
        <w:gridCol w:w="1654"/>
        <w:gridCol w:w="1654"/>
        <w:gridCol w:w="1891"/>
      </w:tblGrid>
      <w:tr>
        <w:trPr>
          <w:tblHeader w:val="true"/>
          <w:cantSplit w:val="true"/>
        </w:trPr>
        <w:tc>
          <w:tcPr>
            <w:tcW w:w="153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Blok</w:t>
            </w:r>
          </w:p>
        </w:tc>
        <w:tc>
          <w:tcPr>
            <w:tcW w:w="295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65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Milliy hisobot va metodika</w:t>
            </w:r>
          </w:p>
        </w:tc>
        <w:tc>
          <w:tcPr>
            <w:tcW w:w="165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MHXS va Bazel III</w:t>
            </w:r>
          </w:p>
        </w:tc>
        <w:tc>
          <w:tcPr>
            <w:tcW w:w="189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Tafovut</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(3-bosqich) ulushi,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2,53</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7,48</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+4,95 p.p. (2,96 barobar)</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Substandart kreditlar (2-bosqich) ulushi,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18,44</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35,66</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+17,22 p.p. (1,93 barobar)</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 zaxiralari, mlrd so‘m</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2 947,5</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4 250,9</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+44,2%</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foyda, mlrd so‘m</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1 880,1</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1 543,8</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17,9%</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17,2</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15,7</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1,5 p.p.</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Xususiy kapital, mlrd so‘m</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11 875,2</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10 273,8</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13,5%</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Birinchi darajali asosiy kapital monandligi,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10,21</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8,87</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1,34 p.p.</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Birinchi darajali kapital monandligi,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14,01</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12,66</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1,35 p.p.</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17,02</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15,32</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1,70 p.p.</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barqaror moliyalashtirish me’yori,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122,2</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124,8</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+2,6 p.p. (metodika +5,4; hisobot −2,8)</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w:t>
            </w:r>
          </w:p>
        </w:tc>
        <w:tc>
          <w:tcPr>
            <w:tcW w:w="295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Banklardagi mablag‘larning yuqori likvid aktivlardagi ulushi, %</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30,9</w:t>
            </w:r>
          </w:p>
        </w:tc>
        <w:tc>
          <w:tcPr>
            <w:tcW w:w="165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0</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III bo‘yicha yuqori likvid aktiv emas</w:t>
            </w:r>
          </w:p>
        </w:tc>
      </w:tr>
    </w:tbl>
    <w:p>
      <w:pPr>
        <w:pStyle w:val="BodyText"/>
        <w:spacing w:lineRule="auto" w:line="360" w:before="0" w:after="0"/>
        <w:ind w:firstLine="709"/>
        <w:jc w:val="both"/>
        <w:rPr/>
      </w:pPr>
      <w:r>
        <w:rPr>
          <w:rFonts w:eastAsia="Times New Roman" w:cs="Times New Roman"/>
          <w:sz w:val="28"/>
        </w:rPr>
        <w:t>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w:pPr>
        <w:pStyle w:val="BodyText"/>
        <w:keepNext w:val="true"/>
        <w:spacing w:lineRule="auto" w:line="240" w:before="0" w:after="0"/>
        <w:ind w:hanging="0"/>
        <w:jc w:val="center"/>
        <w:rPr/>
      </w:pPr>
      <w:r>
        <w:rPr/>
        <w:drawing>
          <wp:inline distT="0" distB="0" distL="0" distR="0">
            <wp:extent cx="5760085" cy="2879725"/>
            <wp:effectExtent l="0" t="0" r="0" b="0"/>
            <wp:docPr id="303" name="2.3.7-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pPr>
        <w:pStyle w:val="BodyText"/>
        <w:spacing w:lineRule="auto" w:line="240" w:before="120" w:after="240"/>
        <w:ind w:hanging="0"/>
        <w:jc w:val="center"/>
        <w:rPr/>
      </w:pPr>
      <w:r>
        <w:rPr>
          <w:rFonts w:eastAsia="Times New Roman" w:cs="Times New Roman"/>
          <w:b/>
          <w:sz w:val="28"/>
        </w:rPr>
        <w:t>2.3.7-rasm. «O‘zsanoatqurilishbank» ATB ko‘rsatkichlarining milliy va xalqaro yondashuv bo‘yicha nisbiy tafovuti, 2025-yil, %</w:t>
      </w:r>
      <w:r>
        <w:rPr>
          <w:rStyle w:val="FootnoteReference"/>
        </w:rPr>
        <w:footnoteReference w:id="244"/>
      </w:r>
    </w:p>
    <w:p>
      <w:pPr>
        <w:pStyle w:val="BodyText"/>
        <w:spacing w:lineRule="auto" w:line="360" w:before="0" w:after="0"/>
        <w:ind w:firstLine="709"/>
        <w:jc w:val="both"/>
        <w:rPr/>
      </w:pPr>
      <w:r>
        <w:rPr>
          <w:rFonts w:eastAsia="Times New Roman" w:cs="Times New Roman"/>
          <w:sz w:val="28"/>
        </w:rP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Rule="auto" w:line="360" w:before="0" w:after="0"/>
        <w:ind w:firstLine="709"/>
        <w:jc w:val="both"/>
        <w:rPr/>
      </w:pPr>
      <w:r>
        <w:rPr>
          <w:rFonts w:eastAsia="Times New Roman" w:cs="Times New Roman"/>
          <w:sz w:val="28"/>
        </w:rP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245"/>
      </w:r>
      <w:r>
        <w:rPr>
          <w:rFonts w:eastAsia="Times New Roman" w:cs="Times New Roman"/>
          <w:sz w:val="28"/>
        </w:rPr>
        <w:t>, Markaziy bank tomonidan qabul qilingan «yo‘l xaritasi»da esa aktivlar tasnifi va zaxiralarni MHXS 9 ga moslashtirish ishlari belgilangan</w:t>
      </w:r>
      <w:r>
        <w:rPr>
          <w:rStyle w:val="FootnoteReference"/>
        </w:rPr>
        <w:footnoteReference w:id="246"/>
      </w:r>
      <w:r>
        <w:rPr>
          <w:rFonts w:eastAsia="Times New Roman" w:cs="Times New Roman"/>
          <w:sz w:val="28"/>
        </w:rPr>
        <w:t>.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Rule="auto" w:line="360" w:before="0" w:after="0"/>
        <w:ind w:firstLine="709"/>
        <w:jc w:val="both"/>
        <w:rPr/>
      </w:pPr>
      <w:bookmarkStart w:id="31" w:name="Xbcd6da71180214302fa2c75f57626c82e5c9a7c"/>
      <w:r>
        <w:rPr>
          <w:rFonts w:eastAsia="Times New Roman" w:cs="Times New Roman"/>
          <w:sz w:val="28"/>
        </w:rPr>
        <w:t>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bookmarkEnd w:id="31"/>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32" w:name="__RefHeading___Toc38202_2843893380"/>
      <w:bookmarkStart w:id="33" w:name="ii-bob-boyicha-xulosalar"/>
      <w:bookmarkEnd w:id="32"/>
      <w:r>
        <w:rPr>
          <w:rFonts w:eastAsia="Times New Roman" w:cs="Times New Roman" w:ascii="Times New Roman" w:hAnsi="Times New Roman"/>
          <w:b/>
          <w:i w:val="false"/>
          <w:sz w:val="28"/>
        </w:rPr>
        <w:t>II bob bo‘yicha xulosalar</w:t>
      </w:r>
    </w:p>
    <w:p>
      <w:pPr>
        <w:pStyle w:val="FirstParagraph"/>
        <w:spacing w:lineRule="auto" w:line="360" w:before="0" w:after="0"/>
        <w:ind w:firstLine="709"/>
        <w:jc w:val="both"/>
        <w:rPr/>
      </w:pPr>
      <w:r>
        <w:rPr>
          <w:rFonts w:eastAsia="Times New Roman" w:cs="Times New Roman"/>
          <w:sz w:val="28"/>
        </w:rPr>
        <w:t>Dissertatsiyaning ikkinchi bobida O‘zbekiston bank tizimida moliyaviy barqarorlikni baholash amaliyotining xalqaro standartlarga muvofiqligi tahlil qilindi va quyidagi xulosalar shakllantirildi.</w:t>
      </w:r>
    </w:p>
    <w:p>
      <w:pPr>
        <w:pStyle w:val="Normal"/>
        <w:numPr>
          <w:ilvl w:val="0"/>
          <w:numId w:val="9"/>
        </w:numPr>
        <w:spacing w:lineRule="auto" w:line="360" w:before="0" w:after="0"/>
        <w:ind w:firstLine="709"/>
        <w:jc w:val="both"/>
        <w:rPr/>
      </w:pPr>
      <w:r>
        <w:rPr>
          <w:rFonts w:eastAsia="Times New Roman" w:cs="Times New Roman"/>
          <w:sz w:val="28"/>
        </w:rP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pStyle w:val="Normal"/>
        <w:numPr>
          <w:ilvl w:val="0"/>
          <w:numId w:val="9"/>
        </w:numPr>
        <w:spacing w:lineRule="auto" w:line="360" w:before="0" w:after="0"/>
        <w:ind w:firstLine="709"/>
        <w:jc w:val="both"/>
        <w:rPr/>
      </w:pPr>
      <w:r>
        <w:rPr>
          <w:rFonts w:eastAsia="Times New Roman" w:cs="Times New Roman"/>
          <w:sz w:val="28"/>
        </w:rPr>
        <w:t>Amaldagi baholash tizimida bankning barqarorligini ochiq ma’lumotlar asosida, yagona integral ko‘rsatkich orqali va istiqbolli element bilan baholaydigan vosita mavjud emas.</w:t>
      </w:r>
    </w:p>
    <w:p>
      <w:pPr>
        <w:pStyle w:val="Normal"/>
        <w:numPr>
          <w:ilvl w:val="0"/>
          <w:numId w:val="9"/>
        </w:numPr>
        <w:spacing w:lineRule="auto" w:line="360" w:before="0" w:after="0"/>
        <w:ind w:firstLine="709"/>
        <w:jc w:val="both"/>
        <w:rPr/>
      </w:pPr>
      <w:r>
        <w:rPr>
          <w:rFonts w:eastAsia="Times New Roman" w:cs="Times New Roman"/>
          <w:sz w:val="28"/>
        </w:rP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pStyle w:val="Normal"/>
        <w:numPr>
          <w:ilvl w:val="0"/>
          <w:numId w:val="9"/>
        </w:numPr>
        <w:spacing w:lineRule="auto" w:line="360" w:before="0" w:after="0"/>
        <w:ind w:firstLine="709"/>
        <w:jc w:val="both"/>
        <w:rPr/>
      </w:pPr>
      <w:r>
        <w:rPr>
          <w:rFonts w:eastAsia="Times New Roman" w:cs="Times New Roman"/>
          <w:sz w:val="28"/>
        </w:rP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pStyle w:val="Normal"/>
        <w:numPr>
          <w:ilvl w:val="0"/>
          <w:numId w:val="9"/>
        </w:numPr>
        <w:spacing w:lineRule="auto" w:line="360" w:before="0" w:after="0"/>
        <w:ind w:firstLine="709"/>
        <w:jc w:val="both"/>
        <w:rPr/>
      </w:pPr>
      <w:r>
        <w:rPr>
          <w:rFonts w:eastAsia="Times New Roman" w:cs="Times New Roman"/>
          <w:sz w:val="28"/>
        </w:rPr>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pStyle w:val="Normal"/>
        <w:numPr>
          <w:ilvl w:val="0"/>
          <w:numId w:val="9"/>
        </w:numPr>
        <w:spacing w:lineRule="auto" w:line="360" w:before="0" w:after="0"/>
        <w:ind w:firstLine="709"/>
        <w:jc w:val="both"/>
        <w:rPr/>
      </w:pPr>
      <w:r>
        <w:rPr>
          <w:rFonts w:eastAsia="Times New Roman" w:cs="Times New Roman"/>
          <w:sz w:val="28"/>
        </w:rP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pStyle w:val="Normal"/>
        <w:numPr>
          <w:ilvl w:val="0"/>
          <w:numId w:val="9"/>
        </w:numPr>
        <w:spacing w:lineRule="auto" w:line="360" w:before="0" w:after="0"/>
        <w:ind w:firstLine="709"/>
        <w:jc w:val="both"/>
        <w:rPr/>
      </w:pPr>
      <w:r>
        <w:rPr>
          <w:rFonts w:eastAsia="Times New Roman" w:cs="Times New Roman"/>
          <w:sz w:val="28"/>
        </w:rP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pStyle w:val="Normal"/>
        <w:numPr>
          <w:ilvl w:val="0"/>
          <w:numId w:val="9"/>
        </w:numPr>
        <w:spacing w:lineRule="auto" w:line="360" w:before="0" w:after="0"/>
        <w:ind w:firstLine="709"/>
        <w:jc w:val="both"/>
        <w:rPr/>
      </w:pPr>
      <w:r>
        <w:rPr>
          <w:rFonts w:eastAsia="Times New Roman" w:cs="Times New Roman"/>
          <w:sz w:val="28"/>
        </w:rPr>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pStyle w:val="Normal"/>
        <w:numPr>
          <w:ilvl w:val="0"/>
          <w:numId w:val="9"/>
        </w:numPr>
        <w:spacing w:lineRule="auto" w:line="360" w:before="0" w:after="0"/>
        <w:ind w:firstLine="709"/>
        <w:jc w:val="both"/>
        <w:rPr/>
      </w:pPr>
      <w:r>
        <w:rPr>
          <w:rFonts w:eastAsia="Times New Roman" w:cs="Times New Roman"/>
          <w:sz w:val="28"/>
        </w:rP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Rule="auto" w:line="360" w:before="0" w:after="0"/>
        <w:ind w:firstLine="709"/>
        <w:jc w:val="both"/>
        <w:rPr/>
      </w:pPr>
      <w:bookmarkStart w:id="34" w:name="ii-bob-boyicha-xulosalar"/>
      <w:r>
        <w:rPr>
          <w:rFonts w:eastAsia="Times New Roman" w:cs="Times New Roman"/>
          <w:sz w:val="28"/>
        </w:rP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bookmarkEnd w:id="34"/>
    </w:p>
    <w:p>
      <w:pPr>
        <w:pStyle w:val="Normal"/>
        <w:rPr/>
      </w:pPr>
      <w:r>
        <w:rPr/>
      </w:r>
      <w:r>
        <w:br w:type="page"/>
      </w:r>
    </w:p>
    <w:p>
      <w:pPr>
        <w:pStyle w:val="Heading1"/>
        <w:jc w:val="center"/>
        <w:rPr/>
      </w:pPr>
      <w:bookmarkStart w:id="35" w:name="__RefHeading___Toc38204_2843893380"/>
      <w:bookmarkEnd w:id="35"/>
      <w:r>
        <w:rPr/>
        <w:t>III BOB. XALQARO STANDARTLARGA ASOSLANGAN INTEGRAL BAHOLASH METODIKASI VA UNING EKONOMETRIK ASOSLANISHI</w:t>
      </w:r>
    </w:p>
    <w:p>
      <w:pPr>
        <w:pStyle w:val="Normal"/>
        <w:rPr/>
      </w:pPr>
      <w:r>
        <w:rPr/>
      </w:r>
    </w:p>
    <w:p>
      <w:pPr>
        <w:pStyle w:val="Heading2"/>
        <w:keepNext w:val="true"/>
        <w:spacing w:lineRule="auto" w:line="360" w:before="240" w:after="120"/>
        <w:ind w:hanging="0"/>
        <w:jc w:val="center"/>
        <w:rPr/>
      </w:pPr>
      <w:bookmarkStart w:id="36" w:name="__RefHeading___Toc38206_2843893380"/>
      <w:bookmarkStart w:id="37" w:name="X1b5accc681c3101e34ae1424a5e2c752f5d3c99"/>
      <w:bookmarkEnd w:id="36"/>
      <w:r>
        <w:rPr>
          <w:rFonts w:eastAsia="Times New Roman" w:cs="Times New Roman" w:ascii="Times New Roman" w:hAnsi="Times New Roman"/>
          <w:b/>
          <w:i w:val="false"/>
          <w:sz w:val="28"/>
        </w:rPr>
        <w:t>3.1-§. Moliyaviy barqarorlikni integral indeks asosida baholashning takomillashtirilgan metodikasi</w:t>
      </w:r>
    </w:p>
    <w:p>
      <w:pPr>
        <w:pStyle w:val="FirstParagraph"/>
        <w:spacing w:lineRule="auto" w:line="360" w:before="0" w:after="0"/>
        <w:ind w:firstLine="709"/>
        <w:jc w:val="both"/>
        <w:rPr/>
      </w:pPr>
      <w:r>
        <w:rPr>
          <w:rFonts w:eastAsia="Times New Roman" w:cs="Times New Roman"/>
          <w:sz w:val="28"/>
        </w:rP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247"/>
      </w:r>
      <w:r>
        <w:rPr>
          <w:rStyle w:val="FootnoteReference"/>
        </w:rPr>
        <w:footnoteReference w:customMarkFollows="1" w:id="248"/>
      </w:r>
      <w:r>
        <w:rPr>
          <w:rStyle w:val="FootnoteReference"/>
        </w:rPr>
        <w:footnoteReference w:customMarkFollows="1" w:id="249"/>
      </w:r>
      <w:r>
        <w:rPr>
          <w:rStyle w:val="FootnoteReference"/>
        </w:rPr>
        <w:footnoteReference w:customMarkFollows="1" w:id="250"/>
      </w:r>
      <w:r>
        <w:rPr>
          <w:rStyle w:val="FootnoteReference"/>
        </w:rPr>
        <w:footnoteReference w:customMarkFollows="1" w:id="251"/>
      </w:r>
      <w:r>
        <w:rPr>
          <w:rStyle w:val="FootnoteReference"/>
        </w:rPr>
        <w:footnoteReference w:customMarkFollows="1" w:id="252"/>
      </w:r>
      <w:r>
        <w:rPr>
          <w:rStyle w:val="FootnoteReference"/>
        </w:rPr>
        <w:footnoteReference w:customMarkFollows="1" w:id="253"/>
      </w:r>
      <w:r>
        <w:rPr>
          <w:rStyle w:val="FootnoteReference"/>
        </w:rPr>
        <w:footnoteReference w:customMarkFollows="1" w:id="254"/>
      </w:r>
      <w:r>
        <w:rPr>
          <w:rStyle w:val="FootnoteReference"/>
        </w:rPr>
        <w:footnoteReference w:customMarkFollows="1" w:id="255"/>
      </w:r>
      <w:r>
        <w:rPr>
          <w:rStyle w:val="FootnoteReference"/>
        </w:rPr>
        <w:footnoteReference w:customMarkFollows="1" w:id="256"/>
      </w:r>
      <w:r>
        <w:rPr>
          <w:rStyle w:val="FootnoteReference"/>
        </w:rPr>
        <w:footnoteReference w:customMarkFollows="1" w:id="257"/>
      </w:r>
      <w:r>
        <w:rPr>
          <w:rStyle w:val="FootnoteReference"/>
        </w:rPr>
        <w:footnoteReference w:customMarkFollows="1" w:id="258"/>
      </w:r>
      <w:r>
        <w:rPr>
          <w:rStyle w:val="FootnoteReference"/>
        </w:rPr>
        <w:footnoteReference w:customMarkFollows="1" w:id="259"/>
      </w:r>
      <w:r>
        <w:rPr>
          <w:rStyle w:val="FootnoteReference"/>
        </w:rPr>
        <w:footnoteReference w:customMarkFollows="1" w:id="260"/>
      </w:r>
      <w:r>
        <w:rPr>
          <w:rStyle w:val="FootnoteReference"/>
        </w:rPr>
        <w:footnoteReference w:customMarkFollows="1" w:id="261"/>
      </w:r>
      <w:r>
        <w:rPr>
          <w:rStyle w:val="FootnoteReference"/>
        </w:rPr>
        <w:footnoteReference w:customMarkFollows="1" w:id="262"/>
      </w:r>
      <w:r>
        <w:rPr>
          <w:rStyle w:val="FootnoteReference"/>
        </w:rPr>
        <w:footnoteReference w:customMarkFollows="1" w:id="263"/>
      </w:r>
      <w:r>
        <w:rPr>
          <w:rStyle w:val="FootnoteReference"/>
        </w:rPr>
        <w:footnoteReference w:customMarkFollows="1" w:id="264"/>
      </w:r>
      <w:r>
        <w:rPr>
          <w:rStyle w:val="FootnoteReference"/>
        </w:rPr>
        <w:footnoteReference w:customMarkFollows="1" w:id="265"/>
      </w:r>
      <w:r>
        <w:rPr>
          <w:rStyle w:val="FootnoteReference"/>
        </w:rPr>
        <w:footnoteReference w:customMarkFollows="1" w:id="266"/>
      </w:r>
      <w:r>
        <w:rPr>
          <w:rStyle w:val="FootnoteReference"/>
        </w:rPr>
        <w:footnoteReference w:customMarkFollows="1" w:id="267"/>
      </w:r>
      <w:r>
        <w:rPr>
          <w:rStyle w:val="FootnoteReference"/>
        </w:rPr>
        <w:footnoteReference w:customMarkFollows="1" w:id="268"/>
      </w:r>
      <w:r>
        <w:rPr>
          <w:rStyle w:val="FootnoteReference"/>
        </w:rPr>
        <w:footnoteReference w:customMarkFollows="1" w:id="269"/>
      </w:r>
      <w:r>
        <w:rPr>
          <w:rStyle w:val="FootnoteReference"/>
        </w:rPr>
        <w:footnoteReference w:customMarkFollows="1" w:id="270"/>
      </w:r>
      <w:r>
        <w:rPr>
          <w:rStyle w:val="FootnoteReference"/>
        </w:rPr>
        <w:footnoteReference w:customMarkFollows="1" w:id="271"/>
      </w:r>
      <w:r>
        <w:rPr>
          <w:rStyle w:val="FootnoteReference"/>
        </w:rPr>
        <w:footnoteReference w:customMarkFollows="1" w:id="272"/>
      </w:r>
      <w:r>
        <w:rPr>
          <w:rStyle w:val="FootnoteReference"/>
        </w:rPr>
        <w:footnoteReference w:customMarkFollows="1" w:id="273"/>
      </w:r>
      <w:r>
        <w:rPr>
          <w:rStyle w:val="FootnoteReference"/>
        </w:rPr>
        <w:footnoteReference w:customMarkFollows="1" w:id="274"/>
      </w:r>
      <w:r>
        <w:rPr>
          <w:rStyle w:val="FootnoteReference"/>
        </w:rPr>
        <w:footnoteReference w:customMarkFollows="1" w:id="275"/>
      </w:r>
      <w:r>
        <w:rPr>
          <w:rStyle w:val="FootnoteReference"/>
        </w:rPr>
        <w:footnoteReference w:customMarkFollows="1" w:id="276"/>
      </w:r>
      <w:r>
        <w:rPr>
          <w:rStyle w:val="FootnoteReference"/>
        </w:rPr>
        <w:footnoteReference w:customMarkFollows="1" w:id="277"/>
      </w:r>
      <w:r>
        <w:rPr>
          <w:rStyle w:val="FootnoteReference"/>
        </w:rPr>
        <w:footnoteReference w:customMarkFollows="1" w:id="278"/>
      </w:r>
      <w:r>
        <w:rPr>
          <w:rStyle w:val="FootnoteReference"/>
        </w:rPr>
        <w:footnoteReference w:customMarkFollows="1" w:id="279"/>
      </w:r>
      <w:r>
        <w:rPr>
          <w:rStyle w:val="FootnoteReference"/>
        </w:rPr>
        <w:footnoteReference w:customMarkFollows="1" w:id="280"/>
      </w:r>
      <w:r>
        <w:rPr>
          <w:rStyle w:val="FootnoteReference"/>
        </w:rPr>
        <w:footnoteReference w:customMarkFollows="1" w:id="281"/>
      </w:r>
      <w:r>
        <w:rPr>
          <w:rStyle w:val="FootnoteReference"/>
        </w:rPr>
        <w:footnoteReference w:customMarkFollows="1" w:id="282"/>
      </w:r>
      <w:r>
        <w:rPr>
          <w:rStyle w:val="FootnoteReference"/>
        </w:rPr>
        <w:footnoteReference w:customMarkFollows="1" w:id="283"/>
      </w:r>
      <w:r>
        <w:rPr>
          <w:rFonts w:eastAsia="Times New Roman" w:cs="Times New Roman"/>
          <w:sz w:val="28"/>
        </w:rPr>
        <w:t>.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284"/>
      </w:r>
      <w:r>
        <w:rPr>
          <w:rStyle w:val="FootnoteReference"/>
        </w:rPr>
        <w:footnoteReference w:id="285"/>
      </w:r>
      <w:r>
        <w:rPr>
          <w:rFonts w:eastAsia="Times New Roman" w:cs="Times New Roman"/>
          <w:sz w:val="28"/>
        </w:rPr>
        <w:t>.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286"/>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Metodikaga qo‘yiladigan talablarni aniqlash uchun ikkinchi bobda aniqlangan har bir muammo uning yechimi bo‘lishi lozim bo‘lgan metodika elementi bilan solishtirildi (3.1.1-jadval).</w:t>
      </w:r>
    </w:p>
    <w:p>
      <w:pPr>
        <w:pStyle w:val="BodyText"/>
        <w:keepNext w:val="true"/>
        <w:spacing w:lineRule="auto" w:line="360" w:before="120" w:after="0"/>
        <w:ind w:hanging="0"/>
        <w:jc w:val="right"/>
        <w:rPr/>
      </w:pPr>
      <w:r>
        <w:rPr>
          <w:rFonts w:eastAsia="Times New Roman" w:cs="Times New Roman"/>
          <w:i/>
          <w:sz w:val="28"/>
        </w:rPr>
        <w:t>3.1.1-jadval</w:t>
      </w:r>
    </w:p>
    <w:p>
      <w:pPr>
        <w:pStyle w:val="BodyText"/>
        <w:keepNext w:val="true"/>
        <w:spacing w:lineRule="auto" w:line="240" w:before="0" w:after="120"/>
        <w:ind w:hanging="0"/>
        <w:jc w:val="center"/>
        <w:rPr/>
      </w:pPr>
      <w:r>
        <w:rPr>
          <w:rFonts w:eastAsia="Times New Roman" w:cs="Times New Roman"/>
          <w:b/>
          <w:bCs/>
          <w:sz w:val="28"/>
        </w:rPr>
        <w:t>Amaldagi baholash tizimi muammolari va ularni hal etuvchi metodika elementlari</w:t>
      </w:r>
      <w:r>
        <w:rPr>
          <w:rStyle w:val="FootnoteReference"/>
        </w:rPr>
        <w:footnoteReference w:id="287"/>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189"/>
        <w:gridCol w:w="3072"/>
        <w:gridCol w:w="3428"/>
      </w:tblGrid>
      <w:tr>
        <w:trPr>
          <w:tblHeader w:val="true"/>
          <w:cantSplit w:val="true"/>
        </w:trPr>
        <w:tc>
          <w:tcPr>
            <w:tcW w:w="318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Aniqlangan muammo</w:t>
            </w:r>
          </w:p>
        </w:tc>
        <w:tc>
          <w:tcPr>
            <w:tcW w:w="307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Dalil (II bob)</w:t>
            </w:r>
          </w:p>
        </w:tc>
        <w:tc>
          <w:tcPr>
            <w:tcW w:w="342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Metodika elementi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Ko‘rsatkichlar turli yo‘nalishda signal beradi, yagona baho yo‘q</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 kapital va likvidlik yuqori, aktivlar sifati zaif</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Bloklar baholarini vaznlab birlashtiruvchi integral indeks</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muammoli kreditlar ko‘rsatkichi kredit riskini kamsitadi</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yashirin kredit riski koeffitsiyenti 1,65–3,30</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 MHXS 9 bosqichlari bo‘yicha baholanadi, milliy ma’lumotlar tuzatiladi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MHXS bo‘yicha kam, tafovut ortib bormoqda</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CET1 10,21% o‘rniga 8,87%</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bloki MHXS asosida qayta hisoblangan koeffitsiyentlarni qamraydi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me’yorlari Bazel III dan soddalashtirilgan</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2.3-§: NSFR metodika farqi 5,4 foiz punkt, LCR da banklardagi mablag‘lar 30,9%</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bloki Bazel III metodikasi bo‘yicha hisoblanadi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Chegaralar faqat «bajarildi – bajarilmadi» shaklida</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2.1-§: normativlar faqat bajarilgan yoki bajarilmagani bo‘yicha nazorat qilinadi</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Har bir ko‘rsatkich uchun to‘rt darajali chegaralar va uzluksiz ball</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Dollarlashuv yuqori, valyuta riski baholanmaydi</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 xorijiy valyutadagi kreditlar ulushi 38–49%</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Valyuta riskiga sezgirlik bloki</w:t>
            </w:r>
          </w:p>
        </w:tc>
      </w:tr>
      <w:tr>
        <w:trPr>
          <w:cantSplit w:val="true"/>
        </w:trPr>
        <w:tc>
          <w:tcPr>
            <w:tcW w:w="318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banklarida kapital davlat ko‘magiga bog‘liq</w:t>
            </w:r>
          </w:p>
        </w:tc>
        <w:tc>
          <w:tcPr>
            <w:tcW w:w="30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2.2-§: «Mikrokreditbank» ATB qayta kapitallashtirilgan</w:t>
            </w:r>
          </w:p>
        </w:tc>
        <w:tc>
          <w:tcPr>
            <w:tcW w:w="342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Indeksni davlat ko‘magisiz hisoblash imkoniyati (3.2-§)</w:t>
            </w:r>
          </w:p>
        </w:tc>
      </w:tr>
    </w:tbl>
    <w:p>
      <w:pPr>
        <w:pStyle w:val="BodyText"/>
        <w:spacing w:lineRule="auto" w:line="360" w:before="0" w:after="0"/>
        <w:ind w:firstLine="709"/>
        <w:jc w:val="both"/>
        <w:rPr/>
      </w:pPr>
      <w:r>
        <w:rPr>
          <w:rFonts w:eastAsia="Times New Roman" w:cs="Times New Roman"/>
          <w:sz w:val="28"/>
        </w:rP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pPr>
        <w:pStyle w:val="BodyText"/>
        <w:keepNext w:val="true"/>
        <w:spacing w:lineRule="auto" w:line="240" w:before="0" w:after="0"/>
        <w:ind w:hanging="0"/>
        <w:jc w:val="center"/>
        <w:rPr/>
      </w:pPr>
      <w:r>
        <w:rPr/>
        <mc:AlternateContent>
          <mc:Choice Requires="wpg">
            <w:drawing>
              <wp:inline distT="0" distB="0" distL="0" distR="0">
                <wp:extent cx="5939790" cy="1943735"/>
                <wp:effectExtent l="0" t="0" r="0" b="0"/>
                <wp:docPr id="304" name="3.1.1-rasm"/>
                <a:graphic xmlns:a="http://schemas.openxmlformats.org/drawingml/2006/main">
                  <a:graphicData uri="http://schemas.microsoft.com/office/word/2010/wordprocessingGroup">
                    <wpg:wgp>
                      <wpg:cNvGrpSpPr/>
                      <wpg:grpSpPr>
                        <a:xfrm>
                          <a:off x="0" y="0"/>
                          <a:ext cx="5939640" cy="1943640"/>
                          <a:chOff x="0" y="0"/>
                          <a:chExt cx="5939640" cy="1943640"/>
                        </a:xfrm>
                      </wpg:grpSpPr>
                      <wps:wsp>
                        <wps:cNvPr id="305" name="Shape 2"/>
                        <wps:cNvSpPr/>
                        <wps:spPr>
                          <a:xfrm>
                            <a:off x="0" y="0"/>
                            <a:ext cx="1319400" cy="777240"/>
                          </a:xfrm>
                          <a:prstGeom prst="roundRect">
                            <a:avLst>
                              <a:gd name="adj" fmla="val 10000"/>
                            </a:avLst>
                          </a:prstGeom>
                          <a:solidFill>
                            <a:srgbClr val="1f4e79"/>
                          </a:solidFill>
                          <a:ln w="12700">
                            <a:solidFill>
                              <a:srgbClr val="1f4e79"/>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1. Ma’lumotlar:</w:t>
                              </w:r>
                            </w:p>
                            <w:p>
                              <w:pPr>
                                <w:pStyle w:val="Normal"/>
                                <w:spacing w:lineRule="auto" w:line="228" w:before="0" w:after="0"/>
                                <w:ind w:hanging="0"/>
                                <w:jc w:val="center"/>
                                <w:rPr/>
                              </w:pPr>
                              <w:r>
                                <w:rPr>
                                  <w:rFonts w:cs="Times New Roman"/>
                                  <w:b/>
                                  <w:color w:val="FFFFFF"/>
                                  <w:sz w:val="20"/>
                                  <w:szCs w:val="20"/>
                                </w:rPr>
                                <w:t>milliy hisobot /</w:t>
                              </w:r>
                            </w:p>
                            <w:p>
                              <w:pPr>
                                <w:pStyle w:val="Normal"/>
                                <w:spacing w:lineRule="auto" w:line="228" w:before="0" w:after="0"/>
                                <w:ind w:hanging="0"/>
                                <w:jc w:val="center"/>
                                <w:rPr/>
                              </w:pPr>
                              <w:r>
                                <w:rPr>
                                  <w:rFonts w:cs="Times New Roman"/>
                                  <w:b/>
                                  <w:color w:val="FFFFFF"/>
                                  <w:sz w:val="20"/>
                                  <w:szCs w:val="20"/>
                                </w:rPr>
                                <w:t>MHXS hisoboti</w:t>
                              </w:r>
                            </w:p>
                            <w:p>
                              <w:pPr>
                                <w:pStyle w:val="FrameContents"/>
                                <w:spacing w:before="0" w:after="200"/>
                                <w:rPr/>
                              </w:pPr>
                              <w:r>
                                <w:rPr/>
                              </w:r>
                            </w:p>
                          </w:txbxContent>
                        </wps:txbx>
                        <wps:bodyPr lIns="36360" rIns="36360" tIns="17640" bIns="17640" anchor="ctr">
                          <a:noAutofit/>
                        </wps:bodyPr>
                      </wps:wsp>
                      <wps:wsp>
                        <wps:cNvPr id="306" name="Shape 3"/>
                        <wps:cNvSpPr/>
                        <wps:spPr>
                          <a:xfrm>
                            <a:off x="1539720" y="0"/>
                            <a:ext cx="1319400" cy="777240"/>
                          </a:xfrm>
                          <a:prstGeom prst="roundRect">
                            <a:avLst>
                              <a:gd name="adj" fmla="val 10000"/>
                            </a:avLst>
                          </a:prstGeom>
                          <a:solidFill>
                            <a:srgbClr val="eb6834"/>
                          </a:solidFill>
                          <a:ln w="12700">
                            <a:solidFill>
                              <a:srgbClr val="eb6834"/>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2. MHXS yo‘q bo‘lsa:</w:t>
                              </w:r>
                            </w:p>
                            <w:p>
                              <w:pPr>
                                <w:pStyle w:val="Normal"/>
                                <w:spacing w:lineRule="auto" w:line="228" w:before="0" w:after="0"/>
                                <w:ind w:hanging="0"/>
                                <w:jc w:val="center"/>
                                <w:rPr/>
                              </w:pPr>
                              <w:r>
                                <w:rPr>
                                  <w:rFonts w:cs="Times New Roman"/>
                                  <w:b/>
                                  <w:color w:val="FFFFFF"/>
                                  <w:sz w:val="20"/>
                                  <w:szCs w:val="20"/>
                                </w:rPr>
                                <w:t>tuzatish</w:t>
                              </w:r>
                            </w:p>
                            <w:p>
                              <w:pPr>
                                <w:pStyle w:val="Normal"/>
                                <w:spacing w:lineRule="auto" w:line="228" w:before="0" w:after="0"/>
                                <w:ind w:hanging="0"/>
                                <w:jc w:val="center"/>
                                <w:rPr/>
                              </w:pPr>
                              <w:r>
                                <w:rPr>
                                  <w:rFonts w:cs="Times New Roman"/>
                                  <w:b/>
                                  <w:color w:val="FFFFFF"/>
                                  <w:sz w:val="20"/>
                                  <w:szCs w:val="20"/>
                                </w:rPr>
                                <w:t>koeffitsiyentlari</w:t>
                              </w:r>
                            </w:p>
                            <w:p>
                              <w:pPr>
                                <w:pStyle w:val="FrameContents"/>
                                <w:spacing w:before="0" w:after="200"/>
                                <w:rPr/>
                              </w:pPr>
                              <w:r>
                                <w:rPr/>
                              </w:r>
                            </w:p>
                          </w:txbxContent>
                        </wps:txbx>
                        <wps:bodyPr lIns="36360" rIns="36360" tIns="17640" bIns="17640" anchor="ctr">
                          <a:noAutofit/>
                        </wps:bodyPr>
                      </wps:wsp>
                      <wps:wsp>
                        <wps:cNvPr id="307" name="Shape 4"/>
                        <wps:cNvSpPr/>
                        <wps:spPr>
                          <a:xfrm>
                            <a:off x="3080520" y="0"/>
                            <a:ext cx="1319400" cy="7772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3. 14 ta ko‘rsatkichni</w:t>
                              </w:r>
                            </w:p>
                            <w:p>
                              <w:pPr>
                                <w:pStyle w:val="Normal"/>
                                <w:spacing w:lineRule="auto" w:line="228" w:before="0" w:after="0"/>
                                <w:ind w:hanging="0"/>
                                <w:jc w:val="center"/>
                                <w:rPr/>
                              </w:pPr>
                              <w:r>
                                <w:rPr>
                                  <w:rFonts w:cs="Times New Roman"/>
                                  <w:b/>
                                  <w:color w:val="FFFFFF"/>
                                  <w:sz w:val="20"/>
                                  <w:szCs w:val="20"/>
                                </w:rPr>
                                <w:t>hisoblash</w:t>
                              </w:r>
                            </w:p>
                            <w:p>
                              <w:pPr>
                                <w:pStyle w:val="FrameContents"/>
                                <w:spacing w:before="0" w:after="200"/>
                                <w:rPr/>
                              </w:pPr>
                              <w:r>
                                <w:rPr/>
                              </w:r>
                            </w:p>
                          </w:txbxContent>
                        </wps:txbx>
                        <wps:bodyPr lIns="36360" rIns="36360" tIns="17640" bIns="17640" anchor="ctr">
                          <a:noAutofit/>
                        </wps:bodyPr>
                      </wps:wsp>
                      <wps:wsp>
                        <wps:cNvPr id="308" name="Shape 5"/>
                        <wps:cNvSpPr/>
                        <wps:spPr>
                          <a:xfrm>
                            <a:off x="4620240" y="0"/>
                            <a:ext cx="1319400" cy="777240"/>
                          </a:xfrm>
                          <a:prstGeom prst="roundRect">
                            <a:avLst>
                              <a:gd name="adj" fmla="val 10000"/>
                            </a:avLst>
                          </a:prstGeom>
                          <a:solidFill>
                            <a:srgbClr val="2a78d6"/>
                          </a:solidFill>
                          <a:ln w="12700">
                            <a:solidFill>
                              <a:srgbClr val="2a78d6"/>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4. Uzluksiz</w:t>
                              </w:r>
                            </w:p>
                            <w:p>
                              <w:pPr>
                                <w:pStyle w:val="Normal"/>
                                <w:spacing w:lineRule="auto" w:line="228" w:before="0" w:after="0"/>
                                <w:ind w:hanging="0"/>
                                <w:jc w:val="center"/>
                                <w:rPr/>
                              </w:pPr>
                              <w:r>
                                <w:rPr>
                                  <w:rFonts w:cs="Times New Roman"/>
                                  <w:b/>
                                  <w:color w:val="FFFFFF"/>
                                  <w:sz w:val="20"/>
                                  <w:szCs w:val="20"/>
                                </w:rPr>
                                <w:t>shkalada ballash</w:t>
                              </w:r>
                            </w:p>
                            <w:p>
                              <w:pPr>
                                <w:pStyle w:val="Normal"/>
                                <w:spacing w:lineRule="auto" w:line="228" w:before="0" w:after="0"/>
                                <w:ind w:hanging="0"/>
                                <w:jc w:val="center"/>
                                <w:rPr/>
                              </w:pPr>
                              <w:r>
                                <w:rPr>
                                  <w:rFonts w:cs="Times New Roman"/>
                                  <w:b/>
                                  <w:color w:val="FFFFFF"/>
                                  <w:sz w:val="20"/>
                                  <w:szCs w:val="20"/>
                                </w:rPr>
                                <w:t>(1–4)</w:t>
                              </w:r>
                            </w:p>
                            <w:p>
                              <w:pPr>
                                <w:pStyle w:val="FrameContents"/>
                                <w:spacing w:before="0" w:after="200"/>
                                <w:rPr/>
                              </w:pPr>
                              <w:r>
                                <w:rPr/>
                              </w:r>
                            </w:p>
                          </w:txbxContent>
                        </wps:txbx>
                        <wps:bodyPr lIns="36360" rIns="36360" tIns="17640" bIns="17640" anchor="ctr">
                          <a:noAutofit/>
                        </wps:bodyPr>
                      </wps:wsp>
                      <wps:wsp>
                        <wps:cNvPr id="309" name="Shape 6"/>
                        <wps:cNvSpPr/>
                        <wps:spPr>
                          <a:xfrm>
                            <a:off x="4620240" y="1166400"/>
                            <a:ext cx="1319400" cy="7772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5. Bloklar</w:t>
                              </w:r>
                            </w:p>
                            <w:p>
                              <w:pPr>
                                <w:pStyle w:val="Normal"/>
                                <w:spacing w:lineRule="auto" w:line="228" w:before="0" w:after="0"/>
                                <w:ind w:hanging="0"/>
                                <w:jc w:val="center"/>
                                <w:rPr/>
                              </w:pPr>
                              <w:r>
                                <w:rPr>
                                  <w:rFonts w:cs="Times New Roman"/>
                                  <w:b/>
                                  <w:color w:val="FFFFFF"/>
                                  <w:sz w:val="20"/>
                                  <w:szCs w:val="20"/>
                                </w:rPr>
                                <w:t>ballari</w:t>
                              </w:r>
                            </w:p>
                            <w:p>
                              <w:pPr>
                                <w:pStyle w:val="FrameContents"/>
                                <w:spacing w:before="0" w:after="200"/>
                                <w:rPr/>
                              </w:pPr>
                              <w:r>
                                <w:rPr/>
                              </w:r>
                            </w:p>
                          </w:txbxContent>
                        </wps:txbx>
                        <wps:bodyPr lIns="36360" rIns="36360" tIns="17640" bIns="17640" anchor="ctr">
                          <a:noAutofit/>
                        </wps:bodyPr>
                      </wps:wsp>
                      <wps:wsp>
                        <wps:cNvPr id="310" name="Shape 7"/>
                        <wps:cNvSpPr/>
                        <wps:spPr>
                          <a:xfrm>
                            <a:off x="3080520" y="1166400"/>
                            <a:ext cx="1319400" cy="777240"/>
                          </a:xfrm>
                          <a:prstGeom prst="roundRect">
                            <a:avLst>
                              <a:gd name="adj" fmla="val 10000"/>
                            </a:avLst>
                          </a:prstGeom>
                          <a:solidFill>
                            <a:srgbClr val="70ad47"/>
                          </a:solidFill>
                          <a:ln w="12700">
                            <a:solidFill>
                              <a:srgbClr val="70ad47"/>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6. Vaznlash:</w:t>
                              </w:r>
                            </w:p>
                            <w:p>
                              <w:pPr>
                                <w:pStyle w:val="Normal"/>
                                <w:spacing w:lineRule="auto" w:line="228" w:before="0" w:after="0"/>
                                <w:ind w:hanging="0"/>
                                <w:jc w:val="center"/>
                                <w:rPr/>
                              </w:pPr>
                              <w:r>
                                <w:rPr>
                                  <w:rFonts w:cs="Times New Roman"/>
                                  <w:b/>
                                  <w:color w:val="FFFFFF"/>
                                  <w:sz w:val="20"/>
                                  <w:szCs w:val="20"/>
                                </w:rPr>
                                <w:t>0,25; 0,30; 0,20;</w:t>
                              </w:r>
                            </w:p>
                            <w:p>
                              <w:pPr>
                                <w:pStyle w:val="Normal"/>
                                <w:spacing w:lineRule="auto" w:line="228" w:before="0" w:after="0"/>
                                <w:ind w:hanging="0"/>
                                <w:jc w:val="center"/>
                                <w:rPr/>
                              </w:pPr>
                              <w:r>
                                <w:rPr>
                                  <w:rFonts w:cs="Times New Roman"/>
                                  <w:b/>
                                  <w:color w:val="FFFFFF"/>
                                  <w:sz w:val="20"/>
                                  <w:szCs w:val="20"/>
                                </w:rPr>
                                <w:t>0,15; 0,10</w:t>
                              </w:r>
                            </w:p>
                            <w:p>
                              <w:pPr>
                                <w:pStyle w:val="FrameContents"/>
                                <w:spacing w:before="0" w:after="200"/>
                                <w:rPr/>
                              </w:pPr>
                              <w:r>
                                <w:rPr/>
                              </w:r>
                            </w:p>
                          </w:txbxContent>
                        </wps:txbx>
                        <wps:bodyPr lIns="36360" rIns="36360" tIns="17640" bIns="17640" anchor="ctr">
                          <a:noAutofit/>
                        </wps:bodyPr>
                      </wps:wsp>
                      <wps:wsp>
                        <wps:cNvPr id="311" name="Shape 8"/>
                        <wps:cNvSpPr/>
                        <wps:spPr>
                          <a:xfrm>
                            <a:off x="1539720" y="1166400"/>
                            <a:ext cx="1319400" cy="777240"/>
                          </a:xfrm>
                          <a:prstGeom prst="roundRect">
                            <a:avLst>
                              <a:gd name="adj" fmla="val 10000"/>
                            </a:avLst>
                          </a:prstGeom>
                          <a:solidFill>
                            <a:srgbClr val="7030a0"/>
                          </a:solidFill>
                          <a:ln w="12700">
                            <a:solidFill>
                              <a:srgbClr val="7030a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7. MBII va</w:t>
                              </w:r>
                            </w:p>
                            <w:p>
                              <w:pPr>
                                <w:pStyle w:val="Normal"/>
                                <w:spacing w:lineRule="auto" w:line="228" w:before="0" w:after="0"/>
                                <w:ind w:hanging="0"/>
                                <w:jc w:val="center"/>
                                <w:rPr/>
                              </w:pPr>
                              <w:r>
                                <w:rPr>
                                  <w:rFonts w:cs="Times New Roman"/>
                                  <w:b/>
                                  <w:color w:val="FFFFFF"/>
                                  <w:sz w:val="20"/>
                                  <w:szCs w:val="20"/>
                                </w:rPr>
                                <w:t>barqarorlik</w:t>
                              </w:r>
                            </w:p>
                            <w:p>
                              <w:pPr>
                                <w:pStyle w:val="Normal"/>
                                <w:spacing w:lineRule="auto" w:line="228" w:before="0" w:after="0"/>
                                <w:ind w:hanging="0"/>
                                <w:jc w:val="center"/>
                                <w:rPr/>
                              </w:pPr>
                              <w:r>
                                <w:rPr>
                                  <w:rFonts w:cs="Times New Roman"/>
                                  <w:b/>
                                  <w:color w:val="FFFFFF"/>
                                  <w:sz w:val="20"/>
                                  <w:szCs w:val="20"/>
                                </w:rPr>
                                <w:t>sinfi</w:t>
                              </w:r>
                            </w:p>
                            <w:p>
                              <w:pPr>
                                <w:pStyle w:val="FrameContents"/>
                                <w:spacing w:before="0" w:after="200"/>
                                <w:rPr/>
                              </w:pPr>
                              <w:r>
                                <w:rPr/>
                              </w:r>
                            </w:p>
                          </w:txbxContent>
                        </wps:txbx>
                        <wps:bodyPr lIns="36360" rIns="36360" tIns="17640" bIns="17640" anchor="ctr">
                          <a:noAutofit/>
                        </wps:bodyPr>
                      </wps:wsp>
                      <wps:wsp>
                        <wps:cNvPr id="312" name="Shape 9"/>
                        <wps:cNvSpPr/>
                        <wps:spPr>
                          <a:xfrm>
                            <a:off x="0" y="1166400"/>
                            <a:ext cx="1319400" cy="777240"/>
                          </a:xfrm>
                          <a:prstGeom prst="roundRect">
                            <a:avLst>
                              <a:gd name="adj" fmla="val 10000"/>
                            </a:avLst>
                          </a:prstGeom>
                          <a:solidFill>
                            <a:srgbClr val="c00000"/>
                          </a:solidFill>
                          <a:ln w="12700">
                            <a:solidFill>
                              <a:srgbClr val="c00000"/>
                            </a:solidFill>
                            <a:round/>
                          </a:ln>
                        </wps:spPr>
                        <wps:style>
                          <a:lnRef idx="0"/>
                          <a:fillRef idx="0"/>
                          <a:effectRef idx="0"/>
                          <a:fontRef idx="minor"/>
                        </wps:style>
                        <wps:txbx>
                          <w:txbxContent>
                            <w:p>
                              <w:pPr>
                                <w:pStyle w:val="Normal"/>
                                <w:spacing w:lineRule="auto" w:line="228" w:before="0" w:after="0"/>
                                <w:ind w:hanging="0"/>
                                <w:jc w:val="center"/>
                                <w:rPr/>
                              </w:pPr>
                              <w:r>
                                <w:rPr>
                                  <w:rFonts w:cs="Times New Roman"/>
                                  <w:b/>
                                  <w:color w:val="FFFFFF"/>
                                  <w:sz w:val="20"/>
                                  <w:szCs w:val="20"/>
                                </w:rPr>
                                <w:t>8. Nazorat choralari,</w:t>
                              </w:r>
                            </w:p>
                            <w:p>
                              <w:pPr>
                                <w:pStyle w:val="Normal"/>
                                <w:spacing w:lineRule="auto" w:line="228" w:before="0" w:after="0"/>
                                <w:ind w:hanging="0"/>
                                <w:jc w:val="center"/>
                                <w:rPr/>
                              </w:pPr>
                              <w:r>
                                <w:rPr>
                                  <w:rFonts w:cs="Times New Roman"/>
                                  <w:b/>
                                  <w:color w:val="FFFFFF"/>
                                  <w:sz w:val="20"/>
                                  <w:szCs w:val="20"/>
                                </w:rPr>
                                <w:t>ΔMBII, erta</w:t>
                              </w:r>
                            </w:p>
                            <w:p>
                              <w:pPr>
                                <w:pStyle w:val="Normal"/>
                                <w:spacing w:lineRule="auto" w:line="228" w:before="0" w:after="0"/>
                                <w:ind w:hanging="0"/>
                                <w:jc w:val="center"/>
                                <w:rPr/>
                              </w:pPr>
                              <w:r>
                                <w:rPr>
                                  <w:rFonts w:cs="Times New Roman"/>
                                  <w:b/>
                                  <w:color w:val="FFFFFF"/>
                                  <w:sz w:val="20"/>
                                  <w:szCs w:val="20"/>
                                </w:rPr>
                                <w:t>ogohlantirish</w:t>
                              </w:r>
                            </w:p>
                            <w:p>
                              <w:pPr>
                                <w:pStyle w:val="FrameContents"/>
                                <w:spacing w:before="0" w:after="200"/>
                                <w:rPr/>
                              </w:pPr>
                              <w:r>
                                <w:rPr/>
                              </w:r>
                            </w:p>
                          </w:txbxContent>
                        </wps:txbx>
                        <wps:bodyPr lIns="36360" rIns="36360" tIns="17640" bIns="17640" anchor="ctr">
                          <a:noAutofit/>
                        </wps:bodyPr>
                      </wps:wsp>
                      <wps:wsp>
                        <wps:cNvPr id="313" name="Connector 10"/>
                        <wps:cNvSpPr/>
                        <wps:spPr>
                          <a:xfrm>
                            <a:off x="1327320" y="388800"/>
                            <a:ext cx="2044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4" name="Connector 11"/>
                        <wps:cNvSpPr/>
                        <wps:spPr>
                          <a:xfrm>
                            <a:off x="2867760" y="388800"/>
                            <a:ext cx="20376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5" name="Connector 12"/>
                        <wps:cNvSpPr/>
                        <wps:spPr>
                          <a:xfrm>
                            <a:off x="4407480" y="388800"/>
                            <a:ext cx="2044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6" name="Connector 13"/>
                        <wps:cNvSpPr/>
                        <wps:spPr>
                          <a:xfrm>
                            <a:off x="5280120" y="786240"/>
                            <a:ext cx="720" cy="37224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7" name="Connector 14"/>
                        <wps:cNvSpPr/>
                        <wps:spPr>
                          <a:xfrm flipH="1">
                            <a:off x="4407480" y="1555920"/>
                            <a:ext cx="20448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8" name="Connector 15"/>
                        <wps:cNvSpPr/>
                        <wps:spPr>
                          <a:xfrm flipH="1">
                            <a:off x="2867760" y="1555920"/>
                            <a:ext cx="203760" cy="720"/>
                          </a:xfrm>
                          <a:prstGeom prst="straightConnector1">
                            <a:avLst/>
                          </a:prstGeom>
                          <a:noFill/>
                          <a:ln w="19050">
                            <a:solidFill>
                              <a:srgbClr val="404040"/>
                            </a:solidFill>
                            <a:round/>
                            <a:tailEnd len="med" type="triangle" w="med"/>
                          </a:ln>
                        </wps:spPr>
                        <wps:style>
                          <a:lnRef idx="0"/>
                          <a:fillRef idx="0"/>
                          <a:effectRef idx="0"/>
                          <a:fontRef idx="minor"/>
                        </wps:style>
                        <wps:bodyPr/>
                      </wps:wsp>
                      <wps:wsp>
                        <wps:cNvPr id="319" name="Connector 16"/>
                        <wps:cNvSpPr/>
                        <wps:spPr>
                          <a:xfrm flipH="1">
                            <a:off x="1327320" y="1555920"/>
                            <a:ext cx="204480" cy="720"/>
                          </a:xfrm>
                          <a:prstGeom prst="straightConnector1">
                            <a:avLst/>
                          </a:prstGeom>
                          <a:noFill/>
                          <a:ln w="19050">
                            <a:solidFill>
                              <a:srgbClr val="404040"/>
                            </a:solidFill>
                            <a:round/>
                            <a:tailEnd len="med" type="triangle" w="med"/>
                          </a:ln>
                        </wps:spPr>
                        <wps:style>
                          <a:lnRef idx="0"/>
                          <a:fillRef idx="0"/>
                          <a:effectRef idx="0"/>
                          <a:fontRef idx="minor"/>
                        </wps:style>
                        <wps:bodyPr/>
                      </wps:wsp>
                    </wpg:wgp>
                  </a:graphicData>
                </a:graphic>
              </wp:inline>
            </w:drawing>
          </mc:Choice>
          <mc:Fallback>
            <w:pict>
              <v:group id="shape_0" alt="3.1.1-rasm" style="position:absolute;margin-left:0pt;margin-top:-76.55pt;width:467.7pt;height:153pt" coordorigin="0,-1531" coordsize="9354,3060">
                <v:shape id="shape_0" ID="Connector 10" path="m0,0l-2147483648,-2147483647e" stroked="t" o:allowincell="f" style="position:absolute;left:2090;top:-919;width:321;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1" path="m0,0l-2147483648,-2147483647e" stroked="t" o:allowincell="f" style="position:absolute;left:4516;top:-919;width:320;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2" path="m0,0l-2147483648,-2147483647e" stroked="t" o:allowincell="f" style="position:absolute;left:6941;top:-919;width:321;height:0;mso-wrap-style:none;v-text-anchor:middle;mso-position-vertical:center" type="_x0000_t32">
                  <v:fill o:detectmouseclick="t" on="false"/>
                  <v:stroke color="#404040" weight="19080" endarrow="block" endarrowwidth="medium" endarrowlength="medium" joinstyle="round" endcap="flat"/>
                  <w10:wrap type="square"/>
                </v:shape>
                <v:shape id="shape_0" ID="Connector 13" path="m0,0l-2147483648,-2147483647e" stroked="t" o:allowincell="f" style="position:absolute;left:8315;top:-293;width:0;height:585;mso-wrap-style:none;v-text-anchor:middle;mso-position-vertical:center" type="_x0000_t32">
                  <v:fill o:detectmouseclick="t" on="false"/>
                  <v:stroke color="#404040" weight="19080" endarrow="block" endarrowwidth="medium" endarrowlength="medium" joinstyle="round" endcap="flat"/>
                  <w10:wrap type="square"/>
                </v:shape>
                <v:shape id="shape_0" ID="Connector 14" path="m0,0l-2147483648,-2147483647e" stroked="t" o:allowincell="f" style="position:absolute;left:6941;top:919;width:321;height:0;flip:x;mso-wrap-style:none;v-text-anchor:middle;mso-position-vertical:center" type="_x0000_t32">
                  <v:fill o:detectmouseclick="t" on="false"/>
                  <v:stroke color="#404040" weight="19080" endarrow="block" endarrowwidth="medium" endarrowlength="medium" joinstyle="round" endcap="flat"/>
                  <w10:wrap type="square"/>
                </v:shape>
                <v:shape id="shape_0" ID="Connector 15" path="m0,0l-2147483648,-2147483647e" stroked="t" o:allowincell="f" style="position:absolute;left:4516;top:919;width:320;height:0;flip:x;mso-wrap-style:none;v-text-anchor:middle;mso-position-vertical:center" type="_x0000_t32">
                  <v:fill o:detectmouseclick="t" on="false"/>
                  <v:stroke color="#404040" weight="19080" endarrow="block" endarrowwidth="medium" endarrowlength="medium" joinstyle="round" endcap="flat"/>
                  <w10:wrap type="square"/>
                </v:shape>
                <v:shape id="shape_0" ID="Connector 16" path="m0,0l-2147483648,-2147483647e" stroked="t" o:allowincell="f" style="position:absolute;left:2090;top:919;width:321;height:0;flip:x;mso-wrap-style:none;v-text-anchor:middle;mso-position-vertical:center" type="_x0000_t32">
                  <v:fill o:detectmouseclick="t" on="false"/>
                  <v:stroke color="#404040" weight="19080" endarrow="block" endarrowwidth="medium" endarrowlength="medium" joinstyle="round" endcap="flat"/>
                  <w10:wrap type="square"/>
                </v:shape>
              </v:group>
            </w:pict>
          </mc:Fallback>
        </mc:AlternateContent>
      </w:r>
    </w:p>
    <w:p>
      <w:pPr>
        <w:pStyle w:val="BodyText"/>
        <w:spacing w:lineRule="auto" w:line="240" w:before="120" w:after="240"/>
        <w:ind w:hanging="0"/>
        <w:jc w:val="center"/>
        <w:rPr/>
      </w:pPr>
      <w:r>
        <w:rPr>
          <w:rFonts w:eastAsia="Times New Roman" w:cs="Times New Roman"/>
          <w:b/>
          <w:sz w:val="28"/>
        </w:rPr>
        <w:t>3.1.1-rasm. Moliyaviy barqarorlikning integral indeksini hisoblash algoritmi</w:t>
      </w:r>
      <w:r>
        <w:rPr>
          <w:rStyle w:val="FootnoteReference"/>
        </w:rPr>
        <w:footnoteReference w:id="288"/>
      </w:r>
    </w:p>
    <w:p>
      <w:pPr>
        <w:pStyle w:val="BodyText"/>
        <w:spacing w:lineRule="auto" w:line="360" w:before="0" w:after="0"/>
        <w:ind w:firstLine="709"/>
        <w:jc w:val="both"/>
        <w:rPr/>
      </w:pPr>
      <w:r>
        <w:rPr>
          <w:rFonts w:eastAsia="Times New Roman" w:cs="Times New Roman"/>
          <w:sz w:val="28"/>
        </w:rP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Rule="auto" w:line="360" w:before="0" w:after="0"/>
        <w:ind w:firstLine="709"/>
        <w:jc w:val="both"/>
        <w:rPr/>
      </w:pPr>
      <w:r>
        <w:rPr>
          <w:rFonts w:eastAsia="Times New Roman" w:cs="Times New Roman"/>
          <w:sz w:val="28"/>
        </w:rPr>
        <w:t>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289"/>
      </w:r>
      <w:r>
        <w:rPr>
          <w:rFonts w:eastAsia="Times New Roman" w:cs="Times New Roman"/>
          <w:sz w:val="28"/>
        </w:rP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290"/>
      </w:r>
      <w:r>
        <w:rPr>
          <w:rFonts w:eastAsia="Times New Roman" w:cs="Times New Roman"/>
          <w:sz w:val="28"/>
        </w:rPr>
        <w:t>.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val="true"/>
        <w:spacing w:lineRule="auto" w:line="360" w:before="120" w:after="0"/>
        <w:ind w:hanging="0"/>
        <w:jc w:val="right"/>
        <w:rPr/>
      </w:pPr>
      <w:r>
        <w:rPr>
          <w:rFonts w:eastAsia="Times New Roman" w:cs="Times New Roman"/>
          <w:i/>
          <w:sz w:val="28"/>
        </w:rPr>
        <w:t>3.1.2-jadval</w:t>
      </w:r>
    </w:p>
    <w:p>
      <w:pPr>
        <w:pStyle w:val="BodyText"/>
        <w:keepNext w:val="true"/>
        <w:spacing w:lineRule="auto" w:line="240" w:before="0" w:after="120"/>
        <w:ind w:hanging="0"/>
        <w:jc w:val="center"/>
        <w:rPr/>
      </w:pPr>
      <w:r>
        <w:rPr>
          <w:rFonts w:eastAsia="Times New Roman" w:cs="Times New Roman"/>
          <w:b/>
          <w:bCs/>
          <w:sz w:val="28"/>
        </w:rPr>
        <w:t>Moliyaviy barqarorlikning integral indeksi ko‘rsatkichlari va ularning chegaraviy qiymatlari</w:t>
      </w:r>
      <w:r>
        <w:rPr>
          <w:rStyle w:val="FootnoteReference"/>
        </w:rPr>
        <w:footnoteReference w:id="29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664"/>
        <w:gridCol w:w="1417"/>
        <w:gridCol w:w="1152"/>
        <w:gridCol w:w="1151"/>
        <w:gridCol w:w="1152"/>
        <w:gridCol w:w="1152"/>
      </w:tblGrid>
      <w:tr>
        <w:trPr>
          <w:tblHeader w:val="true"/>
          <w:cantSplit w:val="true"/>
        </w:trPr>
        <w:tc>
          <w:tcPr>
            <w:tcW w:w="366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Blok va ko‘rsatkich</w:t>
            </w:r>
          </w:p>
        </w:tc>
        <w:tc>
          <w:tcPr>
            <w:tcW w:w="141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Standart</w:t>
            </w:r>
          </w:p>
        </w:tc>
        <w:tc>
          <w:tcPr>
            <w:tcW w:w="115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1 ball</w:t>
            </w:r>
          </w:p>
        </w:tc>
        <w:tc>
          <w:tcPr>
            <w:tcW w:w="115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 ball</w:t>
            </w:r>
          </w:p>
        </w:tc>
        <w:tc>
          <w:tcPr>
            <w:tcW w:w="115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3 ball</w:t>
            </w:r>
          </w:p>
        </w:tc>
        <w:tc>
          <w:tcPr>
            <w:tcW w:w="115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4 ball</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Kapital yetarliligi</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K1. Birinchi darajali asosiy kapital monandligi,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4,5</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10,5</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K2. Regulyativ kapital monandligi,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15,5</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K3. Leverage,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Aktivlar sifati</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A1. 3-bosqich kreditlari ulushi,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MHXS 9,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15</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A2. 2-bosqich kreditlari ulushi,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MHXS 9</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35</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A3. Zaxira bilan qoplanmagan muammoli kreditlar / kapital,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30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Likvidlik</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L1. Likvidlikni qoplash koeffitsiyenti,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90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150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L2. Sof barqaror moliyalashtirish me’yori,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90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120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L3. Kreditlar / mijozlar depozitlari,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200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80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Daromadlilik</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D1. Aktivlar rentabelligi (ROA),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0,7</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2,0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D2. Kapital rentabelligi (ROE),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15</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D3. Xarajatlar / daromadlar,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100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45</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i/>
                <w:iCs/>
                <w:kern w:val="0"/>
                <w:sz w:val="22"/>
                <w:szCs w:val="24"/>
                <w:lang w:val="en-US" w:eastAsia="en-US" w:bidi="ar-SA"/>
              </w:rPr>
              <w:t>Valyuta riskiga sezgirlik</w:t>
            </w:r>
          </w:p>
        </w:tc>
        <w:tc>
          <w:tcPr>
            <w:tcW w:w="1417"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1"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c>
          <w:tcPr>
            <w:tcW w:w="1152" w:type="dxa"/>
            <w:tcBorders>
              <w:top w:val="single" w:sz="4" w:space="0" w:color="000000"/>
              <w:left w:val="single" w:sz="4" w:space="0" w:color="000000"/>
              <w:bottom w:val="single" w:sz="4" w:space="0" w:color="000000"/>
              <w:right w:val="single" w:sz="4" w:space="0" w:color="000000"/>
            </w:tcBorders>
            <w:shd w:color="auto" w:fill="F2F2F2" w:val="clear"/>
          </w:tcPr>
          <w:p>
            <w:pPr>
              <w:pStyle w:val="Compact"/>
              <w:spacing w:lineRule="auto" w:line="240" w:before="36" w:after="36"/>
              <w:ind w:hanging="0"/>
              <w:jc w:val="center"/>
              <w:rPr>
                <w:rFonts w:eastAsia="Cambria" w:cs=""/>
                <w:kern w:val="0"/>
                <w:sz w:val="24"/>
                <w:szCs w:val="24"/>
                <w:lang w:val="en-US" w:eastAsia="en-US" w:bidi="ar-SA"/>
              </w:rPr>
            </w:pPr>
            <w:r>
              <w:rPr>
                <w:rFonts w:eastAsia="Cambria" w:cs=""/>
                <w:kern w:val="0"/>
                <w:sz w:val="24"/>
                <w:szCs w:val="24"/>
                <w:lang w:val="en-US" w:eastAsia="en-US" w:bidi="ar-SA"/>
              </w:rPr>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V1. Xorijiy valyutadagi kreditlar ulushi,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65</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20</w:t>
            </w:r>
          </w:p>
        </w:tc>
      </w:tr>
      <w:tr>
        <w:trPr>
          <w:cantSplit w:val="true"/>
        </w:trPr>
        <w:tc>
          <w:tcPr>
            <w:tcW w:w="366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V2. Xorijiy valyutadagi majburiyatlar ulushi, %</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XVJ</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70</w:t>
            </w:r>
          </w:p>
        </w:tc>
        <w:tc>
          <w:tcPr>
            <w:tcW w:w="115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55</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w:t>
            </w:r>
          </w:p>
        </w:tc>
        <w:tc>
          <w:tcPr>
            <w:tcW w:w="115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 xml:space="preserve">≤ </w:t>
            </w:r>
            <w:r>
              <w:rPr>
                <w:rFonts w:eastAsia="Times New Roman" w:cs="Times New Roman"/>
                <w:kern w:val="0"/>
                <w:sz w:val="22"/>
                <w:szCs w:val="24"/>
                <w:lang w:val="en-US" w:eastAsia="en-US" w:bidi="ar-SA"/>
              </w:rPr>
              <w:t>25</w:t>
            </w:r>
          </w:p>
        </w:tc>
      </w:tr>
    </w:tbl>
    <w:p>
      <w:pPr>
        <w:pStyle w:val="BodyText"/>
        <w:spacing w:lineRule="auto" w:line="360" w:before="0" w:after="0"/>
        <w:ind w:firstLine="709"/>
        <w:jc w:val="both"/>
        <w:rPr/>
      </w:pPr>
      <w:r>
        <w:rPr>
          <w:rFonts w:eastAsia="Times New Roman" w:cs="Times New Roman"/>
          <w:i/>
          <w:iCs/>
          <w:sz w:val="28"/>
        </w:rPr>
        <w:t>Izoh: oraliq qiymatlar uchun ball chiziqli interpolyatsiya orqali aniqlanadi; 4 ball – eng yuqori barqarorlik.</w:t>
      </w:r>
    </w:p>
    <w:p>
      <w:pPr>
        <w:pStyle w:val="BodyText"/>
        <w:spacing w:lineRule="auto" w:line="360" w:before="0" w:after="0"/>
        <w:ind w:firstLine="709"/>
        <w:jc w:val="both"/>
        <w:rPr/>
      </w:pPr>
      <w:r>
        <w:rPr>
          <w:rFonts w:eastAsia="Times New Roman" w:cs="Times New Roman"/>
          <w:sz w:val="28"/>
        </w:rP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292"/>
      </w:r>
      <w:r>
        <w:rPr>
          <w:rFonts w:eastAsia="Times New Roman" w:cs="Times New Roman"/>
          <w:sz w:val="28"/>
        </w:rP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293"/>
      </w:r>
      <w:r>
        <w:rPr>
          <w:rFonts w:eastAsia="Times New Roman" w:cs="Times New Roman"/>
          <w:sz w:val="28"/>
        </w:rPr>
        <w:t xml:space="preserve"> olindi, 4 ball chegarasi esa tizimli ahamiyatga ega bank uchun qo‘shimcha talab va kontrsiklik bufer bilan birga Bazel III bo‘yicha talab qilinishi mumkin bo‘lgan 10,5 foiz darajasida belgilandi</w:t>
      </w:r>
      <w:r>
        <w:rPr>
          <w:rStyle w:val="FootnoteReference"/>
        </w:rPr>
        <w:footnoteReference w:id="294"/>
      </w:r>
      <w:r>
        <w:rPr>
          <w:rStyle w:val="FootnoteReference"/>
        </w:rPr>
        <w:footnoteReference w:id="295"/>
      </w:r>
      <w:r>
        <w:rPr>
          <w:rFonts w:eastAsia="Times New Roman" w:cs="Times New Roman"/>
          <w:sz w:val="28"/>
        </w:rPr>
        <w:t>.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296"/>
      </w:r>
      <w:r>
        <w:rPr>
          <w:rFonts w:eastAsia="Times New Roman" w:cs="Times New Roman"/>
          <w:sz w:val="28"/>
        </w:rPr>
        <w:t xml:space="preserve"> va milliy talabdagi 6 foiz asosida belgilandi.</w:t>
      </w:r>
    </w:p>
    <w:p>
      <w:pPr>
        <w:pStyle w:val="BodyText"/>
        <w:spacing w:lineRule="auto" w:line="360" w:before="0" w:after="0"/>
        <w:ind w:firstLine="709"/>
        <w:jc w:val="both"/>
        <w:rPr/>
      </w:pPr>
      <w:r>
        <w:rPr>
          <w:rFonts w:eastAsia="Times New Roman" w:cs="Times New Roman"/>
          <w:sz w:val="28"/>
        </w:rPr>
        <w:t>Aktivlar sifati blokida 3-bosqich kreditlari ulushi uchun 5 foiz chegarasi erta ogohlantirish signali sifatida keng qo‘llanadigan muammoli kreditlar darajasiga</w:t>
      </w:r>
      <w:r>
        <w:rPr>
          <w:rStyle w:val="FootnoteReference"/>
        </w:rPr>
        <w:footnoteReference w:id="297"/>
      </w:r>
      <w:r>
        <w:rPr>
          <w:rFonts w:eastAsia="Times New Roman" w:cs="Times New Roman"/>
          <w:sz w:val="28"/>
        </w:rPr>
        <w:t>, 10 foiz esa O.I. Lavrushin tahriri ostidagi monografiyada salbiy vaziyat darakchisi sifatida ko‘rsatilgan qiymatga mos keladi</w:t>
      </w:r>
      <w:r>
        <w:rPr>
          <w:rStyle w:val="FootnoteReference"/>
        </w:rPr>
        <w:footnoteReference w:id="298"/>
      </w:r>
      <w:r>
        <w:rPr>
          <w:rFonts w:eastAsia="Times New Roman" w:cs="Times New Roman"/>
          <w:sz w:val="28"/>
        </w:rPr>
        <w:t>.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299"/>
      </w:r>
      <w:r>
        <w:rPr>
          <w:rFonts w:eastAsia="Times New Roman" w:cs="Times New Roman"/>
          <w:sz w:val="28"/>
        </w:rPr>
        <w:t>. Likvidlik blokida likvidlikni qoplash koeffitsiyenti va sof barqaror moliyalashtirish me’yori uchun 2 ball chegarasi sifatida Bazel III dagi 100 foizlik talab olindi</w:t>
      </w:r>
      <w:r>
        <w:rPr>
          <w:rStyle w:val="FootnoteReference"/>
        </w:rPr>
        <w:footnoteReference w:id="300"/>
      </w:r>
      <w:r>
        <w:rPr>
          <w:rStyle w:val="FootnoteReference"/>
        </w:rPr>
        <w:footnoteReference w:id="301"/>
      </w:r>
      <w:r>
        <w:rPr>
          <w:rFonts w:eastAsia="Times New Roman" w:cs="Times New Roman"/>
          <w:sz w:val="28"/>
        </w:rPr>
        <w:t>, kreditlarning depozitlarga nisbati uchun esa likvidlik nizomida muammo belgisi deb ko‘rsatilgan 80 foiz</w:t>
      </w:r>
      <w:r>
        <w:rPr>
          <w:rStyle w:val="FootnoteReference"/>
        </w:rPr>
        <w:footnoteReference w:id="302"/>
      </w:r>
      <w:r>
        <w:rPr>
          <w:rFonts w:eastAsia="Times New Roman" w:cs="Times New Roman"/>
          <w:sz w:val="28"/>
        </w:rPr>
        <w:t xml:space="preserve"> va xalqaro amaliyotdagi kritik daraja – 100 foiz</w:t>
      </w:r>
      <w:r>
        <w:rPr>
          <w:rStyle w:val="FootnoteReference"/>
        </w:rPr>
        <w:footnoteReference w:id="303"/>
      </w:r>
      <w:r>
        <w:rPr>
          <w:rFonts w:eastAsia="Times New Roman" w:cs="Times New Roman"/>
          <w:sz w:val="28"/>
        </w:rPr>
        <w:t xml:space="preserve"> asos qilib olindi. Daromadlilik blokida aktivlar rentabelligi chegaralari Rossiya Banki shkalasidan (0; 0,7; 1,4 foiz) olindi</w:t>
      </w:r>
      <w:r>
        <w:rPr>
          <w:rStyle w:val="FootnoteReference"/>
        </w:rPr>
        <w:footnoteReference w:id="304"/>
      </w:r>
      <w:r>
        <w:rPr>
          <w:rFonts w:eastAsia="Times New Roman" w:cs="Times New Roman"/>
          <w:sz w:val="28"/>
        </w:rP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05"/>
      </w:r>
      <w:r>
        <w:rPr>
          <w:rFonts w:eastAsia="Times New Roman" w:cs="Times New Roman"/>
          <w:sz w:val="28"/>
        </w:rP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06"/>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Rule="auto" w:line="360" w:before="0" w:after="0"/>
        <w:ind w:firstLine="709"/>
        <w:jc w:val="both"/>
        <w:rPr/>
      </w:pPr>
      <w:r>
        <w:rPr>
          <w:rFonts w:eastAsia="Times New Roman" w:cs="Times New Roman"/>
          <w:i/>
          <w:iCs/>
          <w:sz w:val="28"/>
        </w:rPr>
        <w:t>s</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k</w:t>
      </w:r>
      <w:r>
        <w:rPr>
          <w:rFonts w:eastAsia="Times New Roman" w:cs="Times New Roman"/>
          <w:sz w:val="28"/>
        </w:rPr>
        <w:t xml:space="preserve"> +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k</w:t>
      </w:r>
      <w:r>
        <w:rPr>
          <w:rFonts w:eastAsia="Times New Roman" w:cs="Times New Roman"/>
          <w:sz w:val="28"/>
        </w:rPr>
        <w:t>) / (</w:t>
      </w:r>
      <w:r>
        <w:rPr>
          <w:rFonts w:eastAsia="Times New Roman" w:cs="Times New Roman"/>
          <w:i/>
          <w:iCs/>
          <w:sz w:val="28"/>
        </w:rPr>
        <w:t>a</w:t>
      </w:r>
      <w:r>
        <w:rPr>
          <w:rFonts w:eastAsia="Times New Roman" w:cs="Times New Roman"/>
          <w:sz w:val="28"/>
          <w:vertAlign w:val="subscript"/>
        </w:rPr>
        <w:t>k+1</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k</w:t>
      </w:r>
      <w:r>
        <w:rPr>
          <w:rFonts w:eastAsia="Times New Roman" w:cs="Times New Roman"/>
          <w:sz w:val="28"/>
        </w:rPr>
        <w:t xml:space="preserve">), agar </w:t>
      </w:r>
      <w:r>
        <w:rPr>
          <w:rFonts w:eastAsia="Times New Roman" w:cs="Times New Roman"/>
          <w:i/>
          <w:iCs/>
          <w:sz w:val="28"/>
        </w:rPr>
        <w:t>a</w:t>
      </w:r>
      <w:r>
        <w:rPr>
          <w:rFonts w:eastAsia="Times New Roman" w:cs="Times New Roman"/>
          <w:sz w:val="28"/>
          <w:vertAlign w:val="subscript"/>
        </w:rPr>
        <w:t>k</w:t>
      </w:r>
      <w:r>
        <w:rPr>
          <w:rFonts w:eastAsia="Times New Roman" w:cs="Times New Roman"/>
          <w:sz w:val="28"/>
        </w:rPr>
        <w:t xml:space="preserve"> &lt;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k+1</w:t>
      </w:r>
      <w:r>
        <w:rPr>
          <w:rFonts w:eastAsia="Times New Roman" w:cs="Times New Roman"/>
          <w:sz w:val="28"/>
        </w:rPr>
        <w:t xml:space="preserve">; </w:t>
      </w:r>
      <w:r>
        <w:rPr>
          <w:rFonts w:eastAsia="Times New Roman" w:cs="Times New Roman"/>
          <w:i/>
          <w:iCs/>
          <w:sz w:val="28"/>
        </w:rPr>
        <w:t>s</w:t>
      </w:r>
      <w:r>
        <w:rPr>
          <w:rFonts w:eastAsia="Times New Roman" w:cs="Times New Roman"/>
          <w:sz w:val="28"/>
          <w:vertAlign w:val="subscript"/>
        </w:rPr>
        <w:t>i</w:t>
      </w:r>
      <w:r>
        <w:rPr>
          <w:rFonts w:eastAsia="Times New Roman" w:cs="Times New Roman"/>
          <w:sz w:val="28"/>
        </w:rPr>
        <w:t xml:space="preserve"> = 1, agar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1</w:t>
      </w:r>
      <w:r>
        <w:rPr>
          <w:rFonts w:eastAsia="Times New Roman" w:cs="Times New Roman"/>
          <w:sz w:val="28"/>
        </w:rPr>
        <w:t xml:space="preserve">; </w:t>
      </w:r>
      <w:r>
        <w:rPr>
          <w:rFonts w:eastAsia="Times New Roman" w:cs="Times New Roman"/>
          <w:i/>
          <w:iCs/>
          <w:sz w:val="28"/>
        </w:rPr>
        <w:t>s</w:t>
      </w:r>
      <w:r>
        <w:rPr>
          <w:rFonts w:eastAsia="Times New Roman" w:cs="Times New Roman"/>
          <w:sz w:val="28"/>
          <w:vertAlign w:val="subscript"/>
        </w:rPr>
        <w:t>i</w:t>
      </w:r>
      <w:r>
        <w:rPr>
          <w:rFonts w:eastAsia="Times New Roman" w:cs="Times New Roman"/>
          <w:sz w:val="28"/>
        </w:rPr>
        <w:t xml:space="preserve"> = 4, agar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a</w:t>
      </w:r>
      <w:r>
        <w:rPr>
          <w:rFonts w:eastAsia="Times New Roman" w:cs="Times New Roman"/>
          <w:sz w:val="28"/>
          <w:vertAlign w:val="subscript"/>
        </w:rPr>
        <w:t>4</w:t>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 xml:space="preserve">bu yerda </w:t>
      </w:r>
      <w:r>
        <w:rPr>
          <w:rFonts w:eastAsia="Times New Roman" w:cs="Times New Roman"/>
          <w:i/>
          <w:iCs/>
          <w:sz w:val="28"/>
        </w:rPr>
        <w:t>s</w:t>
      </w:r>
      <w:r>
        <w:rPr>
          <w:rFonts w:eastAsia="Times New Roman" w:cs="Times New Roman"/>
          <w:sz w:val="28"/>
          <w:vertAlign w:val="subscript"/>
        </w:rPr>
        <w:t>i</w:t>
      </w:r>
      <w:r>
        <w:rPr>
          <w:rFonts w:eastAsia="Times New Roman" w:cs="Times New Roman"/>
          <w:sz w:val="28"/>
        </w:rPr>
        <w:t xml:space="preserve"> – </w:t>
      </w:r>
      <w:r>
        <w:rPr>
          <w:rFonts w:eastAsia="Times New Roman" w:cs="Times New Roman"/>
          <w:i/>
          <w:iCs/>
          <w:sz w:val="28"/>
        </w:rPr>
        <w:t>i</w:t>
      </w:r>
      <w:r>
        <w:rPr>
          <w:rFonts w:eastAsia="Times New Roman" w:cs="Times New Roman"/>
          <w:sz w:val="28"/>
        </w:rPr>
        <w:t xml:space="preserve">-ko‘rsatkichning bali, </w:t>
      </w:r>
      <w:r>
        <w:rPr>
          <w:rFonts w:eastAsia="Times New Roman" w:cs="Times New Roman"/>
          <w:i/>
          <w:iCs/>
          <w:sz w:val="28"/>
        </w:rPr>
        <w:t>x</w:t>
      </w:r>
      <w:r>
        <w:rPr>
          <w:rFonts w:eastAsia="Times New Roman" w:cs="Times New Roman"/>
          <w:sz w:val="28"/>
          <w:vertAlign w:val="subscript"/>
        </w:rPr>
        <w:t>i</w:t>
      </w:r>
      <w:r>
        <w:rPr>
          <w:rFonts w:eastAsia="Times New Roman" w:cs="Times New Roman"/>
          <w:sz w:val="28"/>
        </w:rPr>
        <w:t xml:space="preserve"> – uning qiymati, </w:t>
      </w:r>
      <w:r>
        <w:rPr>
          <w:rFonts w:eastAsia="Times New Roman" w:cs="Times New Roman"/>
          <w:i/>
          <w:iCs/>
          <w:sz w:val="28"/>
        </w:rPr>
        <w:t>a</w:t>
      </w:r>
      <w:r>
        <w:rPr>
          <w:rFonts w:eastAsia="Times New Roman" w:cs="Times New Roman"/>
          <w:sz w:val="28"/>
          <w:vertAlign w:val="subscript"/>
        </w:rPr>
        <w:t>k</w:t>
      </w:r>
      <w:r>
        <w:rPr>
          <w:rFonts w:eastAsia="Times New Roman" w:cs="Times New Roman"/>
          <w:sz w:val="28"/>
        </w:rPr>
        <w:t xml:space="preserve"> – </w:t>
      </w:r>
      <w:r>
        <w:rPr>
          <w:rFonts w:eastAsia="Times New Roman" w:cs="Times New Roman"/>
          <w:i/>
          <w:iCs/>
          <w:sz w:val="28"/>
        </w:rPr>
        <w:t>k</w:t>
      </w:r>
      <w:r>
        <w:rPr>
          <w:rFonts w:eastAsia="Times New Roman" w:cs="Times New Roman"/>
          <w:sz w:val="28"/>
        </w:rPr>
        <w:t xml:space="preserve"> ballga mos chegaraviy qiymat (</w:t>
      </w:r>
      <w:r>
        <w:rPr>
          <w:rFonts w:eastAsia="Times New Roman" w:cs="Times New Roman"/>
          <w:i/>
          <w:iCs/>
          <w:sz w:val="28"/>
        </w:rPr>
        <w:t>k</w:t>
      </w:r>
      <w:r>
        <w:rPr>
          <w:rFonts w:eastAsia="Times New Roman" w:cs="Times New Roman"/>
          <w:sz w:val="28"/>
        </w:rPr>
        <w:t xml:space="preserve"> = 1, 2, 3). Qiymati qanchalik kam bo‘lsa, shunchalik yaxshi bo‘lgan ko‘rsatkichlar uchun formula teskari yo‘nalishda qo‘llanadi. Bunday yondashuvning afzalligini birinchi darajali asosiy kapital monandligi misolida ko‘rish mumkin (3.1.2-rasm).</w:t>
      </w:r>
    </w:p>
    <w:p>
      <w:pPr>
        <w:pStyle w:val="BodyText"/>
        <w:keepNext w:val="true"/>
        <w:spacing w:lineRule="auto" w:line="240" w:before="0" w:after="0"/>
        <w:ind w:hanging="0"/>
        <w:jc w:val="center"/>
        <w:rPr/>
      </w:pPr>
      <w:r>
        <w:rPr/>
        <w:drawing>
          <wp:inline distT="0" distB="0" distL="0" distR="0">
            <wp:extent cx="5760085" cy="2879725"/>
            <wp:effectExtent l="0" t="0" r="0" b="0"/>
            <wp:docPr id="320" name="3.1.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pPr>
        <w:pStyle w:val="BodyText"/>
        <w:spacing w:lineRule="auto" w:line="240" w:before="120" w:after="240"/>
        <w:ind w:hanging="0"/>
        <w:jc w:val="center"/>
        <w:rPr/>
      </w:pPr>
      <w:r>
        <w:rPr>
          <w:rFonts w:eastAsia="Times New Roman" w:cs="Times New Roman"/>
          <w:b/>
          <w:sz w:val="28"/>
        </w:rPr>
        <w:t>3.1.2-rasm. Birinchi darajali asosiy kapital monandligini ballga aylantirish funksiyasi</w:t>
      </w:r>
      <w:r>
        <w:rPr>
          <w:rStyle w:val="FootnoteReference"/>
        </w:rPr>
        <w:footnoteReference w:id="307"/>
      </w:r>
    </w:p>
    <w:p>
      <w:pPr>
        <w:pStyle w:val="BodyText"/>
        <w:spacing w:lineRule="auto" w:line="360" w:before="0" w:after="0"/>
        <w:ind w:firstLine="709"/>
        <w:jc w:val="both"/>
        <w:rPr/>
      </w:pPr>
      <w:r>
        <w:rPr>
          <w:rFonts w:eastAsia="Times New Roman" w:cs="Times New Roman"/>
          <w:sz w:val="28"/>
        </w:rPr>
        <w:t>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08"/>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Bloklar ichida ko‘rsatkichlarga teng vazn beriladi, blok bali esa uning ko‘rsatkichlari ballarining o‘rtacha arifmetigi sifatida aniqlanadi. Integral indeks esa bloklar ballarining vaznli yig‘indisi sifatida hisoblanadi:</w:t>
      </w:r>
    </w:p>
    <w:p>
      <w:pPr>
        <w:pStyle w:val="BodyText"/>
        <w:spacing w:lineRule="auto" w:line="360" w:before="0" w:after="0"/>
        <w:ind w:firstLine="709"/>
        <w:jc w:val="both"/>
        <w:rPr/>
      </w:pPr>
      <w:r>
        <w:rPr>
          <w:rFonts w:eastAsia="Times New Roman" w:cs="Times New Roman"/>
          <w:sz w:val="28"/>
        </w:rPr>
        <w:t xml:space="preserve">MBII = Σ </w:t>
      </w:r>
      <w:r>
        <w:rPr>
          <w:rFonts w:eastAsia="Times New Roman" w:cs="Times New Roman"/>
          <w:i/>
          <w:iCs/>
          <w:sz w:val="28"/>
        </w:rPr>
        <w:t>w</w:t>
      </w:r>
      <w:r>
        <w:rPr>
          <w:rFonts w:eastAsia="Times New Roman" w:cs="Times New Roman"/>
          <w:sz w:val="28"/>
          <w:vertAlign w:val="subscript"/>
        </w:rPr>
        <w:t>j</w:t>
      </w:r>
      <w:r>
        <w:rPr>
          <w:rFonts w:eastAsia="Times New Roman" w:cs="Times New Roman"/>
          <w:sz w:val="28"/>
        </w:rPr>
        <w:t xml:space="preserve"> · </w:t>
      </w:r>
      <w:r>
        <w:rPr>
          <w:rFonts w:eastAsia="Times New Roman" w:cs="Times New Roman"/>
          <w:i/>
          <w:iCs/>
          <w:sz w:val="28"/>
        </w:rPr>
        <w:t>B</w:t>
      </w:r>
      <w:r>
        <w:rPr>
          <w:rFonts w:eastAsia="Times New Roman" w:cs="Times New Roman"/>
          <w:sz w:val="28"/>
          <w:vertAlign w:val="subscript"/>
        </w:rPr>
        <w:t>j</w:t>
      </w:r>
      <w:r>
        <w:rPr>
          <w:rFonts w:eastAsia="Times New Roman" w:cs="Times New Roman"/>
          <w:sz w:val="28"/>
        </w:rPr>
        <w:t xml:space="preserve">, </w:t>
      </w:r>
      <w:r>
        <w:rPr>
          <w:rFonts w:eastAsia="Times New Roman" w:cs="Times New Roman"/>
          <w:i/>
          <w:iCs/>
          <w:sz w:val="28"/>
        </w:rPr>
        <w:t>B</w:t>
      </w:r>
      <w:r>
        <w:rPr>
          <w:rFonts w:eastAsia="Times New Roman" w:cs="Times New Roman"/>
          <w:sz w:val="28"/>
          <w:vertAlign w:val="subscript"/>
        </w:rPr>
        <w:t>j</w:t>
      </w:r>
      <w:r>
        <w:rPr>
          <w:rFonts w:eastAsia="Times New Roman" w:cs="Times New Roman"/>
          <w:sz w:val="28"/>
        </w:rPr>
        <w:t xml:space="preserve"> = (1 / </w:t>
      </w:r>
      <w:r>
        <w:rPr>
          <w:rFonts w:eastAsia="Times New Roman" w:cs="Times New Roman"/>
          <w:i/>
          <w:iCs/>
          <w:sz w:val="28"/>
        </w:rPr>
        <w:t>n</w:t>
      </w:r>
      <w:r>
        <w:rPr>
          <w:rFonts w:eastAsia="Times New Roman" w:cs="Times New Roman"/>
          <w:sz w:val="28"/>
          <w:vertAlign w:val="subscript"/>
        </w:rPr>
        <w:t>j</w:t>
      </w:r>
      <w:r>
        <w:rPr>
          <w:rFonts w:eastAsia="Times New Roman" w:cs="Times New Roman"/>
          <w:sz w:val="28"/>
        </w:rPr>
        <w:t xml:space="preserve">) · Σ </w:t>
      </w:r>
      <w:r>
        <w:rPr>
          <w:rFonts w:eastAsia="Times New Roman" w:cs="Times New Roman"/>
          <w:i/>
          <w:iCs/>
          <w:sz w:val="28"/>
        </w:rPr>
        <w:t>s</w:t>
      </w:r>
      <w:r>
        <w:rPr>
          <w:rFonts w:eastAsia="Times New Roman" w:cs="Times New Roman"/>
          <w:sz w:val="28"/>
          <w:vertAlign w:val="subscript"/>
        </w:rPr>
        <w:t>ij</w:t>
      </w:r>
      <w:r>
        <w:rPr>
          <w:rFonts w:eastAsia="Times New Roman" w:cs="Times New Roman"/>
          <w:sz w:val="28"/>
        </w:rPr>
        <w:t xml:space="preserve">, Σ </w:t>
      </w:r>
      <w:r>
        <w:rPr>
          <w:rFonts w:eastAsia="Times New Roman" w:cs="Times New Roman"/>
          <w:i/>
          <w:iCs/>
          <w:sz w:val="28"/>
        </w:rPr>
        <w:t>w</w:t>
      </w:r>
      <w:r>
        <w:rPr>
          <w:rFonts w:eastAsia="Times New Roman" w:cs="Times New Roman"/>
          <w:sz w:val="28"/>
          <w:vertAlign w:val="subscript"/>
        </w:rPr>
        <w:t>j</w:t>
      </w:r>
      <w:r>
        <w:rPr>
          <w:rFonts w:eastAsia="Times New Roman" w:cs="Times New Roman"/>
          <w:sz w:val="28"/>
        </w:rPr>
        <w:t xml:space="preserve"> = 1,</w:t>
      </w:r>
    </w:p>
    <w:p>
      <w:pPr>
        <w:pStyle w:val="BodyText"/>
        <w:spacing w:lineRule="auto" w:line="360" w:before="0" w:after="0"/>
        <w:ind w:firstLine="709"/>
        <w:jc w:val="both"/>
        <w:rPr/>
      </w:pPr>
      <w:r>
        <w:rPr>
          <w:rFonts w:eastAsia="Times New Roman" w:cs="Times New Roman"/>
          <w:sz w:val="28"/>
        </w:rPr>
        <w:t xml:space="preserve">bu yerda </w:t>
      </w:r>
      <w:r>
        <w:rPr>
          <w:rFonts w:eastAsia="Times New Roman" w:cs="Times New Roman"/>
          <w:i/>
          <w:iCs/>
          <w:sz w:val="28"/>
        </w:rPr>
        <w:t>B</w:t>
      </w:r>
      <w:r>
        <w:rPr>
          <w:rFonts w:eastAsia="Times New Roman" w:cs="Times New Roman"/>
          <w:sz w:val="28"/>
          <w:vertAlign w:val="subscript"/>
        </w:rPr>
        <w:t>j</w:t>
      </w:r>
      <w:r>
        <w:rPr>
          <w:rFonts w:eastAsia="Times New Roman" w:cs="Times New Roman"/>
          <w:sz w:val="28"/>
        </w:rPr>
        <w:t xml:space="preserve"> – </w:t>
      </w:r>
      <w:r>
        <w:rPr>
          <w:rFonts w:eastAsia="Times New Roman" w:cs="Times New Roman"/>
          <w:i/>
          <w:iCs/>
          <w:sz w:val="28"/>
        </w:rPr>
        <w:t>j</w:t>
      </w:r>
      <w:r>
        <w:rPr>
          <w:rFonts w:eastAsia="Times New Roman" w:cs="Times New Roman"/>
          <w:sz w:val="28"/>
        </w:rPr>
        <w:t xml:space="preserve">-blok bali, </w:t>
      </w:r>
      <w:r>
        <w:rPr>
          <w:rFonts w:eastAsia="Times New Roman" w:cs="Times New Roman"/>
          <w:i/>
          <w:iCs/>
          <w:sz w:val="28"/>
        </w:rPr>
        <w:t>w</w:t>
      </w:r>
      <w:r>
        <w:rPr>
          <w:rFonts w:eastAsia="Times New Roman" w:cs="Times New Roman"/>
          <w:sz w:val="28"/>
          <w:vertAlign w:val="subscript"/>
        </w:rPr>
        <w:t>j</w:t>
      </w:r>
      <w:r>
        <w:rPr>
          <w:rFonts w:eastAsia="Times New Roman" w:cs="Times New Roman"/>
          <w:sz w:val="28"/>
        </w:rPr>
        <w:t xml:space="preserve"> – uning vazni, </w:t>
      </w:r>
      <w:r>
        <w:rPr>
          <w:rFonts w:eastAsia="Times New Roman" w:cs="Times New Roman"/>
          <w:i/>
          <w:iCs/>
          <w:sz w:val="28"/>
        </w:rPr>
        <w:t>n</w:t>
      </w:r>
      <w:r>
        <w:rPr>
          <w:rFonts w:eastAsia="Times New Roman" w:cs="Times New Roman"/>
          <w:sz w:val="28"/>
          <w:vertAlign w:val="subscript"/>
        </w:rPr>
        <w:t>j</w:t>
      </w:r>
      <w:r>
        <w:rPr>
          <w:rFonts w:eastAsia="Times New Roman" w:cs="Times New Roman"/>
          <w:sz w:val="28"/>
        </w:rP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09"/>
      </w:r>
      <w:r>
        <w:rPr>
          <w:rFonts w:eastAsia="Times New Roman" w:cs="Times New Roman"/>
          <w:sz w:val="28"/>
        </w:rPr>
        <w:t>. Rossiyadagi reyting metodikalarini tahlil qilgan mualliflar ham vaznlar ko‘pincha asoslanmagan ekspert yo‘li bilan belgilanishini qayd etgan</w:t>
      </w:r>
      <w:r>
        <w:rPr>
          <w:rStyle w:val="FootnoteReference"/>
        </w:rPr>
        <w:footnoteReference w:id="310"/>
      </w:r>
      <w:r>
        <w:rPr>
          <w:rFonts w:eastAsia="Times New Roman" w:cs="Times New Roman"/>
          <w:sz w:val="28"/>
        </w:rPr>
        <w:t>. Shu sababli taklif etilayotgan vaznlar uch manba asosida asoslandi va muqobil variantlar bilan solishtirildi (3.1.3-jadval).</w:t>
      </w:r>
    </w:p>
    <w:p>
      <w:pPr>
        <w:pStyle w:val="BodyText"/>
        <w:keepNext w:val="true"/>
        <w:spacing w:lineRule="auto" w:line="360" w:before="120" w:after="0"/>
        <w:ind w:hanging="0"/>
        <w:jc w:val="right"/>
        <w:rPr/>
      </w:pPr>
      <w:r>
        <w:rPr>
          <w:rFonts w:eastAsia="Times New Roman" w:cs="Times New Roman"/>
          <w:i/>
          <w:sz w:val="28"/>
        </w:rPr>
        <w:t>3.1.3-jadval</w:t>
      </w:r>
    </w:p>
    <w:p>
      <w:pPr>
        <w:pStyle w:val="BodyText"/>
        <w:keepNext w:val="true"/>
        <w:spacing w:lineRule="auto" w:line="240" w:before="0" w:after="120"/>
        <w:ind w:hanging="0"/>
        <w:jc w:val="center"/>
        <w:rPr/>
      </w:pPr>
      <w:r>
        <w:rPr>
          <w:rFonts w:eastAsia="Times New Roman" w:cs="Times New Roman"/>
          <w:b/>
          <w:bCs/>
          <w:sz w:val="28"/>
        </w:rPr>
        <w:t>Moliyaviy barqarorlikning integral indeksi bloklari vaznlari va ularning asoslanishi</w:t>
      </w:r>
      <w:r>
        <w:rPr>
          <w:rStyle w:val="FootnoteReference"/>
        </w:rPr>
        <w:footnoteReference w:id="31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90"/>
        <w:gridCol w:w="1299"/>
        <w:gridCol w:w="1182"/>
        <w:gridCol w:w="1418"/>
        <w:gridCol w:w="3900"/>
      </w:tblGrid>
      <w:tr>
        <w:trPr>
          <w:tblHeader w:val="true"/>
          <w:cantSplit w:val="true"/>
        </w:trPr>
        <w:tc>
          <w:tcPr>
            <w:tcW w:w="18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Blok</w:t>
            </w:r>
          </w:p>
        </w:tc>
        <w:tc>
          <w:tcPr>
            <w:tcW w:w="129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Taklif etilayotgan vazn</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Teng vaznlar</w:t>
            </w:r>
          </w:p>
        </w:tc>
        <w:tc>
          <w:tcPr>
            <w:tcW w:w="14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CAMEL nisbati (O‘zbekiston)</w:t>
            </w:r>
          </w:p>
        </w:tc>
        <w:tc>
          <w:tcPr>
            <w:tcW w:w="390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Asoslash</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yetarliligi</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0,23</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ning asosiy talabi, zararlarni qoplovchi oxirgi bufer</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0,30</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0,37</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II bobda eng zaif bo‘g‘in, milliy va MHXS tafovuti eng katta</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0,15</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Bazel III ning ikki me’yori, tashqi moliyalashtirishga tayanish</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0,25</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Kapitalni ichki manbadan to‘ldirish imkoniyati</w:t>
            </w:r>
          </w:p>
        </w:tc>
      </w:tr>
      <w:tr>
        <w:trPr>
          <w:cantSplit w:val="true"/>
        </w:trPr>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Valyuta riskiga sezgirlik</w:t>
            </w:r>
          </w:p>
        </w:tc>
        <w:tc>
          <w:tcPr>
            <w:tcW w:w="12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0,10</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9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Dollarlashuv yuqori, ammo pasayish tendensiyasida</w:t>
            </w:r>
          </w:p>
        </w:tc>
      </w:tr>
    </w:tbl>
    <w:p>
      <w:pPr>
        <w:pStyle w:val="BodyText"/>
        <w:spacing w:lineRule="auto" w:line="360" w:before="0" w:after="0"/>
        <w:ind w:firstLine="709"/>
        <w:jc w:val="both"/>
        <w:rPr/>
      </w:pPr>
      <w:r>
        <w:rPr>
          <w:rFonts w:eastAsia="Times New Roman" w:cs="Times New Roman"/>
          <w:sz w:val="28"/>
        </w:rPr>
        <w:t>Jadval ma’lumotlari shuni ko‘rsatadiki, taklif etilayotgan vaznlar O‘zbekistonda CAMEL tizimi uchun T.M. Karaliyev va I.F. Sayfiddinov keltirgan nisbatga</w:t>
      </w:r>
      <w:r>
        <w:rPr>
          <w:rStyle w:val="FootnoteReference"/>
        </w:rPr>
        <w:footnoteReference w:id="312"/>
      </w:r>
      <w:r>
        <w:rPr>
          <w:rFonts w:eastAsia="Times New Roman" w:cs="Times New Roman"/>
          <w:sz w:val="28"/>
        </w:rPr>
        <w:t xml:space="preserve"> 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13"/>
      </w:r>
      <w:r>
        <w:rPr>
          <w:rFonts w:eastAsia="Times New Roman" w:cs="Times New Roman"/>
          <w:sz w:val="28"/>
        </w:rPr>
        <w:t xml:space="preserve"> – bank defoltlari bo‘yicha yetarli tarixiy ma’lumot talab qiladi, shu sababli u dissertatsiyaning to‘rtinchi bobida erta ogohlantirish tizimini ishlab chiqishda qo‘llanadi.</w:t>
      </w:r>
    </w:p>
    <w:p>
      <w:pPr>
        <w:pStyle w:val="BodyText"/>
        <w:spacing w:lineRule="auto" w:line="360" w:before="0" w:after="0"/>
        <w:ind w:firstLine="709"/>
        <w:jc w:val="both"/>
        <w:rPr/>
      </w:pPr>
      <w:r>
        <w:rPr>
          <w:rFonts w:eastAsia="Times New Roman" w:cs="Times New Roman"/>
          <w:sz w:val="28"/>
        </w:rPr>
        <w:t>Integral indeks qiymati 1 dan 4 gacha bo‘lgan oraliqda bo‘ladi. Uni talqin qilish uchun oraliq to‘rt teng qismga bo‘linib, har biriga moliyaviy barqarorlik sinfi va unga mos nazorat choralari belgilandi (3.1.4-jadval).</w:t>
      </w:r>
    </w:p>
    <w:p>
      <w:pPr>
        <w:pStyle w:val="BodyText"/>
        <w:keepNext w:val="true"/>
        <w:spacing w:lineRule="auto" w:line="360" w:before="120" w:after="0"/>
        <w:ind w:hanging="0"/>
        <w:jc w:val="right"/>
        <w:rPr/>
      </w:pPr>
      <w:r>
        <w:rPr>
          <w:rFonts w:eastAsia="Times New Roman" w:cs="Times New Roman"/>
          <w:i/>
          <w:sz w:val="28"/>
        </w:rPr>
        <w:t>3.1.4-jadval</w:t>
      </w:r>
    </w:p>
    <w:p>
      <w:pPr>
        <w:pStyle w:val="BodyText"/>
        <w:keepNext w:val="true"/>
        <w:spacing w:lineRule="auto" w:line="240" w:before="0" w:after="120"/>
        <w:ind w:hanging="0"/>
        <w:jc w:val="center"/>
        <w:rPr/>
      </w:pPr>
      <w:r>
        <w:rPr>
          <w:rFonts w:eastAsia="Times New Roman" w:cs="Times New Roman"/>
          <w:b/>
          <w:bCs/>
          <w:sz w:val="28"/>
        </w:rPr>
        <w:t>Moliyaviy barqarorlik sinflari va ularga mos choralar</w:t>
      </w:r>
      <w:r>
        <w:rPr>
          <w:rStyle w:val="FootnoteReference"/>
        </w:rPr>
        <w:footnoteReference w:id="314"/>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35"/>
        <w:gridCol w:w="1300"/>
        <w:gridCol w:w="3073"/>
        <w:gridCol w:w="3780"/>
      </w:tblGrid>
      <w:tr>
        <w:trPr>
          <w:tblHeader w:val="true"/>
          <w:cantSplit w:val="true"/>
        </w:trPr>
        <w:tc>
          <w:tcPr>
            <w:tcW w:w="153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Sinf</w:t>
            </w:r>
          </w:p>
        </w:tc>
        <w:tc>
          <w:tcPr>
            <w:tcW w:w="130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MBII qiymati</w:t>
            </w:r>
          </w:p>
        </w:tc>
        <w:tc>
          <w:tcPr>
            <w:tcW w:w="307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Tavsifi</w:t>
            </w:r>
          </w:p>
        </w:tc>
        <w:tc>
          <w:tcPr>
            <w:tcW w:w="378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Tavsiya etiladigan choralar</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 – barqaror</w:t>
            </w:r>
          </w:p>
        </w:tc>
        <w:tc>
          <w:tcPr>
            <w:tcW w:w="13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3,25–4,00</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Barcha bloklar xalqaro mezonlardan yuqori, zaxira yetarli</w:t>
            </w:r>
          </w:p>
        </w:tc>
        <w:tc>
          <w:tcPr>
            <w:tcW w:w="378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Odatdagi nazorat</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II – qoniqarli</w:t>
            </w:r>
          </w:p>
        </w:tc>
        <w:tc>
          <w:tcPr>
            <w:tcW w:w="13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2,50–3,24</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Ayrim bloklarda zaiflik, ammo me’yorlar bajariladi</w:t>
            </w:r>
          </w:p>
        </w:tc>
        <w:tc>
          <w:tcPr>
            <w:tcW w:w="378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Zaif bloklar bo‘yicha monitoringni kuchaytirish, bank tomonidan tiklanish rejasini yangilash</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III – zaif</w:t>
            </w:r>
          </w:p>
        </w:tc>
        <w:tc>
          <w:tcPr>
            <w:tcW w:w="13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1,75–2,49</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Bir nechta blokda me’yorga yaqin yoki undan past qiymatlar</w:t>
            </w:r>
          </w:p>
        </w:tc>
        <w:tc>
          <w:tcPr>
            <w:tcW w:w="378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Choraklik maqsadli tekshiruv, dividendlarni cheklash, kapitalni oshirish rejasi</w:t>
            </w:r>
          </w:p>
        </w:tc>
      </w:tr>
      <w:tr>
        <w:trPr>
          <w:cantSplit w:val="true"/>
        </w:trPr>
        <w:tc>
          <w:tcPr>
            <w:tcW w:w="153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IV – nobarqaror</w:t>
            </w:r>
          </w:p>
        </w:tc>
        <w:tc>
          <w:tcPr>
            <w:tcW w:w="130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1,00–1,74</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Ko‘pchilik bloklarda me’yorlar buzilgan</w:t>
            </w:r>
          </w:p>
        </w:tc>
        <w:tc>
          <w:tcPr>
            <w:tcW w:w="378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Majburiy sog‘lomlashtirish choralari, faoliyatni cheklash</w:t>
            </w:r>
          </w:p>
        </w:tc>
      </w:tr>
    </w:tbl>
    <w:p>
      <w:pPr>
        <w:pStyle w:val="BodyText"/>
        <w:spacing w:lineRule="auto" w:line="360" w:before="0" w:after="0"/>
        <w:ind w:firstLine="709"/>
        <w:jc w:val="both"/>
        <w:rPr/>
      </w:pPr>
      <w:r>
        <w:rPr>
          <w:rFonts w:eastAsia="Times New Roman" w:cs="Times New Roman"/>
          <w:sz w:val="28"/>
        </w:rPr>
        <w:t>Jadvaldan ko‘rinib turibdiki, sinflar shkalasi AQShdagi «tezkor tuzatish choralari» tizimi mantig‘iga asoslangan bo‘lib, unda har bir kapital darajasiga nazorat organining qat’iy belgilangan choralari mos keladi</w:t>
      </w:r>
      <w:r>
        <w:rPr>
          <w:rStyle w:val="FootnoteReference"/>
        </w:rPr>
        <w:footnoteReference w:id="315"/>
      </w:r>
      <w:r>
        <w:rPr>
          <w:rFonts w:eastAsia="Times New Roman" w:cs="Times New Roman"/>
          <w:sz w:val="28"/>
        </w:rP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Rule="auto" w:line="360" w:before="0" w:after="0"/>
        <w:ind w:firstLine="709"/>
        <w:jc w:val="both"/>
        <w:rPr/>
      </w:pPr>
      <w:r>
        <w:rPr>
          <w:rFonts w:eastAsia="Times New Roman" w:cs="Times New Roman"/>
          <w:sz w:val="28"/>
        </w:rP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val="true"/>
        <w:spacing w:lineRule="auto" w:line="360" w:before="120" w:after="0"/>
        <w:ind w:hanging="0"/>
        <w:jc w:val="right"/>
        <w:rPr/>
      </w:pPr>
      <w:r>
        <w:rPr>
          <w:rFonts w:eastAsia="Times New Roman" w:cs="Times New Roman"/>
          <w:i/>
          <w:sz w:val="28"/>
        </w:rPr>
        <w:t>3.1.5-jadval</w:t>
      </w:r>
    </w:p>
    <w:p>
      <w:pPr>
        <w:pStyle w:val="BodyText"/>
        <w:keepNext w:val="true"/>
        <w:spacing w:lineRule="auto" w:line="240" w:before="0" w:after="120"/>
        <w:ind w:hanging="0"/>
        <w:jc w:val="center"/>
        <w:rPr/>
      </w:pPr>
      <w:r>
        <w:rPr>
          <w:rFonts w:eastAsia="Times New Roman" w:cs="Times New Roman"/>
          <w:b/>
          <w:bCs/>
          <w:sz w:val="28"/>
        </w:rPr>
        <w:t>«O‘zsanoatqurilishbank» ATB va «Mikrokreditbank» ATB ko‘rsatkichlari va ballari, 2025-yil yakuni</w:t>
      </w:r>
      <w:r>
        <w:rPr>
          <w:rStyle w:val="FootnoteReference"/>
        </w:rPr>
        <w:footnoteReference w:id="316"/>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309"/>
        <w:gridCol w:w="1595"/>
        <w:gridCol w:w="1595"/>
        <w:gridCol w:w="1595"/>
        <w:gridCol w:w="1595"/>
      </w:tblGrid>
      <w:tr>
        <w:trPr>
          <w:tblHeader w:val="true"/>
          <w:cantSplit w:val="true"/>
        </w:trPr>
        <w:tc>
          <w:tcPr>
            <w:tcW w:w="330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5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SQB: milliy</w:t>
            </w:r>
          </w:p>
        </w:tc>
        <w:tc>
          <w:tcPr>
            <w:tcW w:w="15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SQB: MHXS</w:t>
            </w:r>
          </w:p>
        </w:tc>
        <w:tc>
          <w:tcPr>
            <w:tcW w:w="15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MKB: milliy</w:t>
            </w:r>
          </w:p>
        </w:tc>
        <w:tc>
          <w:tcPr>
            <w:tcW w:w="159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MKB: MHXS</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K1. CET1 monandligi,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10,21 (3,88)</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8,87 (3,35)</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16,39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18,24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K2. Regulyativ kapital monandligi,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17,02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15,32 (3,93)</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18,46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19,96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K3. Leverage,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12,25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11,07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16,82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18,72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A1. Muammoli / 3-bosqich kreditlar,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2,53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7,48 (2,50)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4,41 (3,29)</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12,34 (1,53)</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A2. Substandart / 2-bosqich kreditlar,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18,44 (2,66)</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35,66 (1,00)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9,00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25,30 (1,97)</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A3. Qoplanmagan muammoli kreditlar / kapital,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8,1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7,3 (3,27)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10,3 (2,97)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26,4 (1,36)</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L1. LCR,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222,9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154,0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231,9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231,9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L2. NSFR,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122,2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124,8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113,0 (3,30)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113,0 (3,30)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L3. Kreditlar / depozitlar,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206,5 (1,00)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221,0 (1,00)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208,5 (1,00)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324,4 (1,00)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D1. ROA,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1,98 (3,97)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1,70 (3,50)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0,59 (1,84)</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0,15 (1,21)</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D2. ROE,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17,2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15,7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 (1,70)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 (1,16)</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D3. Xarajatlar / daromadlar,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36,5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41,9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65,5 (2,73)</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88,0 (1,60)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V1. Xorijiy valyutadagi kreditlar,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60,1 (1,33)</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60,1 (1,33)</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 (4,00)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 (4,00)</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V2. Xorijiy valyutadagi majburiyatlar, %</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60,9 (1,61)</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60,9 (1,61)</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31,4 (3,57)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31,4 (3,57)</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MBII</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3,40</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2,94</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3,27</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2,62</w:t>
            </w:r>
          </w:p>
        </w:tc>
      </w:tr>
      <w:tr>
        <w:trPr>
          <w:cantSplit w:val="true"/>
        </w:trPr>
        <w:tc>
          <w:tcPr>
            <w:tcW w:w="33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Sinf</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w:t>
            </w:r>
          </w:p>
        </w:tc>
        <w:tc>
          <w:tcPr>
            <w:tcW w:w="159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r>
    </w:tbl>
    <w:p>
      <w:pPr>
        <w:pStyle w:val="BodyText"/>
        <w:spacing w:lineRule="auto" w:line="360" w:before="0" w:after="0"/>
        <w:ind w:firstLine="709"/>
        <w:jc w:val="both"/>
        <w:rPr/>
      </w:pPr>
      <w:r>
        <w:rPr>
          <w:rFonts w:eastAsia="Times New Roman" w:cs="Times New Roman"/>
          <w:i/>
          <w:iCs/>
          <w:sz w:val="28"/>
        </w:rPr>
        <w:t>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Rule="auto" w:line="360" w:before="0" w:after="0"/>
        <w:ind w:firstLine="709"/>
        <w:jc w:val="both"/>
        <w:rPr/>
      </w:pPr>
      <w:r>
        <w:rPr>
          <w:rFonts w:eastAsia="Times New Roman" w:cs="Times New Roman"/>
          <w:sz w:val="28"/>
        </w:rPr>
        <w:t>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w:pPr>
        <w:pStyle w:val="BodyText"/>
        <w:keepNext w:val="true"/>
        <w:spacing w:lineRule="auto" w:line="240" w:before="0" w:after="0"/>
        <w:ind w:hanging="0"/>
        <w:jc w:val="center"/>
        <w:rPr/>
      </w:pPr>
      <w:r>
        <w:rPr/>
        <w:drawing>
          <wp:inline distT="0" distB="0" distL="0" distR="0">
            <wp:extent cx="5760085" cy="2879725"/>
            <wp:effectExtent l="0" t="0" r="0" b="0"/>
            <wp:docPr id="321" name="3.1.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pPr>
        <w:pStyle w:val="BodyText"/>
        <w:spacing w:lineRule="auto" w:line="240" w:before="120" w:after="240"/>
        <w:ind w:hanging="0"/>
        <w:jc w:val="center"/>
        <w:rPr/>
      </w:pPr>
      <w:r>
        <w:rPr>
          <w:rFonts w:eastAsia="Times New Roman" w:cs="Times New Roman"/>
          <w:b/>
          <w:sz w:val="28"/>
        </w:rPr>
        <w:t>3.1.3-rasm. «O‘zsanoatqurilishbank» ATB va «Mikrokreditbank» ATB da integral indeks bloklari ballari: milliy hisobot va MHXS, 2025-yil</w:t>
      </w:r>
      <w:r>
        <w:rPr>
          <w:rStyle w:val="FootnoteReference"/>
        </w:rPr>
        <w:footnoteReference w:id="317"/>
      </w:r>
    </w:p>
    <w:p>
      <w:pPr>
        <w:pStyle w:val="BodyText"/>
        <w:spacing w:lineRule="auto" w:line="360" w:before="0" w:after="0"/>
        <w:ind w:firstLine="709"/>
        <w:jc w:val="both"/>
        <w:rPr/>
      </w:pPr>
      <w:r>
        <w:rPr>
          <w:rFonts w:eastAsia="Times New Roman" w:cs="Times New Roman"/>
          <w:sz w:val="28"/>
        </w:rPr>
        <w:t>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Rule="auto" w:line="360" w:before="0" w:after="0"/>
        <w:ind w:firstLine="709"/>
        <w:jc w:val="both"/>
        <w:rPr/>
      </w:pPr>
      <w:r>
        <w:rPr>
          <w:rFonts w:eastAsia="Times New Roman" w:cs="Times New Roman"/>
          <w:sz w:val="28"/>
        </w:rPr>
        <w:t>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Rule="auto" w:line="360" w:before="0" w:after="0"/>
        <w:ind w:firstLine="709"/>
        <w:jc w:val="both"/>
        <w:rPr/>
      </w:pPr>
      <w:r>
        <w:rPr>
          <w:rFonts w:eastAsia="Times New Roman" w:cs="Times New Roman"/>
          <w:sz w:val="28"/>
        </w:rPr>
        <w:t>Metodika natijalarining ishonchliligini tekshirish uchun indeks uch xil vaznlar tizimi bo‘yicha qayta hisoblandi: taklif etilayotgan vaznlar, teng vaznlar va O‘zbekistonda CAMEL tizimi uchun keltirilgan nisbat (3.1.4-rasm).</w:t>
      </w:r>
    </w:p>
    <w:p>
      <w:pPr>
        <w:pStyle w:val="BodyText"/>
        <w:keepNext w:val="true"/>
        <w:spacing w:lineRule="auto" w:line="240" w:before="0" w:after="0"/>
        <w:ind w:hanging="0"/>
        <w:jc w:val="center"/>
        <w:rPr/>
      </w:pPr>
      <w:r>
        <w:rPr/>
        <w:drawing>
          <wp:inline distT="0" distB="0" distL="0" distR="0">
            <wp:extent cx="5760085" cy="2879725"/>
            <wp:effectExtent l="0" t="0" r="0" b="0"/>
            <wp:docPr id="322" name="3.1.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pPr>
        <w:pStyle w:val="BodyText"/>
        <w:spacing w:lineRule="auto" w:line="240" w:before="120" w:after="240"/>
        <w:ind w:hanging="0"/>
        <w:jc w:val="center"/>
        <w:rPr/>
      </w:pPr>
      <w:r>
        <w:rPr>
          <w:rFonts w:eastAsia="Times New Roman" w:cs="Times New Roman"/>
          <w:b/>
          <w:sz w:val="28"/>
        </w:rPr>
        <w:t>3.1.4-rasm. Moliyaviy barqarorlikning integral indeksi qiymatlarining vaznlar tizimiga sezgirligi, 2025-yil</w:t>
      </w:r>
      <w:r>
        <w:rPr>
          <w:rStyle w:val="FootnoteReference"/>
        </w:rPr>
        <w:footnoteReference w:id="318"/>
      </w:r>
    </w:p>
    <w:p>
      <w:pPr>
        <w:pStyle w:val="BodyText"/>
        <w:spacing w:lineRule="auto" w:line="360" w:before="0" w:after="0"/>
        <w:ind w:firstLine="709"/>
        <w:jc w:val="both"/>
        <w:rPr/>
      </w:pPr>
      <w:r>
        <w:rPr>
          <w:rFonts w:eastAsia="Times New Roman" w:cs="Times New Roman"/>
          <w:sz w:val="28"/>
        </w:rPr>
        <w:t>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Rule="auto" w:line="360" w:before="0" w:after="0"/>
        <w:ind w:firstLine="709"/>
        <w:jc w:val="both"/>
        <w:rPr/>
      </w:pPr>
      <w:r>
        <w:rPr>
          <w:rFonts w:eastAsia="Times New Roman" w:cs="Times New Roman"/>
          <w:sz w:val="28"/>
        </w:rPr>
        <w:t>Taklif etilayotgan metodikaning mavjud yondashuvlardan farqini aniqlash uchun u xalqaro va xorijiy amaliyotda keng qo‘llanadigan metodikalar bilan solishtirildi (3.1.6-jadval).</w:t>
      </w:r>
    </w:p>
    <w:p>
      <w:pPr>
        <w:pStyle w:val="BodyText"/>
        <w:keepNext w:val="true"/>
        <w:spacing w:lineRule="auto" w:line="360" w:before="120" w:after="0"/>
        <w:ind w:hanging="0"/>
        <w:jc w:val="right"/>
        <w:rPr/>
      </w:pPr>
      <w:r>
        <w:rPr>
          <w:rFonts w:eastAsia="Times New Roman" w:cs="Times New Roman"/>
          <w:i/>
          <w:sz w:val="28"/>
        </w:rPr>
        <w:t>3.1.6-jadval</w:t>
      </w:r>
    </w:p>
    <w:p>
      <w:pPr>
        <w:pStyle w:val="BodyText"/>
        <w:keepNext w:val="true"/>
        <w:spacing w:lineRule="auto" w:line="240" w:before="0" w:after="120"/>
        <w:ind w:hanging="0"/>
        <w:jc w:val="center"/>
        <w:rPr/>
      </w:pPr>
      <w:r>
        <w:rPr>
          <w:rFonts w:eastAsia="Times New Roman" w:cs="Times New Roman"/>
          <w:b/>
          <w:bCs/>
          <w:sz w:val="28"/>
        </w:rPr>
        <w:t>Moliyaviy barqarorlikning integral indeksi va mavjud baholash metodikalarining qiyosiy tavsifi</w:t>
      </w:r>
      <w:r>
        <w:rPr>
          <w:rStyle w:val="FootnoteReference"/>
        </w:rPr>
        <w:footnoteReference w:id="319"/>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772"/>
        <w:gridCol w:w="1891"/>
        <w:gridCol w:w="2008"/>
        <w:gridCol w:w="1891"/>
        <w:gridCol w:w="2127"/>
      </w:tblGrid>
      <w:tr>
        <w:trPr>
          <w:tblHeader w:val="true"/>
          <w:cantSplit w:val="true"/>
        </w:trPr>
        <w:tc>
          <w:tcPr>
            <w:tcW w:w="177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Belgi</w:t>
            </w:r>
          </w:p>
        </w:tc>
        <w:tc>
          <w:tcPr>
            <w:tcW w:w="189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CAMELS (AQSh)</w:t>
            </w:r>
          </w:p>
        </w:tc>
        <w:tc>
          <w:tcPr>
            <w:tcW w:w="200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Rossiya Banki metodikasi</w:t>
            </w:r>
          </w:p>
        </w:tc>
        <w:tc>
          <w:tcPr>
            <w:tcW w:w="189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XVJ barqarorlik ko‘rsatkichlari</w:t>
            </w:r>
          </w:p>
        </w:tc>
        <w:tc>
          <w:tcPr>
            <w:tcW w:w="212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Taklif etilayotgan MBII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Natija</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1–5 ballik kompozit reyting</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Bloklar bo‘yicha ball, guruhlarga ajratish</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Ko‘rsatkichlar to‘plami, yagona baho yo‘q</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1–4 oraliqdagi uzluksiz indeks va 4 sinf</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Ochiqlik</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siri</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Metodika ochiq, natija yopiq</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Ochiq</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Metodika va ma’lumotlar ochiq</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Xalqaro standartlarga bog‘liqlik</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Qisman</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normativlarga bog‘langan</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XVJ standarti</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Bazel III, MHXS 9, XVJ</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Nazoratchi bahosi</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tasnif</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Milliy ta’rif</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9 bosqichlari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Hisobot standarti farqi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Hisobga olinmaydi</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Hisobga olinmaydi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Hisobga olinmaydi</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ΔMBII va tuzatish koeffitsiyentlari</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Ball shkalasi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Pog‘onali</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Pog‘onali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Uzluksiz (chiziqli interpolyatsiya)</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Valyuta riski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Bozor riski doirasida</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Alohida blok yo‘q</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ochiq pozitsiya</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Alohida blok</w:t>
            </w:r>
          </w:p>
        </w:tc>
      </w:tr>
      <w:tr>
        <w:trPr>
          <w:cantSplit w:val="true"/>
        </w:trPr>
        <w:tc>
          <w:tcPr>
            <w:tcW w:w="177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Nazorat choralari bilan bog‘liqlik</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Bevosita</w:t>
            </w:r>
          </w:p>
        </w:tc>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Bevosita</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Yo‘q</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Sinflar bo‘yicha choralar</w:t>
            </w:r>
          </w:p>
        </w:tc>
      </w:tr>
    </w:tbl>
    <w:p>
      <w:pPr>
        <w:pStyle w:val="BodyText"/>
        <w:spacing w:lineRule="auto" w:line="360" w:before="0" w:after="0"/>
        <w:ind w:firstLine="709"/>
        <w:jc w:val="both"/>
        <w:rPr/>
      </w:pPr>
      <w:r>
        <w:rPr>
          <w:rFonts w:eastAsia="Times New Roman" w:cs="Times New Roman"/>
          <w:sz w:val="28"/>
        </w:rP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Rule="auto" w:line="360" w:before="0" w:after="0"/>
        <w:ind w:firstLine="709"/>
        <w:jc w:val="both"/>
        <w:rPr/>
      </w:pPr>
      <w:bookmarkStart w:id="38" w:name="X1b5accc681c3101e34ae1424a5e2c752f5d3c99"/>
      <w:r>
        <w:rPr>
          <w:rFonts w:eastAsia="Times New Roman" w:cs="Times New Roman"/>
          <w:sz w:val="28"/>
        </w:rPr>
        <w:t>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bookmarkEnd w:id="38"/>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39" w:name="__RefHeading___Toc38208_2843893380"/>
      <w:bookmarkStart w:id="40" w:name="Xedf75e61584998612e27357f6db1c0de4e5c383"/>
      <w:bookmarkEnd w:id="39"/>
      <w:r>
        <w:rPr>
          <w:rFonts w:eastAsia="Times New Roman" w:cs="Times New Roman" w:ascii="Times New Roman" w:hAnsi="Times New Roman"/>
          <w:b/>
          <w:i w:val="false"/>
          <w:sz w:val="28"/>
        </w:rPr>
        <w:t>3.2-§. Tijorat banklari moliyaviy barqarorligini integral indeks asosida reyting baholash</w:t>
      </w:r>
    </w:p>
    <w:p>
      <w:pPr>
        <w:pStyle w:val="FirstParagraph"/>
        <w:spacing w:lineRule="auto" w:line="360" w:before="0" w:after="0"/>
        <w:ind w:firstLine="709"/>
        <w:jc w:val="both"/>
        <w:rPr/>
      </w:pPr>
      <w:r>
        <w:rPr>
          <w:rFonts w:eastAsia="Times New Roman" w:cs="Times New Roman"/>
          <w:sz w:val="28"/>
        </w:rPr>
        <w:t>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20"/>
      </w:r>
      <w:r>
        <w:rPr>
          <w:rStyle w:val="FootnoteReference"/>
        </w:rPr>
        <w:footnoteReference w:customMarkFollows="1" w:id="321"/>
      </w:r>
      <w:r>
        <w:rPr>
          <w:rStyle w:val="FootnoteReference"/>
        </w:rPr>
        <w:footnoteReference w:customMarkFollows="1" w:id="322"/>
      </w:r>
      <w:r>
        <w:rPr>
          <w:rStyle w:val="FootnoteReference"/>
        </w:rPr>
        <w:footnoteReference w:customMarkFollows="1" w:id="323"/>
      </w:r>
      <w:r>
        <w:rPr>
          <w:rStyle w:val="FootnoteReference"/>
        </w:rPr>
        <w:footnoteReference w:customMarkFollows="1" w:id="324"/>
      </w:r>
      <w:r>
        <w:rPr>
          <w:rStyle w:val="FootnoteReference"/>
        </w:rPr>
        <w:footnoteReference w:customMarkFollows="1" w:id="325"/>
      </w:r>
      <w:r>
        <w:rPr>
          <w:rStyle w:val="FootnoteReference"/>
        </w:rPr>
        <w:footnoteReference w:customMarkFollows="1" w:id="326"/>
      </w:r>
      <w:r>
        <w:rPr>
          <w:rStyle w:val="FootnoteReference"/>
        </w:rPr>
        <w:footnoteReference w:customMarkFollows="1" w:id="327"/>
      </w:r>
      <w:r>
        <w:rPr>
          <w:rStyle w:val="FootnoteReference"/>
        </w:rPr>
        <w:footnoteReference w:customMarkFollows="1" w:id="328"/>
      </w:r>
      <w:r>
        <w:rPr>
          <w:rStyle w:val="FootnoteReference"/>
        </w:rPr>
        <w:footnoteReference w:customMarkFollows="1" w:id="329"/>
      </w:r>
      <w:r>
        <w:rPr>
          <w:rStyle w:val="FootnoteReference"/>
        </w:rPr>
        <w:footnoteReference w:customMarkFollows="1" w:id="330"/>
      </w:r>
      <w:r>
        <w:rPr>
          <w:rStyle w:val="FootnoteReference"/>
        </w:rPr>
        <w:footnoteReference w:customMarkFollows="1" w:id="331"/>
      </w:r>
      <w:r>
        <w:rPr>
          <w:rStyle w:val="FootnoteReference"/>
        </w:rPr>
        <w:footnoteReference w:customMarkFollows="1" w:id="332"/>
      </w:r>
      <w:r>
        <w:rPr>
          <w:rStyle w:val="FootnoteReference"/>
        </w:rPr>
        <w:footnoteReference w:customMarkFollows="1" w:id="333"/>
      </w:r>
      <w:r>
        <w:rPr>
          <w:rStyle w:val="FootnoteReference"/>
        </w:rPr>
        <w:footnoteReference w:customMarkFollows="1" w:id="334"/>
      </w:r>
      <w:r>
        <w:rPr>
          <w:rStyle w:val="FootnoteReference"/>
        </w:rPr>
        <w:footnoteReference w:customMarkFollows="1" w:id="335"/>
      </w:r>
      <w:r>
        <w:rPr>
          <w:rStyle w:val="FootnoteReference"/>
        </w:rPr>
        <w:footnoteReference w:customMarkFollows="1" w:id="336"/>
      </w:r>
      <w:r>
        <w:rPr>
          <w:rStyle w:val="FootnoteReference"/>
        </w:rPr>
        <w:footnoteReference w:customMarkFollows="1" w:id="337"/>
      </w:r>
      <w:r>
        <w:rPr>
          <w:rStyle w:val="FootnoteReference"/>
        </w:rPr>
        <w:footnoteReference w:customMarkFollows="1" w:id="338"/>
      </w:r>
      <w:r>
        <w:rPr>
          <w:rStyle w:val="FootnoteReference"/>
        </w:rPr>
        <w:footnoteReference w:customMarkFollows="1" w:id="339"/>
      </w:r>
      <w:r>
        <w:rPr>
          <w:rStyle w:val="FootnoteReference"/>
        </w:rPr>
        <w:footnoteReference w:customMarkFollows="1" w:id="340"/>
      </w:r>
      <w:r>
        <w:rPr>
          <w:rStyle w:val="FootnoteReference"/>
        </w:rPr>
        <w:footnoteReference w:customMarkFollows="1" w:id="341"/>
      </w:r>
      <w:r>
        <w:rPr>
          <w:rStyle w:val="FootnoteReference"/>
        </w:rPr>
        <w:footnoteReference w:customMarkFollows="1" w:id="342"/>
      </w:r>
      <w:r>
        <w:rPr>
          <w:rStyle w:val="FootnoteReference"/>
        </w:rPr>
        <w:footnoteReference w:customMarkFollows="1" w:id="343"/>
      </w:r>
      <w:r>
        <w:rPr>
          <w:rStyle w:val="FootnoteReference"/>
        </w:rPr>
        <w:footnoteReference w:customMarkFollows="1" w:id="344"/>
      </w:r>
      <w:r>
        <w:rPr>
          <w:rStyle w:val="FootnoteReference"/>
        </w:rPr>
        <w:footnoteReference w:customMarkFollows="1" w:id="345"/>
      </w:r>
      <w:r>
        <w:rPr>
          <w:rStyle w:val="FootnoteReference"/>
        </w:rPr>
        <w:footnoteReference w:customMarkFollows="1" w:id="346"/>
      </w:r>
      <w:r>
        <w:rPr>
          <w:rStyle w:val="FootnoteReference"/>
        </w:rPr>
        <w:footnoteReference w:customMarkFollows="1" w:id="347"/>
      </w:r>
      <w:r>
        <w:rPr>
          <w:rStyle w:val="FootnoteReference"/>
        </w:rPr>
        <w:footnoteReference w:customMarkFollows="1" w:id="348"/>
      </w:r>
      <w:r>
        <w:rPr>
          <w:rStyle w:val="FootnoteReference"/>
        </w:rPr>
        <w:footnoteReference w:customMarkFollows="1" w:id="349"/>
      </w:r>
      <w:r>
        <w:rPr>
          <w:rStyle w:val="FootnoteReference"/>
        </w:rPr>
        <w:footnoteReference w:customMarkFollows="1" w:id="350"/>
      </w:r>
      <w:r>
        <w:rPr>
          <w:rFonts w:eastAsia="Times New Roman" w:cs="Times New Roman"/>
          <w:sz w:val="28"/>
        </w:rPr>
        <w:t>.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51"/>
      </w:r>
      <w:r>
        <w:rPr>
          <w:rStyle w:val="FootnoteReference"/>
        </w:rPr>
        <w:footnoteReference w:id="352"/>
      </w:r>
      <w:r>
        <w:rPr>
          <w:rFonts w:eastAsia="Times New Roman" w:cs="Times New Roman"/>
          <w:sz w:val="28"/>
        </w:rPr>
        <w:t>.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Rule="auto" w:line="360" w:before="0" w:after="0"/>
        <w:ind w:firstLine="709"/>
        <w:jc w:val="both"/>
        <w:rPr/>
      </w:pPr>
      <w:r>
        <w:rPr>
          <w:rFonts w:eastAsia="Times New Roman" w:cs="Times New Roman"/>
          <w:sz w:val="28"/>
        </w:rPr>
        <w:t>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53"/>
      </w:r>
      <w:r>
        <w:rPr>
          <w:rFonts w:eastAsia="Times New Roman" w:cs="Times New Roman"/>
          <w:sz w:val="28"/>
        </w:rPr>
        <w:t>. Har bir yil ko‘rsatkichlari keyingi yil hisobotidagi qayta hisoblangan qiyosiy ma’lumotlardan olindi: 2024 va 2025-yillar uchun 2025-yil hisobotidan, 2023-yil uchun 2024-yil hisobotidan va hokazo</w:t>
      </w:r>
      <w:r>
        <w:rPr>
          <w:rStyle w:val="FootnoteReference"/>
        </w:rPr>
        <w:footnoteReference w:id="354"/>
      </w:r>
      <w:r>
        <w:rPr>
          <w:rStyle w:val="FootnoteReference"/>
        </w:rPr>
        <w:footnoteReference w:id="355"/>
      </w:r>
      <w:r>
        <w:rPr>
          <w:rStyle w:val="FootnoteReference"/>
        </w:rPr>
        <w:footnoteReference w:id="356"/>
      </w:r>
      <w:r>
        <w:rPr>
          <w:rStyle w:val="FootnoteReference"/>
        </w:rPr>
        <w:footnoteReference w:id="357"/>
      </w:r>
      <w:r>
        <w:rPr>
          <w:rStyle w:val="FootnoteReference"/>
        </w:rPr>
        <w:footnoteReference w:id="358"/>
      </w:r>
      <w:r>
        <w:rPr>
          <w:rFonts w:eastAsia="Times New Roman" w:cs="Times New Roman"/>
          <w:sz w:val="28"/>
        </w:rPr>
        <w:t>.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59"/>
      </w:r>
      <w:r>
        <w:rPr>
          <w:rStyle w:val="FootnoteReference"/>
        </w:rPr>
        <w:footnoteReference w:id="360"/>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val="true"/>
        <w:spacing w:lineRule="auto" w:line="360" w:before="120" w:after="0"/>
        <w:ind w:hanging="0"/>
        <w:jc w:val="right"/>
        <w:rPr/>
      </w:pPr>
      <w:r>
        <w:rPr>
          <w:rFonts w:eastAsia="Times New Roman" w:cs="Times New Roman"/>
          <w:i/>
          <w:sz w:val="28"/>
        </w:rPr>
        <w:t>3.2.1-jadval</w:t>
      </w:r>
    </w:p>
    <w:p>
      <w:pPr>
        <w:pStyle w:val="BodyText"/>
        <w:keepNext w:val="true"/>
        <w:spacing w:lineRule="auto" w:line="240" w:before="0" w:after="120"/>
        <w:ind w:hanging="0"/>
        <w:jc w:val="center"/>
        <w:rPr/>
      </w:pPr>
      <w:r>
        <w:rPr>
          <w:rFonts w:eastAsia="Times New Roman" w:cs="Times New Roman"/>
          <w:b/>
          <w:bCs/>
          <w:sz w:val="28"/>
        </w:rPr>
        <w:t>Integral indeksni ochiq ma’lumotlar asosida hisoblashda ko‘rsatkichlarning moslashtirilishi</w:t>
      </w:r>
      <w:r>
        <w:rPr>
          <w:rStyle w:val="FootnoteReference"/>
        </w:rPr>
        <w:footnoteReference w:id="36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8"/>
        <w:gridCol w:w="3190"/>
        <w:gridCol w:w="2127"/>
        <w:gridCol w:w="2363"/>
      </w:tblGrid>
      <w:tr>
        <w:trPr>
          <w:tblHeader w:val="true"/>
          <w:cantSplit w:val="true"/>
        </w:trPr>
        <w:tc>
          <w:tcPr>
            <w:tcW w:w="200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 (3.1-§)</w:t>
            </w:r>
          </w:p>
        </w:tc>
        <w:tc>
          <w:tcPr>
            <w:tcW w:w="31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Ochiq ma’lumotlar varianti</w:t>
            </w:r>
          </w:p>
        </w:tc>
        <w:tc>
          <w:tcPr>
            <w:tcW w:w="212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Manba</w:t>
            </w:r>
          </w:p>
        </w:tc>
        <w:tc>
          <w:tcPr>
            <w:tcW w:w="236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Asoslash</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K1. CET1 monandligi</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bo‘yicha kapital − ozchilik ulushi − joriy yil foydasi) / risk bo‘yicha tortilgan aktivlar</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hisoboti: balans, kapitalni boshqarish izohi</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Joriy foyda milliy qoidada asosiy kapitalga kirmaydi</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K2. Regulyativ kapital monandligi</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Hisobotda oshkor qilingan qiymat (Markaziy bank metodikasi)</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Kapitalni boshqarish izohi</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MHXS asosidagi qiymat e’lon qilinmaydi</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K3. Leverage</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Xususiy kapital / jami aktivlar (MHXS)</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Balans</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Yaqinlashtirilgan ko‘rsatkich</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L1. LCR, L2. NSFR</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aktivlarning jami aktivlardagi ulushi (chegaralar: 5; 10; 15; 20%)</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 ko‘rsatkichlari bazasi</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Markaziy bank talabi – kamida 10%, XVJ asosiy ko‘rsatkichi</w:t>
            </w:r>
          </w:p>
        </w:tc>
      </w:tr>
      <w:tr>
        <w:trPr>
          <w:cantSplit w:val="true"/>
        </w:trPr>
        <w:tc>
          <w:tcPr>
            <w:tcW w:w="200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Qolgan 10 ta ko‘rsatkich</w:t>
            </w:r>
          </w:p>
        </w:tc>
        <w:tc>
          <w:tcPr>
            <w:tcW w:w="31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O‘zgarishsiz, MHXS ma’lumotlari bo‘yicha</w:t>
            </w:r>
          </w:p>
        </w:tc>
        <w:tc>
          <w:tcPr>
            <w:tcW w:w="212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Bosqichlar, zaxiralar, valyuta riski izohlari</w:t>
            </w:r>
          </w:p>
        </w:tc>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bl>
    <w:p>
      <w:pPr>
        <w:pStyle w:val="BodyText"/>
        <w:spacing w:lineRule="auto" w:line="360" w:before="0" w:after="0"/>
        <w:ind w:firstLine="709"/>
        <w:jc w:val="both"/>
        <w:rPr/>
      </w:pPr>
      <w:r>
        <w:rPr>
          <w:rFonts w:eastAsia="Times New Roman" w:cs="Times New Roman"/>
          <w:sz w:val="28"/>
        </w:rPr>
        <w:t>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362"/>
      </w:r>
      <w:r>
        <w:rPr>
          <w:rFonts w:eastAsia="Times New Roman" w:cs="Times New Roman"/>
          <w:sz w:val="28"/>
        </w:rPr>
        <w:t>, Markaziy bank ham uning minimal darajasini 10 foiz qilib belgilagan</w:t>
      </w:r>
      <w:r>
        <w:rPr>
          <w:rStyle w:val="FootnoteReference"/>
        </w:rPr>
        <w:footnoteReference w:id="363"/>
      </w:r>
      <w:r>
        <w:rPr>
          <w:rFonts w:eastAsia="Times New Roman" w:cs="Times New Roman"/>
          <w:sz w:val="28"/>
        </w:rPr>
        <w:t>.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364"/>
      </w:r>
      <w:r>
        <w:rPr>
          <w:rFonts w:eastAsia="Times New Roman" w:cs="Times New Roman"/>
          <w:sz w:val="28"/>
        </w:rPr>
        <w:t>.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Rule="auto" w:line="360" w:before="0" w:after="0"/>
        <w:ind w:firstLine="709"/>
        <w:jc w:val="both"/>
        <w:rPr/>
      </w:pPr>
      <w:r>
        <w:rPr>
          <w:rFonts w:eastAsia="Times New Roman" w:cs="Times New Roman"/>
          <w:sz w:val="28"/>
        </w:rPr>
        <w:t>Hisob-kitob natijasida beshta bank bo‘yicha 2021–2025-yillar uchun integral indeks qiymatlari olindi (3.2.1-rasm).</w:t>
      </w:r>
    </w:p>
    <w:p>
      <w:pPr>
        <w:pStyle w:val="BodyText"/>
        <w:keepNext w:val="true"/>
        <w:spacing w:lineRule="auto" w:line="240" w:before="0" w:after="0"/>
        <w:ind w:hanging="0"/>
        <w:jc w:val="center"/>
        <w:rPr/>
      </w:pPr>
      <w:r>
        <w:rPr/>
        <w:drawing>
          <wp:inline distT="0" distB="0" distL="0" distR="0">
            <wp:extent cx="5760085" cy="2879725"/>
            <wp:effectExtent l="0" t="0" r="0" b="0"/>
            <wp:docPr id="323" name="3.2.1-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pPr>
        <w:pStyle w:val="BodyText"/>
        <w:spacing w:lineRule="auto" w:line="240" w:before="120" w:after="240"/>
        <w:ind w:hanging="0"/>
        <w:jc w:val="center"/>
        <w:rPr/>
      </w:pPr>
      <w:r>
        <w:rPr>
          <w:rFonts w:eastAsia="Times New Roman" w:cs="Times New Roman"/>
          <w:b/>
          <w:sz w:val="28"/>
        </w:rPr>
        <w:t>3.2.1-rasm. Tanlangan banklarda moliyaviy barqarorlikning integral indeksi, MHXS hisobotlari asosida, 2021–2025-yillar</w:t>
      </w:r>
      <w:r>
        <w:rPr>
          <w:rStyle w:val="FootnoteReference"/>
        </w:rPr>
        <w:footnoteReference w:id="365"/>
      </w:r>
    </w:p>
    <w:p>
      <w:pPr>
        <w:pStyle w:val="BodyText"/>
        <w:spacing w:lineRule="auto" w:line="360" w:before="0" w:after="0"/>
        <w:ind w:firstLine="709"/>
        <w:jc w:val="both"/>
        <w:rPr/>
      </w:pPr>
      <w:r>
        <w:rPr>
          <w:rFonts w:eastAsia="Times New Roman" w:cs="Times New Roman"/>
          <w:sz w:val="28"/>
        </w:rPr>
        <w:t>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366"/>
      </w:r>
      <w:r>
        <w:rPr>
          <w:rFonts w:eastAsia="Times New Roman" w:cs="Times New Roman"/>
          <w:sz w:val="28"/>
        </w:rPr>
        <w:t>.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367"/>
      </w:r>
      <w:r>
        <w:rPr>
          <w:rFonts w:eastAsia="Times New Roman" w:cs="Times New Roman"/>
          <w:sz w:val="28"/>
        </w:rPr>
        <w:t>. «Ipoteka-bank» ATB da indeks 2023-yilda 3,37 dan 2,69 gacha keskin pasaygan, bunga 1 615,6 mlrd so‘mlik zarar va 3-bosqich kreditlari ulushining 7,0 foizdan 18,7 foizgacha oshishi sabab bo‘lgan</w:t>
      </w:r>
      <w:r>
        <w:rPr>
          <w:rStyle w:val="FootnoteReference"/>
        </w:rPr>
        <w:footnoteReference w:id="368"/>
      </w:r>
      <w:r>
        <w:rPr>
          <w:rFonts w:eastAsia="Times New Roman" w:cs="Times New Roman"/>
          <w:sz w:val="28"/>
        </w:rPr>
        <w:t>. «O‘zsanoatqurilishbank» ATB ning indeksi butun davr mobaynida 2,75–2,93 oralig‘ida barqaror saqlangan, «Mikrokreditbank» ATB niki esa 2,20–2,47 oralig‘ida bo‘lib, besh yilning barchasida III sinfda, ya’ni zaif banklar qatorida qolgan.</w:t>
      </w:r>
    </w:p>
    <w:p>
      <w:pPr>
        <w:pStyle w:val="BodyText"/>
        <w:spacing w:lineRule="auto" w:line="360" w:before="0" w:after="0"/>
        <w:ind w:firstLine="709"/>
        <w:jc w:val="both"/>
        <w:rPr/>
      </w:pPr>
      <w:r>
        <w:rPr>
          <w:rFonts w:eastAsia="Times New Roman" w:cs="Times New Roman"/>
          <w:sz w:val="28"/>
        </w:rPr>
        <w:t>Indeks dinamikasidagi o‘zgarishlarning sabablarini aniqlash uchun 2025-yil yakunidagi ko‘rsatkichlar va ularning ballari solishtirildi (3.2.2-jadval).</w:t>
      </w:r>
    </w:p>
    <w:p>
      <w:pPr>
        <w:pStyle w:val="BodyText"/>
        <w:keepNext w:val="true"/>
        <w:spacing w:lineRule="auto" w:line="360" w:before="120" w:after="0"/>
        <w:ind w:hanging="0"/>
        <w:jc w:val="right"/>
        <w:rPr/>
      </w:pPr>
      <w:r>
        <w:rPr>
          <w:rFonts w:eastAsia="Times New Roman" w:cs="Times New Roman"/>
          <w:i/>
          <w:sz w:val="28"/>
        </w:rPr>
        <w:t>3.2.2-jadval</w:t>
      </w:r>
    </w:p>
    <w:p>
      <w:pPr>
        <w:pStyle w:val="BodyText"/>
        <w:keepNext w:val="true"/>
        <w:spacing w:lineRule="auto" w:line="240" w:before="0" w:after="120"/>
        <w:ind w:hanging="0"/>
        <w:jc w:val="center"/>
        <w:rPr/>
      </w:pPr>
      <w:r>
        <w:rPr>
          <w:rFonts w:eastAsia="Times New Roman" w:cs="Times New Roman"/>
          <w:b/>
          <w:bCs/>
          <w:sz w:val="28"/>
        </w:rPr>
        <w:t>Tanlangan banklarning integral indeks ko‘rsatkichlari va ballari, 2025-yil yakuni, MHXS</w:t>
      </w:r>
      <w:r>
        <w:rPr>
          <w:rStyle w:val="FootnoteReference"/>
        </w:rPr>
        <w:footnoteReference w:id="369"/>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99"/>
        <w:gridCol w:w="1418"/>
        <w:gridCol w:w="1418"/>
        <w:gridCol w:w="1417"/>
        <w:gridCol w:w="1419"/>
        <w:gridCol w:w="1417"/>
      </w:tblGrid>
      <w:tr>
        <w:trPr>
          <w:tblHeader w:val="true"/>
          <w:cantSplit w:val="true"/>
        </w:trPr>
        <w:tc>
          <w:tcPr>
            <w:tcW w:w="259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4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SQB</w:t>
            </w:r>
          </w:p>
        </w:tc>
        <w:tc>
          <w:tcPr>
            <w:tcW w:w="14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MKB</w:t>
            </w:r>
          </w:p>
        </w:tc>
        <w:tc>
          <w:tcPr>
            <w:tcW w:w="141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BRB</w:t>
            </w:r>
          </w:p>
        </w:tc>
        <w:tc>
          <w:tcPr>
            <w:tcW w:w="141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Xalq banki</w:t>
            </w:r>
          </w:p>
        </w:tc>
        <w:tc>
          <w:tcPr>
            <w:tcW w:w="141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Ipoteka-bank</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CET1 monandligi,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9,1 (3,45)</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18,3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9,5 (3,60)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16,3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15,0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Regulyativ kapital monandligi,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17,0 (4,00)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18,1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17,5 (4,00)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22,2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19,8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 aktivlar,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10,6 (4,00)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20,2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9,9 (4,00)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18,4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15,1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3-bosqich kreditlari,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7,5 (2,50)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12,3 (1,53)</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8,2 (2,37)</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5,2 (2,96)</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19,7 (1,00)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2-bosqich kreditlari,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35,7 (1,00)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25,3 (1,97)</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11,0 (3,80)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10,5 (3,89)</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8,4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Qoplanmagan muammoli kreditlar / kapital,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6,5 (3,35)</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29,1 (1,09)</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7,0 (3,30)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5,8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17,2 (2,28)</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 ulushi,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18,3 (3,66)</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15,5 (3,09)</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18,0 (3,60)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 (1,99)</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14,6 (2,91)</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221,0 (1,00)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324,5 (1,00)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242,2 (1,00)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417,2 (1,00)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228,9 (1,00)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 (3,49)</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 (1,22)</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 (3,20)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3,9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15,7 (4,00)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 (1,16)</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16,3 (4,00)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14,7 (3,95)</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28,1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Xarajatlar / daromadlar,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41,5 (4,00)</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87,6 (1,62)</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81,0 (1,95)</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43,7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47,5 (3,83)</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Xorijiy valyutadagi kreditlar,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61,2 (1,25)</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21,3 (3,91)</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12,1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16,4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Xorijiy valyutadagi majburiyatlar, %</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60,4 (1,64)</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22,4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24,4 (4,00)</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15,3 (4,00)</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24,8 (4,00)</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MBII</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2,83</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2,47</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3,23</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3,38</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3,11</w:t>
            </w:r>
          </w:p>
        </w:tc>
      </w:tr>
      <w:tr>
        <w:trPr>
          <w:cantSplit w:val="true"/>
        </w:trPr>
        <w:tc>
          <w:tcPr>
            <w:tcW w:w="259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b/>
                <w:bCs/>
                <w:kern w:val="0"/>
                <w:sz w:val="22"/>
                <w:szCs w:val="24"/>
                <w:lang w:val="en-US" w:eastAsia="en-US" w:bidi="ar-SA"/>
              </w:rPr>
              <w:t>Sinf</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c>
          <w:tcPr>
            <w:tcW w:w="14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III</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c>
          <w:tcPr>
            <w:tcW w:w="141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w:t>
            </w:r>
          </w:p>
        </w:tc>
        <w:tc>
          <w:tcPr>
            <w:tcW w:w="141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bCs/>
                <w:kern w:val="0"/>
                <w:sz w:val="22"/>
                <w:szCs w:val="24"/>
                <w:lang w:val="en-US" w:eastAsia="en-US" w:bidi="ar-SA"/>
              </w:rPr>
              <w:t>II</w:t>
            </w:r>
          </w:p>
        </w:tc>
      </w:tr>
    </w:tbl>
    <w:p>
      <w:pPr>
        <w:pStyle w:val="BodyText"/>
        <w:spacing w:lineRule="auto" w:line="360" w:before="0" w:after="0"/>
        <w:ind w:firstLine="709"/>
        <w:jc w:val="both"/>
        <w:rPr/>
      </w:pPr>
      <w:r>
        <w:rPr>
          <w:rFonts w:eastAsia="Times New Roman" w:cs="Times New Roman"/>
          <w:i/>
          <w:iCs/>
          <w:sz w:val="28"/>
        </w:rPr>
        <w:t>Izoh: qavs ichida – ball; «Mikrokreditbank» ATB hisobotida xorijiy valyutadagi kreditlar ulushi oshkor qilinmagan, shu sababli valyuta bloki bitta ko‘rsatkich bo‘yicha baholandi.</w:t>
      </w:r>
    </w:p>
    <w:p>
      <w:pPr>
        <w:pStyle w:val="BodyText"/>
        <w:spacing w:lineRule="auto" w:line="360" w:before="0" w:after="0"/>
        <w:ind w:firstLine="709"/>
        <w:jc w:val="both"/>
        <w:rPr/>
      </w:pPr>
      <w:r>
        <w:rPr>
          <w:rFonts w:eastAsia="Times New Roman" w:cs="Times New Roman"/>
          <w:sz w:val="28"/>
        </w:rPr>
        <w:t>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w:pPr>
        <w:pStyle w:val="BodyText"/>
        <w:keepNext w:val="true"/>
        <w:spacing w:lineRule="auto" w:line="240" w:before="0" w:after="0"/>
        <w:ind w:hanging="0"/>
        <w:jc w:val="center"/>
        <w:rPr/>
      </w:pPr>
      <w:r>
        <w:rPr/>
        <w:drawing>
          <wp:inline distT="0" distB="0" distL="0" distR="0">
            <wp:extent cx="5760085" cy="2879725"/>
            <wp:effectExtent l="0" t="0" r="0" b="0"/>
            <wp:docPr id="324" name="3.2.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pPr>
        <w:pStyle w:val="BodyText"/>
        <w:spacing w:lineRule="auto" w:line="240" w:before="120" w:after="240"/>
        <w:ind w:hanging="0"/>
        <w:jc w:val="center"/>
        <w:rPr/>
      </w:pPr>
      <w:r>
        <w:rPr>
          <w:rFonts w:eastAsia="Times New Roman" w:cs="Times New Roman"/>
          <w:b/>
          <w:sz w:val="28"/>
        </w:rPr>
        <w:t>3.2.2-rasm. Tanlangan banklarda integral indeks bloklari ballari, 2025-yil</w:t>
      </w:r>
      <w:r>
        <w:rPr>
          <w:rStyle w:val="FootnoteReference"/>
        </w:rPr>
        <w:footnoteReference w:id="370"/>
      </w:r>
    </w:p>
    <w:p>
      <w:pPr>
        <w:pStyle w:val="BodyText"/>
        <w:spacing w:lineRule="auto" w:line="360" w:before="0" w:after="0"/>
        <w:ind w:firstLine="709"/>
        <w:jc w:val="both"/>
        <w:rPr/>
      </w:pPr>
      <w:r>
        <w:rPr>
          <w:rFonts w:eastAsia="Times New Roman" w:cs="Times New Roman"/>
          <w:sz w:val="28"/>
        </w:rPr>
        <w:t>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Rule="auto" w:line="360" w:before="0" w:after="0"/>
        <w:ind w:firstLine="709"/>
        <w:jc w:val="both"/>
        <w:rPr/>
      </w:pPr>
      <w:r>
        <w:rPr>
          <w:rFonts w:eastAsia="Times New Roman" w:cs="Times New Roman"/>
          <w:sz w:val="28"/>
        </w:rPr>
        <w:t>Besh yil bo‘yicha indeks qiymatlari asosida banklar reytingi tuzildi (3.2.3-jadval).</w:t>
      </w:r>
    </w:p>
    <w:p>
      <w:pPr>
        <w:pStyle w:val="BodyText"/>
        <w:keepNext w:val="true"/>
        <w:spacing w:lineRule="auto" w:line="360" w:before="120" w:after="0"/>
        <w:ind w:hanging="0"/>
        <w:jc w:val="right"/>
        <w:rPr/>
      </w:pPr>
      <w:r>
        <w:rPr>
          <w:rFonts w:eastAsia="Times New Roman" w:cs="Times New Roman"/>
          <w:i/>
          <w:sz w:val="28"/>
        </w:rPr>
        <w:t>3.2.3-jadval</w:t>
      </w:r>
    </w:p>
    <w:p>
      <w:pPr>
        <w:pStyle w:val="BodyText"/>
        <w:keepNext w:val="true"/>
        <w:spacing w:lineRule="auto" w:line="240" w:before="0" w:after="120"/>
        <w:ind w:hanging="0"/>
        <w:jc w:val="center"/>
        <w:rPr/>
      </w:pPr>
      <w:r>
        <w:rPr>
          <w:rFonts w:eastAsia="Times New Roman" w:cs="Times New Roman"/>
          <w:b/>
          <w:bCs/>
          <w:sz w:val="28"/>
        </w:rPr>
        <w:t>Tanlangan banklarning moliyaviy barqarorlik reytingi, MHXS asosida, 2021–2025-yillar</w:t>
      </w:r>
      <w:r>
        <w:rPr>
          <w:rStyle w:val="FootnoteReference"/>
        </w:rPr>
        <w:footnoteReference w:id="37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04"/>
        <w:gridCol w:w="1477"/>
        <w:gridCol w:w="1477"/>
        <w:gridCol w:w="1476"/>
        <w:gridCol w:w="1478"/>
        <w:gridCol w:w="1476"/>
      </w:tblGrid>
      <w:tr>
        <w:trPr>
          <w:tblHeader w:val="true"/>
          <w:cantSplit w:val="true"/>
        </w:trPr>
        <w:tc>
          <w:tcPr>
            <w:tcW w:w="230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Bank</w:t>
            </w:r>
          </w:p>
        </w:tc>
        <w:tc>
          <w:tcPr>
            <w:tcW w:w="147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2021</w:t>
            </w:r>
          </w:p>
        </w:tc>
        <w:tc>
          <w:tcPr>
            <w:tcW w:w="1477"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2022</w:t>
            </w:r>
          </w:p>
        </w:tc>
        <w:tc>
          <w:tcPr>
            <w:tcW w:w="147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2023</w:t>
            </w:r>
          </w:p>
        </w:tc>
        <w:tc>
          <w:tcPr>
            <w:tcW w:w="147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2024</w:t>
            </w:r>
          </w:p>
        </w:tc>
        <w:tc>
          <w:tcPr>
            <w:tcW w:w="147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2025</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Xalq banki</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2,66 (II) – 3</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2,71 (II) – 3</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2,96 (II) – 1</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3,20 (II) – 1</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3,38 (I) – 1</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Biznesni rivojlantirish banki</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2,51 (II) – 4</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2,25 (III) – 5</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2,03 (III) – 5</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2,58 (II) – 4</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3,23 (II) – 2</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Ipoteka-bank</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3,32 (I) – 1</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3,37 (I) – 1</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2,69 (II) – 3</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3,13 (II) – 2</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3,11 (II) – 3</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O‘zsanoatqurilishbank</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2,93 (II) – 2</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2,82 (II) – 2</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2,91 (II) – 2</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2,75 (II) – 3</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2,83 (II) – 4</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Mikrokreditbank</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2,20 (III) – 5</w:t>
            </w:r>
          </w:p>
        </w:tc>
        <w:tc>
          <w:tcPr>
            <w:tcW w:w="1477"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2,31 (III) – 4</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2,22 (III) – 4</w:t>
            </w:r>
          </w:p>
        </w:tc>
        <w:tc>
          <w:tcPr>
            <w:tcW w:w="147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2,24 (III) – 5</w:t>
            </w:r>
          </w:p>
        </w:tc>
        <w:tc>
          <w:tcPr>
            <w:tcW w:w="147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2,47 (III) – 5</w:t>
            </w:r>
          </w:p>
        </w:tc>
      </w:tr>
    </w:tbl>
    <w:p>
      <w:pPr>
        <w:pStyle w:val="BodyText"/>
        <w:spacing w:lineRule="auto" w:line="360" w:before="0" w:after="0"/>
        <w:ind w:firstLine="709"/>
        <w:jc w:val="both"/>
        <w:rPr/>
      </w:pPr>
      <w:r>
        <w:rPr>
          <w:rFonts w:eastAsia="Times New Roman" w:cs="Times New Roman"/>
          <w:i/>
          <w:iCs/>
          <w:sz w:val="28"/>
        </w:rPr>
        <w:t>Izoh: qavs ichida – barqarorlik sinfi, tire belgisidan keyin – reytingdagi o‘rni.</w:t>
      </w:r>
    </w:p>
    <w:p>
      <w:pPr>
        <w:pStyle w:val="BodyText"/>
        <w:spacing w:lineRule="auto" w:line="360" w:before="0" w:after="0"/>
        <w:ind w:firstLine="709"/>
        <w:jc w:val="both"/>
        <w:rPr/>
      </w:pPr>
      <w:r>
        <w:rPr>
          <w:rFonts w:eastAsia="Times New Roman" w:cs="Times New Roman"/>
          <w:sz w:val="28"/>
        </w:rPr>
        <w:t>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Rule="auto" w:line="360" w:before="0" w:after="0"/>
        <w:ind w:firstLine="709"/>
        <w:jc w:val="both"/>
        <w:rPr/>
      </w:pPr>
      <w:r>
        <w:rPr>
          <w:rFonts w:eastAsia="Times New Roman" w:cs="Times New Roman"/>
          <w:sz w:val="28"/>
        </w:rPr>
        <w:t>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372"/>
      </w:r>
      <w:r>
        <w:rPr>
          <w:rFonts w:eastAsia="Times New Roman" w:cs="Times New Roman"/>
          <w:sz w:val="28"/>
        </w:rPr>
        <w:t>. 1.3-paragrafda keltirilganidek, xalqaro reyting agentliklari bankning mustaqil, ya’ni tashqi qo‘llab-quvvatlashsiz moliyaviy barqarorligini alohida baholaydi</w:t>
      </w:r>
      <w:r>
        <w:rPr>
          <w:rStyle w:val="FootnoteReference"/>
        </w:rPr>
        <w:footnoteReference w:id="373"/>
      </w:r>
      <w:r>
        <w:rPr>
          <w:rStyle w:val="FootnoteReference"/>
        </w:rPr>
        <w:footnoteReference w:id="374"/>
      </w:r>
      <w:r>
        <w:rPr>
          <w:rFonts w:eastAsia="Times New Roman" w:cs="Times New Roman"/>
          <w:sz w:val="28"/>
        </w:rPr>
        <w:t>. Shu mantiqqa asoslanib, 2025-yil uchun integral indeks kapitalga kiritilgan mablag‘larsiz qayta hisoblandi (3.2.3-rasm).</w:t>
      </w:r>
    </w:p>
    <w:p>
      <w:pPr>
        <w:pStyle w:val="BodyText"/>
        <w:keepNext w:val="true"/>
        <w:spacing w:lineRule="auto" w:line="240" w:before="0" w:after="0"/>
        <w:ind w:hanging="0"/>
        <w:jc w:val="center"/>
        <w:rPr/>
      </w:pPr>
      <w:r>
        <w:rPr/>
        <w:drawing>
          <wp:inline distT="0" distB="0" distL="0" distR="0">
            <wp:extent cx="5760085" cy="2879725"/>
            <wp:effectExtent l="0" t="0" r="0" b="0"/>
            <wp:docPr id="325" name="3.2.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pPr>
        <w:pStyle w:val="BodyText"/>
        <w:spacing w:lineRule="auto" w:line="240" w:before="120" w:after="240"/>
        <w:ind w:hanging="0"/>
        <w:jc w:val="center"/>
        <w:rPr/>
      </w:pPr>
      <w:r>
        <w:rPr>
          <w:rFonts w:eastAsia="Times New Roman" w:cs="Times New Roman"/>
          <w:b/>
          <w:sz w:val="28"/>
        </w:rPr>
        <w:t>3.2.3-rasm. Moliyaviy barqarorlikning integral indeksi: amaldagi va davlat ko‘magisiz, 2025-yil</w:t>
      </w:r>
      <w:r>
        <w:rPr>
          <w:rStyle w:val="FootnoteReference"/>
        </w:rPr>
        <w:footnoteReference w:id="375"/>
      </w:r>
    </w:p>
    <w:p>
      <w:pPr>
        <w:pStyle w:val="BodyText"/>
        <w:spacing w:lineRule="auto" w:line="360" w:before="0" w:after="0"/>
        <w:ind w:firstLine="709"/>
        <w:jc w:val="both"/>
        <w:rPr/>
      </w:pPr>
      <w:r>
        <w:rPr>
          <w:rFonts w:eastAsia="Times New Roman" w:cs="Times New Roman"/>
          <w:sz w:val="28"/>
        </w:rPr>
        <w:t>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Rule="auto" w:line="360" w:before="0" w:after="0"/>
        <w:ind w:firstLine="709"/>
        <w:jc w:val="both"/>
        <w:rPr/>
      </w:pPr>
      <w:r>
        <w:rPr>
          <w:rFonts w:eastAsia="Times New Roman" w:cs="Times New Roman"/>
          <w:sz w:val="28"/>
        </w:rPr>
        <w:t>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376"/>
      </w:r>
      <w:r>
        <w:rPr>
          <w:rStyle w:val="FootnoteReference"/>
        </w:rPr>
        <w:footnoteReference w:id="377"/>
      </w:r>
      <w:r>
        <w:rPr>
          <w:rFonts w:eastAsia="Times New Roman" w:cs="Times New Roman"/>
          <w:sz w:val="28"/>
        </w:rPr>
        <w:t xml:space="preserve"> (3.2.4-rasm).</w:t>
      </w:r>
    </w:p>
    <w:p>
      <w:pPr>
        <w:pStyle w:val="BodyText"/>
        <w:keepNext w:val="true"/>
        <w:spacing w:lineRule="auto" w:line="240" w:before="0" w:after="0"/>
        <w:ind w:hanging="0"/>
        <w:jc w:val="center"/>
        <w:rPr/>
      </w:pPr>
      <w:r>
        <w:rPr/>
        <w:drawing>
          <wp:inline distT="0" distB="0" distL="0" distR="0">
            <wp:extent cx="5760085" cy="2879725"/>
            <wp:effectExtent l="0" t="0" r="0" b="0"/>
            <wp:docPr id="326" name="3.2.4-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pPr>
        <w:pStyle w:val="BodyText"/>
        <w:spacing w:lineRule="auto" w:line="240" w:before="120" w:after="240"/>
        <w:ind w:hanging="0"/>
        <w:jc w:val="center"/>
        <w:rPr/>
      </w:pPr>
      <w:r>
        <w:rPr>
          <w:rFonts w:eastAsia="Times New Roman" w:cs="Times New Roman"/>
          <w:b/>
          <w:sz w:val="28"/>
        </w:rPr>
        <w:t>3.2.4-rasm. «O‘zsanoatqurilishbank» ATB va «Mikrokreditbank» ATB da integral indeks: milliy hisobot va MHXS, 2021–2025-yillar</w:t>
      </w:r>
      <w:r>
        <w:rPr>
          <w:rStyle w:val="FootnoteReference"/>
        </w:rPr>
        <w:footnoteReference w:id="378"/>
      </w:r>
    </w:p>
    <w:p>
      <w:pPr>
        <w:pStyle w:val="BodyText"/>
        <w:spacing w:lineRule="auto" w:line="360" w:before="0" w:after="0"/>
        <w:ind w:firstLine="709"/>
        <w:jc w:val="both"/>
        <w:rPr/>
      </w:pPr>
      <w:r>
        <w:rPr>
          <w:rFonts w:eastAsia="Times New Roman" w:cs="Times New Roman"/>
          <w:sz w:val="28"/>
        </w:rPr>
        <w:t>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Rule="auto" w:line="360" w:before="0" w:after="0"/>
        <w:ind w:firstLine="709"/>
        <w:jc w:val="both"/>
        <w:rPr/>
      </w:pPr>
      <w:r>
        <w:rPr>
          <w:rFonts w:eastAsia="Times New Roman" w:cs="Times New Roman"/>
          <w:sz w:val="28"/>
        </w:rPr>
        <w:t>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val="true"/>
        <w:spacing w:lineRule="auto" w:line="360" w:before="120" w:after="0"/>
        <w:ind w:hanging="0"/>
        <w:jc w:val="right"/>
        <w:rPr/>
      </w:pPr>
      <w:r>
        <w:rPr>
          <w:rFonts w:eastAsia="Times New Roman" w:cs="Times New Roman"/>
          <w:i/>
          <w:sz w:val="28"/>
        </w:rPr>
        <w:t>3.2.4-jadval</w:t>
      </w:r>
    </w:p>
    <w:p>
      <w:pPr>
        <w:pStyle w:val="BodyText"/>
        <w:keepNext w:val="true"/>
        <w:spacing w:lineRule="auto" w:line="240" w:before="0" w:after="120"/>
        <w:ind w:hanging="0"/>
        <w:jc w:val="center"/>
        <w:rPr/>
      </w:pPr>
      <w:r>
        <w:rPr>
          <w:rFonts w:eastAsia="Times New Roman" w:cs="Times New Roman"/>
          <w:b/>
          <w:bCs/>
          <w:sz w:val="28"/>
        </w:rPr>
        <w:t>Davlat ulushi mavjud banklar va boshqa banklarning asosiy ko‘rsatkichlari, milliy hisobot, 2023–2025-yillar</w:t>
      </w:r>
      <w:r>
        <w:rPr>
          <w:rStyle w:val="FootnoteReference"/>
        </w:rPr>
        <w:footnoteReference w:id="379"/>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4"/>
        <w:gridCol w:w="1283"/>
        <w:gridCol w:w="1285"/>
        <w:gridCol w:w="1284"/>
        <w:gridCol w:w="1284"/>
        <w:gridCol w:w="1285"/>
        <w:gridCol w:w="1283"/>
      </w:tblGrid>
      <w:tr>
        <w:trPr>
          <w:tblHeader w:val="true"/>
          <w:cantSplit w:val="true"/>
        </w:trPr>
        <w:tc>
          <w:tcPr>
            <w:tcW w:w="198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128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Davlat banklari 2023</w:t>
            </w:r>
          </w:p>
        </w:tc>
        <w:tc>
          <w:tcPr>
            <w:tcW w:w="128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Boshqa banklar 2023</w:t>
            </w:r>
          </w:p>
        </w:tc>
        <w:tc>
          <w:tcPr>
            <w:tcW w:w="128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Davlat banklari 2024</w:t>
            </w:r>
          </w:p>
        </w:tc>
        <w:tc>
          <w:tcPr>
            <w:tcW w:w="128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Boshqa banklar 2024</w:t>
            </w:r>
          </w:p>
        </w:tc>
        <w:tc>
          <w:tcPr>
            <w:tcW w:w="128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Davlat banklari 2025</w:t>
            </w:r>
          </w:p>
        </w:tc>
        <w:tc>
          <w:tcPr>
            <w:tcW w:w="128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Boshqa banklar 2025</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Banklar soni</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1,2</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0,1</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8,1</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27,7</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0,5</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19,2</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7,6</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20,3</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240,3</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117,7</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238,0</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108,1</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190,2</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97,7</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 aktivlar,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14,3</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15,8</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16,3</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13,9</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15,8</w:t>
            </w:r>
          </w:p>
        </w:tc>
      </w:tr>
      <w:tr>
        <w:trPr>
          <w:cantSplit w:val="true"/>
        </w:trPr>
        <w:tc>
          <w:tcPr>
            <w:tcW w:w="19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 ulushi, %</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13,6</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22,0</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13,4</w:t>
            </w:r>
          </w:p>
        </w:tc>
        <w:tc>
          <w:tcPr>
            <w:tcW w:w="128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22,2</w:t>
            </w:r>
          </w:p>
        </w:tc>
        <w:tc>
          <w:tcPr>
            <w:tcW w:w="128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14,4</w:t>
            </w:r>
          </w:p>
        </w:tc>
        <w:tc>
          <w:tcPr>
            <w:tcW w:w="128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18,9</w:t>
            </w:r>
          </w:p>
        </w:tc>
      </w:tr>
    </w:tbl>
    <w:p>
      <w:pPr>
        <w:pStyle w:val="BodyText"/>
        <w:spacing w:lineRule="auto" w:line="360" w:before="0" w:after="0"/>
        <w:ind w:firstLine="709"/>
        <w:jc w:val="both"/>
        <w:rPr/>
      </w:pPr>
      <w:r>
        <w:rPr>
          <w:rFonts w:eastAsia="Times New Roman" w:cs="Times New Roman"/>
          <w:i/>
          <w:iCs/>
          <w:sz w:val="28"/>
        </w:rPr>
        <w:t>Izoh: davlat ulushi mavjud banklar – O‘zmilliybank, O‘zsanoatqurilishbank, Agrobank, Asakabank, Xalq banki, Biznesni rivojlantirish banki, Mikrokreditbank, Aloqabank, Turonbank; ko‘rsatkichlar guruh bo‘yicha jami qiymatlar asosida hisoblandi.</w:t>
      </w:r>
    </w:p>
    <w:p>
      <w:pPr>
        <w:pStyle w:val="BodyText"/>
        <w:spacing w:lineRule="auto" w:line="360" w:before="0" w:after="0"/>
        <w:ind w:firstLine="709"/>
        <w:jc w:val="both"/>
        <w:rPr/>
      </w:pPr>
      <w:r>
        <w:rPr>
          <w:rFonts w:eastAsia="Times New Roman" w:cs="Times New Roman"/>
          <w:sz w:val="28"/>
        </w:rPr>
        <w:t>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w:pPr>
        <w:pStyle w:val="BodyText"/>
        <w:keepNext w:val="true"/>
        <w:spacing w:lineRule="auto" w:line="240" w:before="0" w:after="0"/>
        <w:ind w:hanging="0"/>
        <w:jc w:val="center"/>
        <w:rPr/>
      </w:pPr>
      <w:r>
        <w:rPr/>
        <w:drawing>
          <wp:inline distT="0" distB="0" distL="0" distR="0">
            <wp:extent cx="5760085" cy="2879725"/>
            <wp:effectExtent l="0" t="0" r="0" b="0"/>
            <wp:docPr id="327" name="3.2.5-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pPr>
        <w:pStyle w:val="BodyText"/>
        <w:spacing w:lineRule="auto" w:line="240" w:before="120" w:after="240"/>
        <w:ind w:hanging="0"/>
        <w:jc w:val="center"/>
        <w:rPr/>
      </w:pPr>
      <w:r>
        <w:rPr>
          <w:rFonts w:eastAsia="Times New Roman" w:cs="Times New Roman"/>
          <w:b/>
          <w:sz w:val="28"/>
        </w:rPr>
        <w:t>3.2.5-rasm. Davlat ulushi mavjud banklar va boshqa banklarda kapital rentabelligi (ROE), %</w:t>
      </w:r>
      <w:r>
        <w:rPr>
          <w:rStyle w:val="FootnoteReference"/>
        </w:rPr>
        <w:footnoteReference w:id="380"/>
      </w:r>
    </w:p>
    <w:p>
      <w:pPr>
        <w:pStyle w:val="BodyText"/>
        <w:spacing w:lineRule="auto" w:line="360" w:before="0" w:after="0"/>
        <w:ind w:firstLine="709"/>
        <w:jc w:val="both"/>
        <w:rPr/>
      </w:pPr>
      <w:r>
        <w:rPr>
          <w:rFonts w:eastAsia="Times New Roman" w:cs="Times New Roman"/>
          <w:sz w:val="28"/>
        </w:rPr>
        <w:t>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Rule="auto" w:line="360" w:before="0" w:after="0"/>
        <w:ind w:firstLine="709"/>
        <w:jc w:val="both"/>
        <w:rPr/>
      </w:pPr>
      <w:bookmarkStart w:id="41" w:name="Xedf75e61584998612e27357f6db1c0de4e5c383"/>
      <w:r>
        <w:rPr>
          <w:rFonts w:eastAsia="Times New Roman" w:cs="Times New Roman"/>
          <w:sz w:val="28"/>
        </w:rPr>
        <w:t>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bookmarkEnd w:id="41"/>
    </w:p>
    <w:p>
      <w:pPr>
        <w:pStyle w:val="Normal"/>
        <w:rPr/>
      </w:pPr>
      <w:r>
        <w:rPr/>
      </w:r>
      <w:r>
        <w:br w:type="page"/>
      </w:r>
    </w:p>
    <w:p>
      <w:pPr>
        <w:pStyle w:val="Normal"/>
        <w:rPr/>
      </w:pPr>
      <w:r>
        <w:rPr/>
      </w:r>
    </w:p>
    <w:p>
      <w:pPr>
        <w:pStyle w:val="Heading2"/>
        <w:keepNext w:val="true"/>
        <w:spacing w:lineRule="auto" w:line="360" w:before="240" w:after="120"/>
        <w:ind w:hanging="0"/>
        <w:jc w:val="center"/>
        <w:rPr/>
      </w:pPr>
      <w:bookmarkStart w:id="42" w:name="__RefHeading___Toc38210_2843893380"/>
      <w:bookmarkStart w:id="43" w:name="X6c38a6edb9c798881b919e115f0d8939eceb0ef"/>
      <w:bookmarkEnd w:id="42"/>
      <w:r>
        <w:rPr>
          <w:rFonts w:eastAsia="Times New Roman" w:cs="Times New Roman" w:ascii="Times New Roman" w:hAnsi="Times New Roman"/>
          <w:b/>
          <w:i w:val="false"/>
          <w:sz w:val="28"/>
        </w:rPr>
        <w:t>3.3-§. Tijorat banklari moliyaviy barqarorligiga ta’sir etuvchi omillarning ekonometrik tahlili</w:t>
      </w:r>
    </w:p>
    <w:p>
      <w:pPr>
        <w:pStyle w:val="FirstParagraph"/>
        <w:spacing w:lineRule="auto" w:line="360" w:before="0" w:after="0"/>
        <w:ind w:firstLine="709"/>
        <w:jc w:val="both"/>
        <w:rPr/>
      </w:pPr>
      <w:r>
        <w:rPr>
          <w:rFonts w:eastAsia="Times New Roman" w:cs="Times New Roman"/>
          <w:sz w:val="28"/>
        </w:rP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381"/>
      </w:r>
      <w:r>
        <w:rPr>
          <w:rStyle w:val="FootnoteReference"/>
        </w:rPr>
        <w:footnoteReference w:customMarkFollows="1" w:id="382"/>
      </w:r>
      <w:r>
        <w:rPr>
          <w:rStyle w:val="FootnoteReference"/>
        </w:rPr>
        <w:footnoteReference w:customMarkFollows="1" w:id="383"/>
      </w:r>
      <w:r>
        <w:rPr>
          <w:rStyle w:val="FootnoteReference"/>
        </w:rPr>
        <w:footnoteReference w:customMarkFollows="1" w:id="384"/>
      </w:r>
      <w:r>
        <w:rPr>
          <w:rStyle w:val="FootnoteReference"/>
        </w:rPr>
        <w:footnoteReference w:customMarkFollows="1" w:id="385"/>
      </w:r>
      <w:r>
        <w:rPr>
          <w:rStyle w:val="FootnoteReference"/>
        </w:rPr>
        <w:footnoteReference w:customMarkFollows="1" w:id="386"/>
      </w:r>
      <w:r>
        <w:rPr>
          <w:rStyle w:val="FootnoteReference"/>
        </w:rPr>
        <w:footnoteReference w:customMarkFollows="1" w:id="387"/>
      </w:r>
      <w:r>
        <w:rPr>
          <w:rStyle w:val="FootnoteReference"/>
        </w:rPr>
        <w:footnoteReference w:customMarkFollows="1" w:id="388"/>
      </w:r>
      <w:r>
        <w:rPr>
          <w:rStyle w:val="FootnoteReference"/>
        </w:rPr>
        <w:footnoteReference w:customMarkFollows="1" w:id="389"/>
      </w:r>
      <w:r>
        <w:rPr>
          <w:rStyle w:val="FootnoteReference"/>
        </w:rPr>
        <w:footnoteReference w:customMarkFollows="1" w:id="390"/>
      </w:r>
      <w:r>
        <w:rPr>
          <w:rStyle w:val="FootnoteReference"/>
        </w:rPr>
        <w:footnoteReference w:customMarkFollows="1" w:id="391"/>
      </w:r>
      <w:r>
        <w:rPr>
          <w:rStyle w:val="FootnoteReference"/>
        </w:rPr>
        <w:footnoteReference w:customMarkFollows="1" w:id="392"/>
      </w:r>
      <w:r>
        <w:rPr>
          <w:rStyle w:val="FootnoteReference"/>
        </w:rPr>
        <w:footnoteReference w:customMarkFollows="1" w:id="393"/>
      </w:r>
      <w:r>
        <w:rPr>
          <w:rStyle w:val="FootnoteReference"/>
        </w:rPr>
        <w:footnoteReference w:customMarkFollows="1" w:id="394"/>
      </w:r>
      <w:r>
        <w:rPr>
          <w:rStyle w:val="FootnoteReference"/>
        </w:rPr>
        <w:footnoteReference w:customMarkFollows="1" w:id="395"/>
      </w:r>
      <w:r>
        <w:rPr>
          <w:rStyle w:val="FootnoteReference"/>
        </w:rPr>
        <w:footnoteReference w:customMarkFollows="1" w:id="396"/>
      </w:r>
      <w:r>
        <w:rPr>
          <w:rStyle w:val="FootnoteReference"/>
        </w:rPr>
        <w:footnoteReference w:customMarkFollows="1" w:id="397"/>
      </w:r>
      <w:r>
        <w:rPr>
          <w:rStyle w:val="FootnoteReference"/>
        </w:rPr>
        <w:footnoteReference w:customMarkFollows="1" w:id="398"/>
      </w:r>
      <w:r>
        <w:rPr>
          <w:rStyle w:val="FootnoteReference"/>
        </w:rPr>
        <w:footnoteReference w:customMarkFollows="1" w:id="399"/>
      </w:r>
      <w:r>
        <w:rPr>
          <w:rStyle w:val="FootnoteReference"/>
        </w:rPr>
        <w:footnoteReference w:customMarkFollows="1" w:id="400"/>
      </w:r>
      <w:r>
        <w:rPr>
          <w:rStyle w:val="FootnoteReference"/>
        </w:rPr>
        <w:footnoteReference w:customMarkFollows="1" w:id="401"/>
      </w:r>
      <w:r>
        <w:rPr>
          <w:rStyle w:val="FootnoteReference"/>
        </w:rPr>
        <w:footnoteReference w:customMarkFollows="1" w:id="402"/>
      </w:r>
      <w:r>
        <w:rPr>
          <w:rStyle w:val="FootnoteReference"/>
        </w:rPr>
        <w:footnoteReference w:customMarkFollows="1" w:id="403"/>
      </w:r>
      <w:r>
        <w:rPr>
          <w:rStyle w:val="FootnoteReference"/>
        </w:rPr>
        <w:footnoteReference w:customMarkFollows="1" w:id="404"/>
      </w:r>
      <w:r>
        <w:rPr>
          <w:rStyle w:val="FootnoteReference"/>
        </w:rPr>
        <w:footnoteReference w:customMarkFollows="1" w:id="405"/>
      </w:r>
      <w:r>
        <w:rPr>
          <w:rStyle w:val="FootnoteReference"/>
        </w:rPr>
        <w:footnoteReference w:customMarkFollows="1" w:id="406"/>
      </w:r>
      <w:r>
        <w:rPr>
          <w:rStyle w:val="FootnoteReference"/>
        </w:rPr>
        <w:footnoteReference w:customMarkFollows="1" w:id="407"/>
      </w:r>
      <w:r>
        <w:rPr>
          <w:rStyle w:val="FootnoteReference"/>
        </w:rPr>
        <w:footnoteReference w:customMarkFollows="1" w:id="408"/>
      </w:r>
      <w:r>
        <w:rPr>
          <w:rStyle w:val="FootnoteReference"/>
        </w:rPr>
        <w:footnoteReference w:customMarkFollows="1" w:id="409"/>
      </w:r>
      <w:r>
        <w:rPr>
          <w:rStyle w:val="FootnoteReference"/>
        </w:rPr>
        <w:footnoteReference w:customMarkFollows="1" w:id="410"/>
      </w:r>
      <w:r>
        <w:rPr>
          <w:rStyle w:val="FootnoteReference"/>
        </w:rPr>
        <w:footnoteReference w:customMarkFollows="1" w:id="411"/>
      </w:r>
      <w:r>
        <w:rPr>
          <w:rStyle w:val="FootnoteReference"/>
        </w:rPr>
        <w:footnoteReference w:customMarkFollows="1" w:id="412"/>
      </w:r>
      <w:r>
        <w:rPr>
          <w:rStyle w:val="FootnoteReference"/>
        </w:rPr>
        <w:footnoteReference w:customMarkFollows="1" w:id="413"/>
      </w:r>
      <w:r>
        <w:rPr>
          <w:rStyle w:val="FootnoteReference"/>
        </w:rPr>
        <w:footnoteReference w:customMarkFollows="1" w:id="414"/>
      </w:r>
      <w:r>
        <w:rPr>
          <w:rStyle w:val="FootnoteReference"/>
        </w:rPr>
        <w:footnoteReference w:customMarkFollows="1" w:id="415"/>
      </w:r>
      <w:r>
        <w:rPr>
          <w:rStyle w:val="FootnoteReference"/>
        </w:rPr>
        <w:footnoteReference w:customMarkFollows="1" w:id="416"/>
      </w:r>
      <w:r>
        <w:rPr>
          <w:rStyle w:val="FootnoteReference"/>
        </w:rPr>
        <w:footnoteReference w:customMarkFollows="1" w:id="417"/>
      </w:r>
      <w:r>
        <w:rPr>
          <w:rStyle w:val="FootnoteReference"/>
        </w:rPr>
        <w:footnoteReference w:customMarkFollows="1" w:id="418"/>
      </w:r>
      <w:r>
        <w:rPr>
          <w:rStyle w:val="FootnoteReference"/>
        </w:rPr>
        <w:footnoteReference w:customMarkFollows="1" w:id="419"/>
      </w:r>
      <w:r>
        <w:rPr>
          <w:rStyle w:val="FootnoteReference"/>
        </w:rPr>
        <w:footnoteReference w:customMarkFollows="1" w:id="420"/>
      </w:r>
      <w:r>
        <w:rPr>
          <w:rStyle w:val="FootnoteReference"/>
        </w:rPr>
        <w:footnoteReference w:customMarkFollows="1" w:id="421"/>
      </w:r>
      <w:r>
        <w:rPr>
          <w:rFonts w:eastAsia="Times New Roman" w:cs="Times New Roman"/>
          <w:sz w:val="28"/>
        </w:rPr>
        <w:t>, L. Laeven va R. Levine esa bankning to‘lovga qobiliyatsizlik riskini Z-score ko‘rsatkichi orqali o‘lchab, uning mulkchilik tuzilmasi va tartibga solish bilan bog‘liqligini aniqlagan</w:t>
      </w:r>
      <w:r>
        <w:rPr>
          <w:rStyle w:val="FootnoteReference"/>
        </w:rPr>
        <w:footnoteReference w:id="422"/>
      </w:r>
      <w:r>
        <w:rPr>
          <w:rFonts w:eastAsia="Times New Roman" w:cs="Times New Roman"/>
          <w:sz w:val="28"/>
        </w:rP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3"/>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val="true"/>
        <w:spacing w:lineRule="auto" w:line="360" w:before="120" w:after="0"/>
        <w:ind w:hanging="0"/>
        <w:jc w:val="right"/>
        <w:rPr/>
      </w:pPr>
      <w:r>
        <w:rPr>
          <w:rFonts w:eastAsia="Times New Roman" w:cs="Times New Roman"/>
          <w:i/>
          <w:sz w:val="28"/>
        </w:rPr>
        <w:t>3.3.1-jadval</w:t>
      </w:r>
    </w:p>
    <w:p>
      <w:pPr>
        <w:pStyle w:val="BodyText"/>
        <w:keepNext w:val="true"/>
        <w:spacing w:lineRule="auto" w:line="240" w:before="0" w:after="120"/>
        <w:ind w:hanging="0"/>
        <w:jc w:val="center"/>
        <w:rPr/>
      </w:pPr>
      <w:r>
        <w:rPr>
          <w:rFonts w:eastAsia="Times New Roman" w:cs="Times New Roman"/>
          <w:b/>
          <w:bCs/>
          <w:sz w:val="28"/>
        </w:rPr>
        <w:t>Tadqiqot gipotezalari va ularni tekshirishda foydalanilgan o‘zgaruvchilar</w:t>
      </w:r>
      <w:r>
        <w:rPr>
          <w:rStyle w:val="FootnoteReference"/>
        </w:rPr>
        <w:footnoteReference w:id="424"/>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44"/>
        <w:gridCol w:w="4136"/>
        <w:gridCol w:w="2718"/>
        <w:gridCol w:w="1890"/>
      </w:tblGrid>
      <w:tr>
        <w:trPr>
          <w:tblHeader w:val="true"/>
          <w:cantSplit w:val="true"/>
        </w:trPr>
        <w:tc>
          <w:tcPr>
            <w:tcW w:w="944"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Gipoteza</w:t>
            </w:r>
          </w:p>
        </w:tc>
        <w:tc>
          <w:tcPr>
            <w:tcW w:w="413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Mazmuni</w:t>
            </w:r>
          </w:p>
        </w:tc>
        <w:tc>
          <w:tcPr>
            <w:tcW w:w="271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18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Kutilgan ta’sir</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H1</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banklarining moliyaviy barqarorligi xususiy banklarnikidan past</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manfiy</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H2</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Jadal kreditlash bir yildan keyin barqarorlikni pasaytiradi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4 va 8 chorak lag bilan</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manfiy</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H3</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Barqaror depozit bazasi barqarorlikni oshiradi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musbat</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H4</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faoliyatdan daromad olish qobiliyati barqarorlikni oshiradi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musbat</w:t>
            </w:r>
          </w:p>
        </w:tc>
      </w:tr>
      <w:tr>
        <w:trPr>
          <w:cantSplit w:val="true"/>
        </w:trPr>
        <w:tc>
          <w:tcPr>
            <w:tcW w:w="944"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H5</w:t>
            </w:r>
          </w:p>
        </w:tc>
        <w:tc>
          <w:tcPr>
            <w:tcW w:w="41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Iqtisodiy o‘sish kredit riskini kamaytiradi, pul-kredit siyosatining qat’iylashuvi esa oshiradi</w:t>
            </w:r>
          </w:p>
        </w:tc>
        <w:tc>
          <w:tcPr>
            <w:tcW w:w="271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YaIM o‘sishi, asosiy stavka, so‘m kursi, inflyatsiya</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YaIM – manfiy, stavka – musbat (muammoli kreditlarga)</w:t>
            </w:r>
          </w:p>
        </w:tc>
      </w:tr>
    </w:tbl>
    <w:p>
      <w:pPr>
        <w:pStyle w:val="BodyText"/>
        <w:spacing w:lineRule="auto" w:line="360" w:before="0" w:after="0"/>
        <w:ind w:firstLine="709"/>
        <w:jc w:val="both"/>
        <w:rPr/>
      </w:pPr>
      <w:r>
        <w:rPr>
          <w:rFonts w:eastAsia="Times New Roman" w:cs="Times New Roman"/>
          <w:sz w:val="28"/>
        </w:rP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5"/>
      </w:r>
      <w:r>
        <w:rPr>
          <w:rStyle w:val="FootnoteReference"/>
        </w:rPr>
        <w:footnoteReference w:id="426"/>
      </w:r>
      <w:r>
        <w:rPr>
          <w:rFonts w:eastAsia="Times New Roman" w:cs="Times New Roman"/>
          <w:sz w:val="28"/>
        </w:rPr>
        <w:t>.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7"/>
      </w:r>
      <w:r>
        <w:rPr>
          <w:rFonts w:eastAsia="Times New Roman" w:cs="Times New Roman"/>
          <w:sz w:val="28"/>
        </w:rPr>
        <w:t>. Uchinchi gipoteza A. Demirgüç-Kunt va H. Huizinga xulosasiga tayanadi: depozit bo‘lmagan, ya’ni ulgurji moliyalashtirishga ko‘proq tayanadigan banklar riskliroq bo‘ladi</w:t>
      </w:r>
      <w:r>
        <w:rPr>
          <w:rStyle w:val="FootnoteReference"/>
        </w:rPr>
        <w:footnoteReference w:id="428"/>
      </w:r>
      <w:r>
        <w:rPr>
          <w:rFonts w:eastAsia="Times New Roman" w:cs="Times New Roman"/>
          <w:sz w:val="28"/>
        </w:rP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9"/>
      </w:r>
      <w:r>
        <w:rPr>
          <w:rStyle w:val="FootnoteReference"/>
        </w:rPr>
        <w:footnoteReference w:id="430"/>
      </w:r>
      <w:r>
        <w:rPr>
          <w:rStyle w:val="FootnoteReference"/>
        </w:rPr>
        <w:footnoteReference w:id="431"/>
      </w:r>
      <w:r>
        <w:rPr>
          <w:rFonts w:eastAsia="Times New Roman" w:cs="Times New Roman"/>
          <w:sz w:val="28"/>
        </w:rPr>
        <w:t>.</w:t>
      </w:r>
    </w:p>
    <w:p>
      <w:pPr>
        <w:pStyle w:val="BodyText"/>
        <w:spacing w:lineRule="auto" w:line="360" w:before="0" w:after="0"/>
        <w:ind w:firstLine="709"/>
        <w:jc w:val="both"/>
        <w:rPr/>
      </w:pPr>
      <w:r>
        <w:rPr>
          <w:rFonts w:eastAsia="Times New Roman" w:cs="Times New Roman"/>
          <w:sz w:val="28"/>
        </w:rPr>
        <w:t>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2"/>
      </w:r>
      <w:r>
        <w:rPr>
          <w:rFonts w:eastAsia="Times New Roman" w:cs="Times New Roman"/>
          <w:sz w:val="28"/>
        </w:rPr>
        <w:t>, yuqori likvid aktivlar, kredit zaxiralari, foizli daromad va xarajatlar, operatsion xarajatlar va sof foyda «SNS» reyting agentligining banklar ko‘rsatkichlari bazasidan</w:t>
      </w:r>
      <w:r>
        <w:rPr>
          <w:rStyle w:val="FootnoteReference"/>
        </w:rPr>
        <w:footnoteReference w:id="433"/>
      </w:r>
      <w:r>
        <w:rPr>
          <w:rFonts w:eastAsia="Times New Roman" w:cs="Times New Roman"/>
          <w:sz w:val="28"/>
        </w:rPr>
        <w:t>, makroiqtisodiy ko‘rsatkichlar esa Markaziy bankning statistik byulletenidan olindi</w:t>
      </w:r>
      <w:r>
        <w:rPr>
          <w:rStyle w:val="FootnoteReference"/>
        </w:rPr>
        <w:footnoteReference w:id="434"/>
      </w:r>
      <w:r>
        <w:rPr>
          <w:rFonts w:eastAsia="Times New Roman" w:cs="Times New Roman"/>
          <w:sz w:val="28"/>
        </w:rPr>
        <w:t>. Ikki bank manbasi bank nomlari bo‘yicha birlashtirildi, ma’lum xato qiymatlar tahlildan chiqarildi</w:t>
      </w:r>
      <w:r>
        <w:rPr>
          <w:rStyle w:val="FootnoteReference"/>
        </w:rPr>
        <w:footnoteReference w:id="435"/>
      </w:r>
      <w:r>
        <w:rPr>
          <w:rFonts w:eastAsia="Times New Roman" w:cs="Times New Roman"/>
          <w:sz w:val="28"/>
        </w:rPr>
        <w:t>.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6"/>
      </w:r>
      <w:r>
        <w:rPr>
          <w:rFonts w:eastAsia="Times New Roman" w:cs="Times New Roman"/>
          <w:sz w:val="28"/>
        </w:rPr>
        <w:t>. Natijada 17 chorak bo‘yicha 421 ta kuzatuvdan iborat panel shakllandi.</w:t>
      </w:r>
    </w:p>
    <w:p>
      <w:pPr>
        <w:pStyle w:val="BodyText"/>
        <w:spacing w:lineRule="auto" w:line="360" w:before="0" w:after="0"/>
        <w:ind w:firstLine="709"/>
        <w:jc w:val="both"/>
        <w:rPr/>
      </w:pPr>
      <w:r>
        <w:rPr>
          <w:rFonts w:eastAsia="Times New Roman" w:cs="Times New Roman"/>
          <w:sz w:val="28"/>
        </w:rP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7"/>
      </w:r>
      <w:r>
        <w:rPr>
          <w:rStyle w:val="FootnoteReference"/>
        </w:rPr>
        <w:footnoteReference w:id="438"/>
      </w:r>
      <w:r>
        <w:rPr>
          <w:rFonts w:eastAsia="Times New Roman" w:cs="Times New Roman"/>
          <w:sz w:val="28"/>
        </w:rPr>
        <w:t>: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9"/>
      </w:r>
      <w:r>
        <w:rPr>
          <w:rFonts w:eastAsia="Times New Roman" w:cs="Times New Roman"/>
          <w:sz w:val="28"/>
        </w:rPr>
        <w:t>, taqsimotdagi kuchli asimmetriya sababli ko‘rsatkichning natural logarifmi qo‘llandi. Asosiy o‘zgaruvchilarning tavsifiy statistikasi 3.3.2-jadvalda keltirilgan.</w:t>
      </w:r>
    </w:p>
    <w:p>
      <w:pPr>
        <w:pStyle w:val="BodyText"/>
        <w:keepNext w:val="true"/>
        <w:spacing w:lineRule="auto" w:line="360" w:before="120" w:after="0"/>
        <w:ind w:hanging="0"/>
        <w:jc w:val="right"/>
        <w:rPr/>
      </w:pPr>
      <w:r>
        <w:rPr>
          <w:rFonts w:eastAsia="Times New Roman" w:cs="Times New Roman"/>
          <w:i/>
          <w:sz w:val="28"/>
        </w:rPr>
        <w:t>3.3.2-jadval</w:t>
      </w:r>
    </w:p>
    <w:p>
      <w:pPr>
        <w:pStyle w:val="BodyText"/>
        <w:keepNext w:val="true"/>
        <w:spacing w:lineRule="auto" w:line="240" w:before="0" w:after="120"/>
        <w:ind w:hanging="0"/>
        <w:jc w:val="center"/>
        <w:rPr/>
      </w:pPr>
      <w:r>
        <w:rPr>
          <w:rFonts w:eastAsia="Times New Roman" w:cs="Times New Roman"/>
          <w:b/>
          <w:bCs/>
          <w:sz w:val="28"/>
        </w:rPr>
        <w:t>Tahlilda foydalanilgan o‘zgaruvchilarning tavsifiy statistikasi, 2021-yil IV chorak – 2025-yil IV chorak</w:t>
      </w:r>
      <w:r>
        <w:rPr>
          <w:rStyle w:val="FootnoteReference"/>
        </w:rPr>
        <w:footnoteReference w:id="440"/>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98"/>
        <w:gridCol w:w="1182"/>
        <w:gridCol w:w="1182"/>
        <w:gridCol w:w="1181"/>
        <w:gridCol w:w="1182"/>
        <w:gridCol w:w="1181"/>
        <w:gridCol w:w="1182"/>
      </w:tblGrid>
      <w:tr>
        <w:trPr>
          <w:tblHeader w:val="true"/>
          <w:cantSplit w:val="true"/>
        </w:trPr>
        <w:tc>
          <w:tcPr>
            <w:tcW w:w="2598"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Kuzatuvlar</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O‘rtacha</w:t>
            </w:r>
          </w:p>
        </w:tc>
        <w:tc>
          <w:tcPr>
            <w:tcW w:w="118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Standart chetlanish</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Minimum</w:t>
            </w:r>
          </w:p>
        </w:tc>
        <w:tc>
          <w:tcPr>
            <w:tcW w:w="118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Mediana</w:t>
            </w:r>
          </w:p>
        </w:tc>
        <w:tc>
          <w:tcPr>
            <w:tcW w:w="11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Maksimum</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Panel integral indeksi (MBII), ball</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0,45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Aktivlar sifati bloki, ball</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3,44</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0,69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3,69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Likvidlik bloki, ball</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2,78</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0,94</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2,78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Daromadlilik bloki, ball</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3,16</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0,93</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4,00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ln(Z-score)</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320</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2,56</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0,54</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4,43</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Kapital / aktivlar,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4,7</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8,4</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15,2</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36,8</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17,5</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Yuqori likvid aktivlar / aktivlar,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21,0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13,3</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3,5</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17,3</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78,1</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 depozitlar,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160,1</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91,5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22,8</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138,9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414,0</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ROA,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2,5</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14,4</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13,2</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ROE,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15,7</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16,9</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71,8</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13,6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75,9</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 mlrd so‘m)</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9,59</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1,14</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6,95</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9,56</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11,89</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(yillik),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393</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34,9</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51,2</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13,9</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21,5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349,1</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421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50,3</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19,9</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48,5</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86,7</w:t>
            </w:r>
          </w:p>
        </w:tc>
      </w:tr>
      <w:tr>
        <w:trPr>
          <w:cantSplit w:val="true"/>
        </w:trPr>
        <w:tc>
          <w:tcPr>
            <w:tcW w:w="2598"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 %</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7,0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w:t>
            </w:r>
          </w:p>
        </w:tc>
        <w:tc>
          <w:tcPr>
            <w:tcW w:w="11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6,7</w:t>
            </w:r>
          </w:p>
        </w:tc>
        <w:tc>
          <w:tcPr>
            <w:tcW w:w="11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21,0</w:t>
            </w:r>
          </w:p>
        </w:tc>
      </w:tr>
    </w:tbl>
    <w:p>
      <w:pPr>
        <w:pStyle w:val="BodyText"/>
        <w:spacing w:lineRule="auto" w:line="360" w:before="0" w:after="0"/>
        <w:ind w:firstLine="709"/>
        <w:jc w:val="both"/>
        <w:rPr/>
      </w:pPr>
      <w:r>
        <w:rPr>
          <w:rFonts w:eastAsia="Times New Roman" w:cs="Times New Roman"/>
          <w:sz w:val="28"/>
        </w:rPr>
        <w:t>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Rule="auto" w:line="360" w:before="0" w:after="0"/>
        <w:ind w:firstLine="709"/>
        <w:jc w:val="both"/>
        <w:rPr/>
      </w:pPr>
      <w:r>
        <w:rPr>
          <w:rFonts w:eastAsia="Times New Roman" w:cs="Times New Roman"/>
          <w:sz w:val="28"/>
        </w:rPr>
        <w:t>Ekonometrik modellarni baholashdan oldin davlat banklari va boshqa banklarning integral indeksi dinamikasini taqqoslash maqsadga muvofiq (3.3.1-rasm).</w:t>
      </w:r>
    </w:p>
    <w:p>
      <w:pPr>
        <w:pStyle w:val="BodyText"/>
        <w:keepNext w:val="true"/>
        <w:spacing w:lineRule="auto" w:line="240" w:before="0" w:after="0"/>
        <w:ind w:hanging="0"/>
        <w:jc w:val="center"/>
        <w:rPr/>
      </w:pPr>
      <w:r>
        <w:rPr/>
        <w:drawing>
          <wp:inline distT="0" distB="0" distL="0" distR="0">
            <wp:extent cx="5760085" cy="2879725"/>
            <wp:effectExtent l="0" t="0" r="0" b="0"/>
            <wp:docPr id="328" name="3.3.1-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pPr>
        <w:pStyle w:val="BodyText"/>
        <w:spacing w:lineRule="auto" w:line="240" w:before="120" w:after="240"/>
        <w:ind w:hanging="0"/>
        <w:jc w:val="center"/>
        <w:rPr/>
      </w:pPr>
      <w:r>
        <w:rPr>
          <w:rFonts w:eastAsia="Times New Roman" w:cs="Times New Roman"/>
          <w:b/>
          <w:sz w:val="28"/>
        </w:rPr>
        <w:t>3.3.1-rasm. Davlat banklari va boshqa banklarda panel integral indeksining medianasi, har yilning IV choragi</w:t>
      </w:r>
      <w:r>
        <w:rPr>
          <w:rStyle w:val="FootnoteReference"/>
        </w:rPr>
        <w:footnoteReference w:id="441"/>
      </w:r>
    </w:p>
    <w:p>
      <w:pPr>
        <w:pStyle w:val="BodyText"/>
        <w:spacing w:lineRule="auto" w:line="360" w:before="0" w:after="0"/>
        <w:ind w:firstLine="709"/>
        <w:jc w:val="both"/>
        <w:rPr/>
      </w:pPr>
      <w:r>
        <w:rPr>
          <w:rFonts w:eastAsia="Times New Roman" w:cs="Times New Roman"/>
          <w:sz w:val="28"/>
        </w:rPr>
        <w:t>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pPr>
        <w:pStyle w:val="BodyText"/>
        <w:keepNext w:val="true"/>
        <w:spacing w:lineRule="auto" w:line="240" w:before="0" w:after="0"/>
        <w:ind w:hanging="0"/>
        <w:jc w:val="center"/>
        <w:rPr/>
      </w:pPr>
      <w:r>
        <w:rPr/>
        <w:drawing>
          <wp:inline distT="0" distB="0" distL="0" distR="0">
            <wp:extent cx="5760085" cy="2879725"/>
            <wp:effectExtent l="0" t="0" r="0" b="0"/>
            <wp:docPr id="329" name="3.3.2-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pPr>
        <w:pStyle w:val="BodyText"/>
        <w:spacing w:lineRule="auto" w:line="240" w:before="120" w:after="240"/>
        <w:ind w:hanging="0"/>
        <w:jc w:val="center"/>
        <w:rPr/>
      </w:pPr>
      <w:r>
        <w:rPr>
          <w:rFonts w:eastAsia="Times New Roman" w:cs="Times New Roman"/>
          <w:b/>
          <w:sz w:val="28"/>
        </w:rPr>
        <w:t>3.3.2-rasm. Davlat banklari va boshqa banklarda integral indeks bloklari bo‘yicha ballar medianasi, 2025-yil IV chorak</w:t>
      </w:r>
      <w:r>
        <w:rPr>
          <w:rStyle w:val="FootnoteReference"/>
        </w:rPr>
        <w:footnoteReference w:id="442"/>
      </w:r>
    </w:p>
    <w:p>
      <w:pPr>
        <w:pStyle w:val="BodyText"/>
        <w:spacing w:lineRule="auto" w:line="360" w:before="0" w:after="0"/>
        <w:ind w:firstLine="709"/>
        <w:jc w:val="both"/>
        <w:rPr/>
      </w:pPr>
      <w:r>
        <w:rPr>
          <w:rFonts w:eastAsia="Times New Roman" w:cs="Times New Roman"/>
          <w:sz w:val="28"/>
        </w:rPr>
        <w:t>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Rule="auto" w:line="360" w:before="0" w:after="0"/>
        <w:ind w:firstLine="709"/>
        <w:jc w:val="both"/>
        <w:rPr/>
      </w:pPr>
      <w:r>
        <w:rPr>
          <w:rFonts w:eastAsia="Times New Roman" w:cs="Times New Roman"/>
          <w:sz w:val="28"/>
        </w:rPr>
        <w:t>Integral indeks bo‘yicha olingan bu manzara an’anaviy Z-score ko‘rsatkichi bilan solishtirilganda muhim metodologik xulosaga olib keladi (3.3.3-rasm).</w:t>
      </w:r>
    </w:p>
    <w:p>
      <w:pPr>
        <w:pStyle w:val="BodyText"/>
        <w:keepNext w:val="true"/>
        <w:spacing w:lineRule="auto" w:line="240" w:before="0" w:after="0"/>
        <w:ind w:hanging="0"/>
        <w:jc w:val="center"/>
        <w:rPr/>
      </w:pPr>
      <w:r>
        <w:rPr/>
        <w:drawing>
          <wp:inline distT="0" distB="0" distL="0" distR="0">
            <wp:extent cx="5760085" cy="2879725"/>
            <wp:effectExtent l="0" t="0" r="0" b="0"/>
            <wp:docPr id="330" name="3.3.3-rasm" desc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pPr>
        <w:pStyle w:val="BodyText"/>
        <w:spacing w:lineRule="auto" w:line="240" w:before="120" w:after="240"/>
        <w:ind w:hanging="0"/>
        <w:jc w:val="center"/>
        <w:rPr/>
      </w:pPr>
      <w:r>
        <w:rPr>
          <w:rFonts w:eastAsia="Times New Roman" w:cs="Times New Roman"/>
          <w:b/>
          <w:sz w:val="28"/>
        </w:rPr>
        <w:t>3.3.3-rasm. Davlat banklari va boshqa banklarda Z-score logarifmining medianasi, har yilning IV choragi</w:t>
      </w:r>
      <w:r>
        <w:rPr>
          <w:rStyle w:val="FootnoteReference"/>
        </w:rPr>
        <w:footnoteReference w:id="443"/>
      </w:r>
    </w:p>
    <w:p>
      <w:pPr>
        <w:pStyle w:val="BodyText"/>
        <w:spacing w:lineRule="auto" w:line="360" w:before="0" w:after="0"/>
        <w:ind w:firstLine="709"/>
        <w:jc w:val="both"/>
        <w:rPr/>
      </w:pPr>
      <w:r>
        <w:rPr>
          <w:rFonts w:eastAsia="Times New Roman" w:cs="Times New Roman"/>
          <w:sz w:val="28"/>
        </w:rPr>
        <w:t>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Rule="auto" w:line="360" w:before="0" w:after="0"/>
        <w:ind w:firstLine="709"/>
        <w:jc w:val="both"/>
        <w:rPr/>
      </w:pPr>
      <w:r>
        <w:rPr>
          <w:rFonts w:eastAsia="Times New Roman" w:cs="Times New Roman"/>
          <w:sz w:val="28"/>
        </w:rPr>
        <w:t>Omillar ta’sirini baholash uchun quyidagi panel regressiya modeli qo‘llandi:</w:t>
      </w:r>
    </w:p>
    <w:p>
      <w:pPr>
        <w:pStyle w:val="BodyText"/>
        <w:spacing w:lineRule="auto" w:line="360" w:before="0" w:after="0"/>
        <w:ind w:hanging="0"/>
        <w:jc w:val="center"/>
        <w:rPr/>
      </w:pPr>
      <w:r>
        <w:rPr>
          <w:rFonts w:eastAsia="Times New Roman" w:cs="Times New Roman"/>
          <w:i/>
          <w:sz w:val="26"/>
        </w:rPr>
        <w:t>MBII</w:t>
      </w:r>
      <w:r>
        <w:rPr>
          <w:rFonts w:eastAsia="Times New Roman" w:cs="Times New Roman"/>
          <w:i/>
          <w:sz w:val="26"/>
          <w:vertAlign w:val="subscript"/>
        </w:rPr>
        <w:t>it</w:t>
      </w:r>
      <w:r>
        <w:rPr>
          <w:rFonts w:eastAsia="Times New Roman" w:cs="Times New Roman"/>
          <w:i/>
          <w:sz w:val="26"/>
        </w:rPr>
        <w:t xml:space="preserve"> = α + β</w:t>
      </w:r>
      <w:r>
        <w:rPr>
          <w:rFonts w:eastAsia="Times New Roman" w:cs="Times New Roman"/>
          <w:i/>
          <w:sz w:val="26"/>
          <w:vertAlign w:val="subscript"/>
        </w:rPr>
        <w:t>1</w:t>
      </w:r>
      <w:r>
        <w:rPr>
          <w:rFonts w:eastAsia="Times New Roman" w:cs="Times New Roman"/>
          <w:i/>
          <w:sz w:val="26"/>
        </w:rPr>
        <w:t>·ln(Aktivlar)</w:t>
      </w:r>
      <w:r>
        <w:rPr>
          <w:rFonts w:eastAsia="Times New Roman" w:cs="Times New Roman"/>
          <w:i/>
          <w:sz w:val="26"/>
          <w:vertAlign w:val="subscript"/>
        </w:rPr>
        <w:t>it</w:t>
      </w:r>
      <w:r>
        <w:rPr>
          <w:rFonts w:eastAsia="Times New Roman" w:cs="Times New Roman"/>
          <w:i/>
          <w:sz w:val="26"/>
        </w:rPr>
        <w:t xml:space="preserve"> + β</w:t>
      </w:r>
      <w:r>
        <w:rPr>
          <w:rFonts w:eastAsia="Times New Roman" w:cs="Times New Roman"/>
          <w:i/>
          <w:sz w:val="26"/>
          <w:vertAlign w:val="subscript"/>
        </w:rPr>
        <w:t>2</w:t>
      </w:r>
      <w:r>
        <w:rPr>
          <w:rFonts w:eastAsia="Times New Roman" w:cs="Times New Roman"/>
          <w:i/>
          <w:sz w:val="26"/>
        </w:rPr>
        <w:t>·Kreditlar o‘sishi</w:t>
      </w:r>
      <w:r>
        <w:rPr>
          <w:rFonts w:eastAsia="Times New Roman" w:cs="Times New Roman"/>
          <w:i/>
          <w:sz w:val="26"/>
          <w:vertAlign w:val="subscript"/>
        </w:rPr>
        <w:t>i,t−4</w:t>
      </w:r>
      <w:r>
        <w:rPr>
          <w:rFonts w:eastAsia="Times New Roman" w:cs="Times New Roman"/>
          <w:i/>
          <w:sz w:val="26"/>
        </w:rPr>
        <w:t xml:space="preserve"> + β</w:t>
      </w:r>
      <w:r>
        <w:rPr>
          <w:rFonts w:eastAsia="Times New Roman" w:cs="Times New Roman"/>
          <w:i/>
          <w:sz w:val="26"/>
          <w:vertAlign w:val="subscript"/>
        </w:rPr>
        <w:t>3</w:t>
      </w:r>
      <w:r>
        <w:rPr>
          <w:rFonts w:eastAsia="Times New Roman" w:cs="Times New Roman"/>
          <w:i/>
          <w:sz w:val="26"/>
        </w:rPr>
        <w:t>·Depozitlar/Aktivlar</w:t>
      </w:r>
      <w:r>
        <w:rPr>
          <w:rFonts w:eastAsia="Times New Roman" w:cs="Times New Roman"/>
          <w:i/>
          <w:sz w:val="26"/>
          <w:vertAlign w:val="subscript"/>
        </w:rPr>
        <w:t>it</w:t>
      </w:r>
      <w:r>
        <w:rPr>
          <w:rFonts w:eastAsia="Times New Roman" w:cs="Times New Roman"/>
          <w:i/>
          <w:sz w:val="26"/>
        </w:rPr>
        <w:t xml:space="preserve"> + β</w:t>
      </w:r>
      <w:r>
        <w:rPr>
          <w:rFonts w:eastAsia="Times New Roman" w:cs="Times New Roman"/>
          <w:i/>
          <w:sz w:val="26"/>
          <w:vertAlign w:val="subscript"/>
        </w:rPr>
        <w:t>4</w:t>
      </w:r>
      <w:r>
        <w:rPr>
          <w:rFonts w:eastAsia="Times New Roman" w:cs="Times New Roman"/>
          <w:i/>
          <w:sz w:val="26"/>
        </w:rPr>
        <w:t>·Sof foiz marjasi</w:t>
      </w:r>
      <w:r>
        <w:rPr>
          <w:rFonts w:eastAsia="Times New Roman" w:cs="Times New Roman"/>
          <w:i/>
          <w:sz w:val="26"/>
          <w:vertAlign w:val="subscript"/>
        </w:rPr>
        <w:t>it</w:t>
      </w:r>
      <w:r>
        <w:rPr>
          <w:rFonts w:eastAsia="Times New Roman" w:cs="Times New Roman"/>
          <w:i/>
          <w:sz w:val="26"/>
        </w:rPr>
        <w:t xml:space="preserve"> + β</w:t>
      </w:r>
      <w:r>
        <w:rPr>
          <w:rFonts w:eastAsia="Times New Roman" w:cs="Times New Roman"/>
          <w:i/>
          <w:sz w:val="26"/>
          <w:vertAlign w:val="subscript"/>
        </w:rPr>
        <w:t>5</w:t>
      </w:r>
      <w:r>
        <w:rPr>
          <w:rFonts w:eastAsia="Times New Roman" w:cs="Times New Roman"/>
          <w:i/>
          <w:sz w:val="26"/>
        </w:rPr>
        <w:t>·Davlat</w:t>
      </w:r>
      <w:r>
        <w:rPr>
          <w:rFonts w:eastAsia="Times New Roman" w:cs="Times New Roman"/>
          <w:i/>
          <w:sz w:val="26"/>
          <w:vertAlign w:val="subscript"/>
        </w:rPr>
        <w:t>it</w:t>
      </w:r>
      <w:r>
        <w:rPr>
          <w:rFonts w:eastAsia="Times New Roman" w:cs="Times New Roman"/>
          <w:i/>
          <w:sz w:val="26"/>
        </w:rPr>
        <w:t xml:space="preserve"> + γ</w:t>
      </w:r>
      <w:r>
        <w:rPr>
          <w:rFonts w:eastAsia="Times New Roman" w:cs="Times New Roman"/>
          <w:i/>
          <w:sz w:val="26"/>
          <w:vertAlign w:val="subscript"/>
        </w:rPr>
        <w:t>t</w:t>
      </w:r>
      <w:r>
        <w:rPr>
          <w:rFonts w:eastAsia="Times New Roman" w:cs="Times New Roman"/>
          <w:i/>
          <w:sz w:val="26"/>
        </w:rPr>
        <w:t xml:space="preserve"> + u</w:t>
      </w:r>
      <w:r>
        <w:rPr>
          <w:rFonts w:eastAsia="Times New Roman" w:cs="Times New Roman"/>
          <w:i/>
          <w:sz w:val="26"/>
          <w:vertAlign w:val="subscript"/>
        </w:rPr>
        <w:t>i</w:t>
      </w:r>
      <w:r>
        <w:rPr>
          <w:rFonts w:eastAsia="Times New Roman" w:cs="Times New Roman"/>
          <w:i/>
          <w:sz w:val="26"/>
        </w:rPr>
        <w:t xml:space="preserve"> + ε</w:t>
      </w:r>
      <w:r>
        <w:rPr>
          <w:rFonts w:eastAsia="Times New Roman" w:cs="Times New Roman"/>
          <w:i/>
          <w:sz w:val="26"/>
          <w:vertAlign w:val="subscript"/>
        </w:rPr>
        <w:t>it</w:t>
      </w:r>
      <w:r>
        <w:rPr>
          <w:rFonts w:eastAsia="Times New Roman" w:cs="Times New Roman"/>
          <w:i/>
          <w:sz w:val="26"/>
        </w:rPr>
        <w:t>,</w:t>
      </w:r>
    </w:p>
    <w:p>
      <w:pPr>
        <w:pStyle w:val="BodyText"/>
        <w:spacing w:lineRule="auto" w:line="360" w:before="0" w:after="0"/>
        <w:ind w:firstLine="709"/>
        <w:jc w:val="both"/>
        <w:rPr/>
      </w:pPr>
      <w:r>
        <w:rPr>
          <w:rFonts w:eastAsia="Times New Roman" w:cs="Times New Roman"/>
          <w:sz w:val="28"/>
        </w:rPr>
        <w:t>bu yerda i – bank, t – chorak, γ</w:t>
      </w:r>
      <w:r>
        <w:rPr>
          <w:rFonts w:eastAsia="Times New Roman" w:cs="Times New Roman"/>
          <w:sz w:val="28"/>
          <w:vertAlign w:val="subscript"/>
        </w:rPr>
        <w:t>t</w:t>
      </w:r>
      <w:r>
        <w:rPr>
          <w:rFonts w:eastAsia="Times New Roman" w:cs="Times New Roman"/>
          <w:sz w:val="28"/>
        </w:rPr>
        <w:t xml:space="preserve"> – chorak effektlari, u</w:t>
      </w:r>
      <w:r>
        <w:rPr>
          <w:rFonts w:eastAsia="Times New Roman" w:cs="Times New Roman"/>
          <w:sz w:val="28"/>
          <w:vertAlign w:val="subscript"/>
        </w:rPr>
        <w:t>i</w:t>
      </w:r>
      <w:r>
        <w:rPr>
          <w:rFonts w:eastAsia="Times New Roman" w:cs="Times New Roman"/>
          <w:sz w:val="28"/>
        </w:rPr>
        <w:t xml:space="preserve"> – bankning kuzatilmaydigan individual xususiyatlari, ε</w:t>
      </w:r>
      <w:r>
        <w:rPr>
          <w:rFonts w:eastAsia="Times New Roman" w:cs="Times New Roman"/>
          <w:sz w:val="28"/>
          <w:vertAlign w:val="subscript"/>
        </w:rPr>
        <w:t>it</w:t>
      </w:r>
      <w:r>
        <w:rPr>
          <w:rFonts w:eastAsia="Times New Roman" w:cs="Times New Roman"/>
          <w:sz w:val="28"/>
        </w:rP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4"/>
      </w:r>
      <w:r>
        <w:rPr>
          <w:rStyle w:val="FootnoteReference"/>
        </w:rPr>
        <w:footnoteReference w:id="445"/>
      </w:r>
      <w:r>
        <w:rPr>
          <w:rFonts w:eastAsia="Times New Roman" w:cs="Times New Roman"/>
          <w:sz w:val="28"/>
        </w:rPr>
        <w:t>. Usullar o‘rtasida tanlov Breusch–Pagan va Hausman testlari asosida amalga oshirildi</w:t>
      </w:r>
      <w:r>
        <w:rPr>
          <w:rStyle w:val="FootnoteReference"/>
        </w:rPr>
        <w:footnoteReference w:id="446"/>
      </w:r>
      <w:r>
        <w:rPr>
          <w:rStyle w:val="FootnoteReference"/>
        </w:rPr>
        <w:footnoteReference w:id="447"/>
      </w:r>
      <w:r>
        <w:rPr>
          <w:rFonts w:eastAsia="Times New Roman" w:cs="Times New Roman"/>
          <w:sz w:val="28"/>
        </w:rPr>
        <w:t>. Standart xatolar heteroskedastiklik va avtokorrelyatsiyani hisobga olish uchun bank bo‘yicha klasterlangan. Indeksning inersiyasini hisobga oluvchi dinamik model esa qisqa panellardagi siljishni</w:t>
      </w:r>
      <w:r>
        <w:rPr>
          <w:rStyle w:val="FootnoteReference"/>
        </w:rPr>
        <w:footnoteReference w:id="448"/>
      </w:r>
      <w:r>
        <w:rPr>
          <w:rFonts w:eastAsia="Times New Roman" w:cs="Times New Roman"/>
          <w:sz w:val="28"/>
        </w:rPr>
        <w:t xml:space="preserve"> bartaraf etish maqsadida T. Anderson va C. Hsiao usuli bo‘yicha birinchi farqlarda, indeksning ikki chorak oldingi qiymatini instrument sifatida qo‘llab baholandi</w:t>
      </w:r>
      <w:r>
        <w:rPr>
          <w:rStyle w:val="FootnoteReference"/>
        </w:rPr>
        <w:footnoteReference w:id="449"/>
      </w:r>
      <w:r>
        <w:rPr>
          <w:rStyle w:val="FootnoteReference"/>
        </w:rPr>
        <w:footnoteReference w:id="450"/>
      </w:r>
      <w:r>
        <w:rPr>
          <w:rFonts w:eastAsia="Times New Roman" w:cs="Times New Roman"/>
          <w:sz w:val="28"/>
        </w:rP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val="true"/>
        <w:spacing w:lineRule="auto" w:line="360" w:before="120" w:after="0"/>
        <w:ind w:hanging="0"/>
        <w:jc w:val="right"/>
        <w:rPr/>
      </w:pPr>
      <w:r>
        <w:rPr>
          <w:rFonts w:eastAsia="Times New Roman" w:cs="Times New Roman"/>
          <w:i/>
          <w:sz w:val="28"/>
        </w:rPr>
        <w:t>3.3.3-jadval</w:t>
      </w:r>
    </w:p>
    <w:p>
      <w:pPr>
        <w:pStyle w:val="BodyText"/>
        <w:keepNext w:val="true"/>
        <w:spacing w:lineRule="auto" w:line="240" w:before="0" w:after="120"/>
        <w:ind w:hanging="0"/>
        <w:jc w:val="center"/>
        <w:rPr/>
      </w:pPr>
      <w:r>
        <w:rPr>
          <w:rFonts w:eastAsia="Times New Roman" w:cs="Times New Roman"/>
          <w:b/>
          <w:bCs/>
          <w:sz w:val="28"/>
        </w:rPr>
        <w:t>Panel integral indeksiga ta’sir etuvchi omillarni baholash natijalari</w:t>
      </w:r>
      <w:r>
        <w:rPr>
          <w:rStyle w:val="FootnoteReference"/>
        </w:rPr>
        <w:footnoteReference w:id="45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126"/>
        <w:gridCol w:w="1890"/>
        <w:gridCol w:w="1892"/>
        <w:gridCol w:w="1890"/>
        <w:gridCol w:w="1891"/>
      </w:tblGrid>
      <w:tr>
        <w:trPr>
          <w:tblHeader w:val="true"/>
          <w:cantSplit w:val="true"/>
        </w:trPr>
        <w:tc>
          <w:tcPr>
            <w:tcW w:w="212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18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Pooled OLS</w:t>
            </w:r>
          </w:p>
        </w:tc>
        <w:tc>
          <w:tcPr>
            <w:tcW w:w="189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RE</w:t>
            </w:r>
          </w:p>
        </w:tc>
        <w:tc>
          <w:tcPr>
            <w:tcW w:w="1890"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FE (bank va chorak)</w:t>
            </w:r>
          </w:p>
        </w:tc>
        <w:tc>
          <w:tcPr>
            <w:tcW w:w="189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Dinamik (Anderson–Hsiao)</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MBII (t−1)</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0,502*** (0,185)</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0,057 (0,084)</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0,071 (0,091)</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0,029 (0,139)</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0,275*** (0,095)</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(t−4), %</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0,0009*** (0,0003)</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0,0001 (0,0002)</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0,0003 (0,0002)</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0,0003 (0,0003)</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 %</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0,011*** (0,002)</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0,009*** (0,002)</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0,007*** (0,003)</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0,008*** (0,001)</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 %</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0,021* (0,013)</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0,012*** (0,004)</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0,009** (0,004)</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0,022*** (0,003)</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0,278 (0,205)</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0,364* (0,215)</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Chorak effektlari</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Kuzatuvlar soni</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267</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R²</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0,53</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0,13 (umumiy)</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0,09 (bank ichidagi)</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Testlar</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89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Breusch–Pagan LM = 616,1 (p &lt; 0,001)</w:t>
            </w:r>
          </w:p>
        </w:tc>
        <w:tc>
          <w:tcPr>
            <w:tcW w:w="1890"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Hausman χ²(4) = 17,34 (p = 0,002)</w:t>
            </w:r>
          </w:p>
        </w:tc>
        <w:tc>
          <w:tcPr>
            <w:tcW w:w="189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1-bosqich F = 17,2</w:t>
            </w:r>
          </w:p>
        </w:tc>
      </w:tr>
    </w:tbl>
    <w:p>
      <w:pPr>
        <w:pStyle w:val="BodyText"/>
        <w:spacing w:lineRule="auto" w:line="240" w:before="0" w:after="120"/>
        <w:ind w:hanging="0"/>
        <w:jc w:val="both"/>
        <w:rPr/>
      </w:pPr>
      <w:r>
        <w:rPr>
          <w:rFonts w:eastAsia="Times New Roman" w:cs="Times New Roman"/>
          <w:sz w:val="24"/>
        </w:rPr>
        <w:t>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Rule="auto" w:line="360" w:before="0" w:after="0"/>
        <w:ind w:firstLine="709"/>
        <w:jc w:val="both"/>
        <w:rPr/>
      </w:pPr>
      <w:r>
        <w:rPr>
          <w:rFonts w:eastAsia="Times New Roman" w:cs="Times New Roman"/>
          <w:sz w:val="28"/>
        </w:rPr>
        <w:t>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Rule="auto" w:line="360" w:before="0" w:after="0"/>
        <w:ind w:firstLine="709"/>
        <w:jc w:val="both"/>
        <w:rPr/>
      </w:pPr>
      <w:r>
        <w:rPr>
          <w:rFonts w:eastAsia="Times New Roman" w:cs="Times New Roman"/>
          <w:sz w:val="28"/>
        </w:rPr>
        <w:t>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2"/>
      </w:r>
      <w:r>
        <w:rPr>
          <w:rFonts w:eastAsia="Times New Roman" w:cs="Times New Roman"/>
          <w:sz w:val="28"/>
        </w:rP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Rule="auto" w:line="360" w:before="0" w:after="0"/>
        <w:ind w:firstLine="709"/>
        <w:jc w:val="both"/>
        <w:rPr/>
      </w:pPr>
      <w:r>
        <w:rPr>
          <w:rFonts w:eastAsia="Times New Roman" w:cs="Times New Roman"/>
          <w:sz w:val="28"/>
        </w:rP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3"/>
      </w:r>
      <w:r>
        <w:rPr>
          <w:rFonts w:eastAsia="Times New Roman" w:cs="Times New Roman"/>
          <w:sz w:val="28"/>
        </w:rPr>
        <w:t>.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4"/>
      </w:r>
      <w:r>
        <w:rPr>
          <w:rFonts w:eastAsia="Times New Roman" w:cs="Times New Roman"/>
          <w:sz w:val="28"/>
        </w:rPr>
        <w:t>, biroq inersiyaning nisbatan pastligi bir martalik zararlar va qayta kapitallashtirishlar bilan izohlanadi. Bu indeksni har chorakda hisoblash zarurligini asoslaydi.</w:t>
      </w:r>
    </w:p>
    <w:p>
      <w:pPr>
        <w:pStyle w:val="BodyText"/>
        <w:spacing w:lineRule="auto" w:line="360" w:before="0" w:after="0"/>
        <w:ind w:firstLine="709"/>
        <w:jc w:val="both"/>
        <w:rPr/>
      </w:pPr>
      <w:r>
        <w:rPr>
          <w:rFonts w:eastAsia="Times New Roman" w:cs="Times New Roman"/>
          <w:sz w:val="28"/>
        </w:rP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Rule="auto" w:line="360" w:before="0" w:after="0"/>
        <w:ind w:firstLine="709"/>
        <w:jc w:val="both"/>
        <w:rPr/>
      </w:pPr>
      <w:r>
        <w:rPr>
          <w:rFonts w:eastAsia="Times New Roman" w:cs="Times New Roman"/>
          <w:sz w:val="28"/>
        </w:rPr>
        <w:t>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val="true"/>
        <w:spacing w:lineRule="auto" w:line="360" w:before="120" w:after="0"/>
        <w:ind w:hanging="0"/>
        <w:jc w:val="right"/>
        <w:rPr/>
      </w:pPr>
      <w:r>
        <w:rPr>
          <w:rFonts w:eastAsia="Times New Roman" w:cs="Times New Roman"/>
          <w:i/>
          <w:sz w:val="28"/>
        </w:rPr>
        <w:t>3.3.4-jadval</w:t>
      </w:r>
    </w:p>
    <w:p>
      <w:pPr>
        <w:pStyle w:val="BodyText"/>
        <w:keepNext w:val="true"/>
        <w:spacing w:lineRule="auto" w:line="240" w:before="0" w:after="120"/>
        <w:ind w:hanging="0"/>
        <w:jc w:val="center"/>
        <w:rPr/>
      </w:pPr>
      <w:r>
        <w:rPr>
          <w:rFonts w:eastAsia="Times New Roman" w:cs="Times New Roman"/>
          <w:b/>
          <w:bCs/>
          <w:sz w:val="28"/>
        </w:rPr>
        <w:t>Davlat ulushining integral indeksga ta’sirini baholash natijalari (Pooled OLS, chorak effektlari bilan)</w:t>
      </w:r>
      <w:r>
        <w:rPr>
          <w:rStyle w:val="FootnoteReference"/>
        </w:rPr>
        <w:footnoteReference w:id="455"/>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3071"/>
        <w:gridCol w:w="3073"/>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Ko‘rsatkich</w:t>
            </w:r>
          </w:p>
        </w:tc>
        <w:tc>
          <w:tcPr>
            <w:tcW w:w="307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1-model: funding nazoratisiz</w:t>
            </w:r>
          </w:p>
        </w:tc>
        <w:tc>
          <w:tcPr>
            <w:tcW w:w="307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2-model: depozitlar va foiz marjasi nazorati bilan</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0,690*** (0,185)</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0,344* (0,202)</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0,095 (0,093)</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0,119 (0,080)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0,0109*** (0,0025)</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0,018 (0,014)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Kuzatuvlar soni</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418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R²</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0,38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ta’sirining funding modeli orqali izohlanadigan qismi</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0,35 ball (50 %)</w:t>
            </w:r>
          </w:p>
        </w:tc>
      </w:tr>
    </w:tbl>
    <w:p>
      <w:pPr>
        <w:pStyle w:val="BodyText"/>
        <w:spacing w:lineRule="auto" w:line="240" w:before="0" w:after="120"/>
        <w:ind w:hanging="0"/>
        <w:jc w:val="both"/>
        <w:rPr/>
      </w:pPr>
      <w:r>
        <w:rPr>
          <w:rFonts w:eastAsia="Times New Roman" w:cs="Times New Roman"/>
          <w:sz w:val="24"/>
        </w:rPr>
        <w:t>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Rule="auto" w:line="360" w:before="0" w:after="0"/>
        <w:ind w:firstLine="709"/>
        <w:jc w:val="both"/>
        <w:rPr/>
      </w:pPr>
      <w:r>
        <w:rPr>
          <w:rFonts w:eastAsia="Times New Roman" w:cs="Times New Roman"/>
          <w:sz w:val="28"/>
        </w:rPr>
        <w:t>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Rule="auto" w:line="360" w:before="0" w:after="0"/>
        <w:ind w:firstLine="709"/>
        <w:jc w:val="both"/>
        <w:rPr/>
      </w:pPr>
      <w:r>
        <w:rPr>
          <w:rFonts w:eastAsia="Times New Roman" w:cs="Times New Roman"/>
          <w:sz w:val="28"/>
        </w:rPr>
        <w:t>Natijalarning ishonchliligini tekshirish uchun xuddi shu model bog‘liq o‘zgaruvchi sifatida Z-score logarifmi olingan holda baholandi (3.3.5-jadval).</w:t>
      </w:r>
    </w:p>
    <w:p>
      <w:pPr>
        <w:pStyle w:val="BodyText"/>
        <w:keepNext w:val="true"/>
        <w:spacing w:lineRule="auto" w:line="360" w:before="120" w:after="0"/>
        <w:ind w:hanging="0"/>
        <w:jc w:val="right"/>
        <w:rPr/>
      </w:pPr>
      <w:r>
        <w:rPr>
          <w:rFonts w:eastAsia="Times New Roman" w:cs="Times New Roman"/>
          <w:i/>
          <w:sz w:val="28"/>
        </w:rPr>
        <w:t>3.3.5-jadval</w:t>
      </w:r>
    </w:p>
    <w:p>
      <w:pPr>
        <w:pStyle w:val="BodyText"/>
        <w:keepNext w:val="true"/>
        <w:spacing w:lineRule="auto" w:line="240" w:before="0" w:after="120"/>
        <w:ind w:hanging="0"/>
        <w:jc w:val="center"/>
        <w:rPr/>
      </w:pPr>
      <w:r>
        <w:rPr>
          <w:rFonts w:eastAsia="Times New Roman" w:cs="Times New Roman"/>
          <w:b/>
          <w:bCs/>
          <w:sz w:val="28"/>
        </w:rPr>
        <w:t>Z-score logarifmiga ta’sir etuvchi omillarni baholash natijalari (robastlik tekshiruvi)</w:t>
      </w:r>
      <w:r>
        <w:rPr>
          <w:rStyle w:val="FootnoteReference"/>
        </w:rPr>
        <w:footnoteReference w:id="456"/>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63"/>
        <w:gridCol w:w="2422"/>
        <w:gridCol w:w="2422"/>
        <w:gridCol w:w="2481"/>
      </w:tblGrid>
      <w:tr>
        <w:trPr>
          <w:tblHeader w:val="true"/>
          <w:cantSplit w:val="true"/>
        </w:trPr>
        <w:tc>
          <w:tcPr>
            <w:tcW w:w="236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Pooled OLS</w:t>
            </w:r>
          </w:p>
        </w:tc>
        <w:tc>
          <w:tcPr>
            <w:tcW w:w="242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RE</w:t>
            </w:r>
          </w:p>
        </w:tc>
        <w:tc>
          <w:tcPr>
            <w:tcW w:w="248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FE (bank va chorak)</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0,184 (0,134)</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0,245 (0,150)</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0,776* (0,430)</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(t−4), %</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0,0021*** (0,0008)</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0,0017** (0,0008)</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0,0027** (0,0012)</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Depozitlar / aktivlar, %</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0,012** (0,006)</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0,011 (0,008)</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0,013 (0,009)</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Sof foiz marjasi, %</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0,017 (0,025)</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0,005 (0,014)</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0,016 (0,016)</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0,371 (0,427)</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0,544 (0,413)</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Kuzatuvlar soni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294</w:t>
            </w:r>
          </w:p>
        </w:tc>
      </w:tr>
      <w:tr>
        <w:trPr>
          <w:cantSplit w:val="true"/>
        </w:trPr>
        <w:tc>
          <w:tcPr>
            <w:tcW w:w="236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Hausman testi</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2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χ²(4) = 6,83 (p = 0,145)</w:t>
            </w:r>
          </w:p>
        </w:tc>
        <w:tc>
          <w:tcPr>
            <w:tcW w:w="248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r>
    </w:tbl>
    <w:p>
      <w:pPr>
        <w:pStyle w:val="BodyText"/>
        <w:spacing w:lineRule="auto" w:line="240" w:before="0" w:after="120"/>
        <w:ind w:hanging="0"/>
        <w:jc w:val="both"/>
        <w:rPr/>
      </w:pPr>
      <w:r>
        <w:rPr>
          <w:rFonts w:eastAsia="Times New Roman" w:cs="Times New Roman"/>
          <w:sz w:val="24"/>
        </w:rPr>
        <w:t>Izoh: qavs ichida bank bo‘yicha klasterlangan standart xatolar; ***, **, * – koeffitsiyent mos ravishda 1, 5 va 10 foiz darajada statistik ahamiyatli. Barcha modellarda chorak effektlari mavjud.</w:t>
      </w:r>
    </w:p>
    <w:p>
      <w:pPr>
        <w:pStyle w:val="BodyText"/>
        <w:spacing w:lineRule="auto" w:line="360" w:before="0" w:after="0"/>
        <w:ind w:firstLine="709"/>
        <w:jc w:val="both"/>
        <w:rPr/>
      </w:pPr>
      <w:r>
        <w:rPr>
          <w:rFonts w:eastAsia="Times New Roman" w:cs="Times New Roman"/>
          <w:sz w:val="28"/>
        </w:rP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7"/>
      </w:r>
      <w:r>
        <w:rPr>
          <w:rFonts w:eastAsia="Times New Roman" w:cs="Times New Roman"/>
          <w:sz w:val="28"/>
        </w:rPr>
        <w:t>.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Rule="auto" w:line="360" w:before="0" w:after="0"/>
        <w:ind w:firstLine="709"/>
        <w:jc w:val="both"/>
        <w:rPr/>
      </w:pPr>
      <w:r>
        <w:rPr>
          <w:rFonts w:eastAsia="Times New Roman" w:cs="Times New Roman"/>
          <w:sz w:val="28"/>
        </w:rP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val="true"/>
        <w:spacing w:lineRule="auto" w:line="360" w:before="120" w:after="0"/>
        <w:ind w:hanging="0"/>
        <w:jc w:val="right"/>
        <w:rPr/>
      </w:pPr>
      <w:r>
        <w:rPr>
          <w:rFonts w:eastAsia="Times New Roman" w:cs="Times New Roman"/>
          <w:i/>
          <w:sz w:val="28"/>
        </w:rPr>
        <w:t>3.3.6-jadval</w:t>
      </w:r>
    </w:p>
    <w:p>
      <w:pPr>
        <w:pStyle w:val="BodyText"/>
        <w:keepNext w:val="true"/>
        <w:spacing w:lineRule="auto" w:line="240" w:before="0" w:after="120"/>
        <w:ind w:hanging="0"/>
        <w:jc w:val="center"/>
        <w:rPr/>
      </w:pPr>
      <w:r>
        <w:rPr>
          <w:rFonts w:eastAsia="Times New Roman" w:cs="Times New Roman"/>
          <w:b/>
          <w:bCs/>
          <w:sz w:val="28"/>
        </w:rPr>
        <w:t>Muammoli kreditlar ulushiga ta’sir etuvchi omillarni baholash natijalari (satellit model)</w:t>
      </w:r>
      <w:r>
        <w:rPr>
          <w:rStyle w:val="FootnoteReference"/>
        </w:rPr>
        <w:footnoteReference w:id="458"/>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45"/>
        <w:gridCol w:w="3071"/>
        <w:gridCol w:w="3073"/>
      </w:tblGrid>
      <w:tr>
        <w:trPr>
          <w:tblHeader w:val="true"/>
          <w:cantSplit w:val="true"/>
        </w:trPr>
        <w:tc>
          <w:tcPr>
            <w:tcW w:w="3545"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O‘zgaruvchi</w:t>
            </w:r>
          </w:p>
        </w:tc>
        <w:tc>
          <w:tcPr>
            <w:tcW w:w="3071"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FE (bank effektlari)</w:t>
            </w:r>
          </w:p>
        </w:tc>
        <w:tc>
          <w:tcPr>
            <w:tcW w:w="3073"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Pooled OLS</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Muammoli kreditlar ulushi (t−1),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0,623*** (0,051)</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0,805*** (0,061)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(t−4),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0,0011 (0,0037)</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0,0055 (0,0038)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Kreditlar o‘sishi (t−8),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0,0012 (0,0014)</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0,0006 (0,0010)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ln(aktivlar)</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1,119 (1,216)</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0,205 (0,151)</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YaIM o‘sishi,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1,437*** (0,498)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1,927*** (0,588)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Asosiy stavka,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0,705* (0,398)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0,999** (0,438)</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AQSh dollari kursi o‘zgarishi,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0,018 (0,040)</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0,066*** (0,023)</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Inflyatsiya, %</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0,165 (0,118)</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0,188 (0,130)</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Davlat banki (dummy)</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0,133 (0,304)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Kuzatuvlar soni</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194</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194</w:t>
            </w:r>
          </w:p>
        </w:tc>
      </w:tr>
      <w:tr>
        <w:trPr>
          <w:cantSplit w:val="true"/>
        </w:trPr>
        <w:tc>
          <w:tcPr>
            <w:tcW w:w="3545"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R²</w:t>
            </w:r>
          </w:p>
        </w:tc>
        <w:tc>
          <w:tcPr>
            <w:tcW w:w="3071"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0,41 (bank ichidagi)</w:t>
            </w:r>
          </w:p>
        </w:tc>
        <w:tc>
          <w:tcPr>
            <w:tcW w:w="3073"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kern w:val="0"/>
                <w:sz w:val="22"/>
                <w:szCs w:val="24"/>
                <w:lang w:val="en-US" w:eastAsia="en-US" w:bidi="ar-SA"/>
              </w:rPr>
              <w:t>0,81</w:t>
            </w:r>
          </w:p>
        </w:tc>
      </w:tr>
    </w:tbl>
    <w:p>
      <w:pPr>
        <w:pStyle w:val="BodyText"/>
        <w:spacing w:lineRule="auto" w:line="240" w:before="0" w:after="120"/>
        <w:ind w:hanging="0"/>
        <w:jc w:val="both"/>
        <w:rPr/>
      </w:pPr>
      <w:r>
        <w:rPr>
          <w:rFonts w:eastAsia="Times New Roman" w:cs="Times New Roman"/>
          <w:sz w:val="24"/>
        </w:rPr>
        <w:t>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Rule="auto" w:line="360" w:before="0" w:after="0"/>
        <w:ind w:firstLine="709"/>
        <w:jc w:val="both"/>
        <w:rPr/>
      </w:pPr>
      <w:r>
        <w:rPr>
          <w:rFonts w:eastAsia="Times New Roman" w:cs="Times New Roman"/>
          <w:sz w:val="28"/>
        </w:rPr>
        <w:t>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9"/>
      </w:r>
      <w:r>
        <w:rPr>
          <w:rFonts w:eastAsia="Times New Roman" w:cs="Times New Roman"/>
          <w:sz w:val="28"/>
        </w:rP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Rule="auto" w:line="360" w:before="0" w:after="0"/>
        <w:ind w:firstLine="709"/>
        <w:jc w:val="both"/>
        <w:rPr/>
      </w:pPr>
      <w:r>
        <w:rPr>
          <w:rFonts w:eastAsia="Times New Roman" w:cs="Times New Roman"/>
          <w:sz w:val="28"/>
        </w:rPr>
        <w:t>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60"/>
      </w:r>
      <w:r>
        <w:rPr>
          <w:rFonts w:eastAsia="Times New Roman" w:cs="Times New Roman"/>
          <w:sz w:val="28"/>
        </w:rP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Rule="auto" w:line="360" w:before="0" w:after="0"/>
        <w:ind w:firstLine="709"/>
        <w:jc w:val="both"/>
        <w:rPr/>
      </w:pPr>
      <w:r>
        <w:rPr>
          <w:rFonts w:eastAsia="Times New Roman" w:cs="Times New Roman"/>
          <w:sz w:val="28"/>
        </w:rPr>
        <w:t>Gipotezalarni tekshirish natijalari 3.3.7-jadvalda umumlashtirilgan.</w:t>
      </w:r>
    </w:p>
    <w:p>
      <w:pPr>
        <w:pStyle w:val="BodyText"/>
        <w:keepNext w:val="true"/>
        <w:spacing w:lineRule="auto" w:line="360" w:before="120" w:after="0"/>
        <w:ind w:hanging="0"/>
        <w:jc w:val="right"/>
        <w:rPr/>
      </w:pPr>
      <w:r>
        <w:rPr>
          <w:rFonts w:eastAsia="Times New Roman" w:cs="Times New Roman"/>
          <w:i/>
          <w:sz w:val="28"/>
        </w:rPr>
        <w:t>3.3.7-jadval</w:t>
      </w:r>
    </w:p>
    <w:p>
      <w:pPr>
        <w:pStyle w:val="BodyText"/>
        <w:keepNext w:val="true"/>
        <w:spacing w:lineRule="auto" w:line="240" w:before="0" w:after="120"/>
        <w:ind w:hanging="0"/>
        <w:jc w:val="center"/>
        <w:rPr/>
      </w:pPr>
      <w:r>
        <w:rPr>
          <w:rFonts w:eastAsia="Times New Roman" w:cs="Times New Roman"/>
          <w:b/>
          <w:bCs/>
          <w:sz w:val="28"/>
        </w:rPr>
        <w:t>Tadqiqot gipotezalarini tekshirish natijalari</w:t>
      </w:r>
      <w:r>
        <w:rPr>
          <w:rStyle w:val="FootnoteReference"/>
        </w:rPr>
        <w:footnoteReference w:id="461"/>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126"/>
        <w:gridCol w:w="2009"/>
        <w:gridCol w:w="1536"/>
        <w:gridCol w:w="1536"/>
        <w:gridCol w:w="2482"/>
      </w:tblGrid>
      <w:tr>
        <w:trPr>
          <w:tblHeader w:val="true"/>
          <w:cantSplit w:val="true"/>
        </w:trPr>
        <w:tc>
          <w:tcPr>
            <w:tcW w:w="212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Gipoteza</w:t>
            </w:r>
          </w:p>
        </w:tc>
        <w:tc>
          <w:tcPr>
            <w:tcW w:w="2009"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Integral indeks (MBII)</w:t>
            </w:r>
          </w:p>
        </w:tc>
        <w:tc>
          <w:tcPr>
            <w:tcW w:w="153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Z-score</w:t>
            </w:r>
          </w:p>
        </w:tc>
        <w:tc>
          <w:tcPr>
            <w:tcW w:w="1536"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Muammoli kreditlar ulushi</w:t>
            </w:r>
          </w:p>
        </w:tc>
        <w:tc>
          <w:tcPr>
            <w:tcW w:w="2482" w:type="dxa"/>
            <w:tcBorders>
              <w:top w:val="single" w:sz="4" w:space="0" w:color="000000"/>
              <w:left w:val="single" w:sz="4" w:space="0" w:color="000000"/>
              <w:bottom w:val="single" w:sz="6" w:space="0" w:color="000000"/>
              <w:right w:val="single" w:sz="4" w:space="0" w:color="000000"/>
            </w:tcBorders>
            <w:shd w:color="auto" w:fill="DEEBF7" w:val="clear"/>
            <w:vAlign w:val="bottom"/>
          </w:tcPr>
          <w:p>
            <w:pPr>
              <w:pStyle w:val="Compact"/>
              <w:spacing w:lineRule="auto" w:line="240" w:before="36" w:after="36"/>
              <w:ind w:hanging="0"/>
              <w:jc w:val="center"/>
              <w:rPr>
                <w:rFonts w:eastAsia="Cambria" w:cs=""/>
                <w:kern w:val="0"/>
                <w:sz w:val="24"/>
                <w:szCs w:val="24"/>
                <w:lang w:val="en-US" w:eastAsia="en-US" w:bidi="ar-SA"/>
              </w:rPr>
            </w:pPr>
            <w:r>
              <w:rPr>
                <w:rFonts w:eastAsia="Times New Roman" w:cs="Times New Roman"/>
                <w:b/>
                <w:kern w:val="0"/>
                <w:sz w:val="22"/>
                <w:szCs w:val="24"/>
                <w:lang w:val="en-US" w:eastAsia="en-US" w:bidi="ar-SA"/>
              </w:rPr>
              <w:t>Xulosa</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H1. Davlat ulushi barqarorlikni pasaytiradi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r>
              <w:rPr>
                <w:rFonts w:eastAsia="Times New Roman" w:cs="Times New Roman"/>
                <w:kern w:val="0"/>
                <w:sz w:val="22"/>
                <w:szCs w:val="24"/>
                <w:lang w:val="en-US" w:eastAsia="en-US" w:bidi="ar-SA"/>
              </w:rPr>
              <w:t>0,69*** (yarmi moliyalashtirish modeli orqali)</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ahamiyatsiz</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ahamiyatsiz</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Integral indeks bo‘yicha tasdiqlandi, Z-score uni aniqlamaydi</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H2. Jadal kreditlash barqarorlikni pasaytiradi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Pooled modelda manfiy***, bank ichida ahamiyatsiz</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barcha modellarda manfiy (**/***)</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ahamiyatsiz</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Qisman tasdiqlandi: risk milliy muammoli kreditlarda aks etmaydi</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H3. Depozit bazasi barqarorlikni oshiradi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barcha modellarda musbat***</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Pooled modelda manfiy**</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Integral indeks bo‘yicha tasdiqlandi</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H4. Sof foiz marjasi barqarorlikni oshiradi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musbat (*/**/***)</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ahamiyatsiz</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Tasdiqlandi</w:t>
            </w:r>
          </w:p>
        </w:tc>
      </w:tr>
      <w:tr>
        <w:trPr>
          <w:cantSplit w:val="true"/>
        </w:trPr>
        <w:tc>
          <w:tcPr>
            <w:tcW w:w="212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H5. YaIM o‘sishi kredit riskini kamaytiradi, asosiy stavka oshiradi</w:t>
            </w:r>
          </w:p>
        </w:tc>
        <w:tc>
          <w:tcPr>
            <w:tcW w:w="2009"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chorak effektlari orqali nazorat qilindi</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w:t>
            </w:r>
          </w:p>
        </w:tc>
        <w:tc>
          <w:tcPr>
            <w:tcW w:w="1536"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YaIM: manfiy***, stavka: musbat (*/**)</w:t>
            </w:r>
          </w:p>
        </w:tc>
        <w:tc>
          <w:tcPr>
            <w:tcW w:w="2482" w:type="dxa"/>
            <w:tcBorders>
              <w:top w:val="single" w:sz="4" w:space="0" w:color="000000"/>
              <w:left w:val="single" w:sz="4" w:space="0" w:color="000000"/>
              <w:bottom w:val="single" w:sz="4" w:space="0" w:color="000000"/>
              <w:right w:val="single" w:sz="4" w:space="0" w:color="000000"/>
            </w:tcBorders>
          </w:tcPr>
          <w:p>
            <w:pPr>
              <w:pStyle w:val="Compact"/>
              <w:spacing w:lineRule="auto" w:line="240" w:before="36" w:after="36"/>
              <w:ind w:hanging="0"/>
              <w:jc w:val="left"/>
              <w:rPr>
                <w:rFonts w:eastAsia="Cambria" w:cs=""/>
                <w:kern w:val="0"/>
                <w:sz w:val="24"/>
                <w:szCs w:val="24"/>
                <w:lang w:val="en-US" w:eastAsia="en-US" w:bidi="ar-SA"/>
              </w:rPr>
            </w:pPr>
            <w:r>
              <w:rPr>
                <w:rFonts w:eastAsia="Times New Roman" w:cs="Times New Roman"/>
                <w:kern w:val="0"/>
                <w:sz w:val="22"/>
                <w:szCs w:val="24"/>
                <w:lang w:val="en-US" w:eastAsia="en-US" w:bidi="ar-SA"/>
              </w:rPr>
              <w:t>Tasdiqlandi</w:t>
            </w:r>
          </w:p>
        </w:tc>
      </w:tr>
    </w:tbl>
    <w:p>
      <w:pPr>
        <w:pStyle w:val="BodyText"/>
        <w:spacing w:lineRule="auto" w:line="360" w:before="0" w:after="0"/>
        <w:ind w:firstLine="709"/>
        <w:jc w:val="both"/>
        <w:rPr/>
      </w:pPr>
      <w:r>
        <w:rPr>
          <w:rFonts w:eastAsia="Times New Roman" w:cs="Times New Roman"/>
          <w:sz w:val="28"/>
        </w:rP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Rule="auto" w:line="360" w:before="0" w:after="0"/>
        <w:ind w:firstLine="709"/>
        <w:jc w:val="both"/>
        <w:rPr/>
      </w:pPr>
      <w:r>
        <w:rPr>
          <w:rFonts w:eastAsia="Times New Roman" w:cs="Times New Roman"/>
          <w:sz w:val="28"/>
        </w:rP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Rule="auto" w:line="360" w:before="0" w:after="0"/>
        <w:ind w:firstLine="709"/>
        <w:jc w:val="both"/>
        <w:rPr/>
      </w:pPr>
      <w:r>
        <w:rPr>
          <w:rFonts w:eastAsia="Times New Roman" w:cs="Times New Roman"/>
          <w:sz w:val="28"/>
        </w:rPr>
        <w:t>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Rule="auto" w:line="360" w:before="0" w:after="0"/>
        <w:ind w:firstLine="709"/>
        <w:jc w:val="both"/>
        <w:rPr/>
      </w:pPr>
      <w:bookmarkStart w:id="44" w:name="X6c38a6edb9c798881b919e115f0d8939eceb0ef"/>
      <w:r>
        <w:rPr>
          <w:rFonts w:eastAsia="Times New Roman" w:cs="Times New Roman"/>
          <w:sz w:val="28"/>
        </w:rP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bookmarkEnd w:id="44"/>
    </w:p>
    <w:p>
      <w:pPr>
        <w:pStyle w:val="Normal"/>
        <w:spacing w:before="0" w:after="200"/>
        <w:rPr/>
      </w:pPr>
      <w:r>
        <w:rPr/>
      </w:r>
    </w:p>
    <w:sectPr>
      <w:footerReference w:type="default" r:id="rId36"/>
      <w:footnotePr>
        <w:numFmt w:val="decimal"/>
      </w:footnotePr>
      <w:type w:val="nextPage"/>
      <w:pgSz w:w="12240" w:h="15840"/>
      <w:pgMar w:left="1701" w:right="850" w:gutter="0" w:header="0" w:top="1134" w:footer="1134" w:bottom="145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 ARABIC </w:instrText>
    </w:r>
    <w:r>
      <w:rPr/>
      <w:fldChar w:fldCharType="separate"/>
    </w:r>
    <w:r>
      <w:rPr/>
      <w:t>202</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uppressLineNumbers/>
        <w:spacing w:before="0" w:after="200"/>
        <w:ind w:hanging="340" w:left="340"/>
        <w:rPr/>
      </w:pPr>
      <w:r>
        <w:rPr>
          <w:rStyle w:val="FootnoteCharacters"/>
        </w:rPr>
        <w:footnoteRef/>
      </w:r>
      <w:r>
        <w:rPr/>
        <w:tab/>
        <w:t xml:space="preserve"> </w:t>
      </w:r>
      <w:r>
        <w:rPr/>
        <w:t>Basel Committee on Banking Supervision. Report on the 2023 banking turmoil. – Basel: BIS, October 2023.</w:t>
      </w:r>
    </w:p>
  </w:footnote>
  <w:footnote w:id="3">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162–165.</w:t>
      </w:r>
    </w:p>
  </w:footnote>
  <w:footnote w:id="4">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3.</w:t>
      </w:r>
    </w:p>
  </w:footnote>
  <w:footnote w:id="5">
    <w:p>
      <w:pPr>
        <w:pStyle w:val="FootnoteText"/>
        <w:suppressLineNumbers/>
        <w:spacing w:before="0" w:after="200"/>
        <w:ind w:hanging="340" w:left="340"/>
        <w:rPr/>
      </w:pPr>
      <w:r>
        <w:rPr>
          <w:rStyle w:val="FootnoteCharacters"/>
        </w:rPr>
        <w:footnoteRef/>
      </w:r>
      <w:r>
        <w:rPr/>
        <w:tab/>
        <w:t xml:space="preserve"> </w:t>
      </w:r>
      <w:r>
        <w:rPr/>
        <w:t>Modina M. Credit Rating and Bank–Firm Relationships: New Models to Better Evaluate SMEs. – Basingstoke: Palgrave Macmillan, 2015. – P. 45.</w:t>
      </w:r>
    </w:p>
  </w:footnote>
  <w:footnote w:id="6">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6–7, 15.</w:t>
      </w:r>
    </w:p>
  </w:footnote>
  <w:footnote w:id="7">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8">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9–10.</w:t>
      </w:r>
    </w:p>
  </w:footnote>
  <w:footnote w:id="9">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20–22.</w:t>
      </w:r>
    </w:p>
  </w:footnote>
  <w:footnote w:id="10">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1">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68–70.</w:t>
      </w:r>
    </w:p>
  </w:footnote>
  <w:footnote w:id="12">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15.</w:t>
      </w:r>
    </w:p>
  </w:footnote>
  <w:footnote w:id="13">
    <w:p>
      <w:pPr>
        <w:pStyle w:val="FootnoteText"/>
        <w:suppressLineNumbers/>
        <w:spacing w:before="0" w:after="200"/>
        <w:ind w:hanging="340" w:left="340"/>
        <w:rPr/>
      </w:pPr>
      <w:r>
        <w:rPr>
          <w:rStyle w:val="FootnoteCharacters"/>
        </w:rPr>
        <w:footnoteRef/>
      </w:r>
      <w:r>
        <w:rPr/>
        <w:tab/>
        <w:t xml:space="preserve"> </w:t>
      </w:r>
      <w:r>
        <w:rPr/>
        <w:t>Basel Committee on Banking Supervision. Basel III: The Liquidity Coverage Ratio and liquidity risk monitoring tools. – Basel: BIS, January 2013.</w:t>
      </w:r>
    </w:p>
  </w:footnote>
  <w:footnote w:id="14">
    <w:p>
      <w:pPr>
        <w:pStyle w:val="FootnoteText"/>
        <w:suppressLineNumbers/>
        <w:spacing w:before="0" w:after="200"/>
        <w:ind w:hanging="340" w:left="340"/>
        <w:rPr/>
      </w:pPr>
      <w:r>
        <w:rPr>
          <w:rStyle w:val="FootnoteCharacters"/>
        </w:rPr>
        <w:footnoteRef/>
      </w:r>
      <w:r>
        <w:rPr/>
        <w:tab/>
        <w:t xml:space="preserve"> </w:t>
      </w:r>
      <w:r>
        <w:rPr/>
        <w:t>Basel Committee on Banking Supervision. Basel III: The Net Stable Funding Ratio. – Basel: BIS, October 2014.</w:t>
      </w:r>
    </w:p>
  </w:footnote>
  <w:footnote w:id="15">
    <w:p>
      <w:pPr>
        <w:pStyle w:val="FootnoteText"/>
        <w:suppressLineNumbers/>
        <w:spacing w:before="0" w:after="200"/>
        <w:ind w:hanging="340" w:left="340"/>
        <w:rPr/>
      </w:pPr>
      <w:r>
        <w:rPr>
          <w:rStyle w:val="FootnoteCharacters"/>
        </w:rPr>
        <w:footnoteRef/>
      </w:r>
      <w:r>
        <w:rPr/>
      </w:r>
    </w:p>
  </w:footnote>
  <w:footnote w:id="16">
    <w:p>
      <w:pPr>
        <w:pStyle w:val="FootnoteText"/>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50–51.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p>
      <w:pPr>
        <w:pStyle w:val="FootnoteText"/>
        <w:suppressLineNumbers/>
        <w:spacing w:before="0" w:after="200"/>
        <w:ind w:hanging="340" w:left="340"/>
        <w:rPr/>
      </w:pPr>
      <w:r>
        <w:rPr/>
      </w:r>
    </w:p>
  </w:footnote>
  <w:footnote w:id="17">
    <w:p>
      <w:pPr>
        <w:pStyle w:val="FootnoteText"/>
        <w:suppressLineNumbers/>
        <w:spacing w:before="0" w:after="200"/>
        <w:ind w:hanging="340" w:left="340"/>
        <w:rPr/>
      </w:pPr>
      <w:r>
        <w:rPr>
          <w:rStyle w:val="FootnoteCharacters"/>
        </w:rPr>
      </w:r>
      <w:r>
        <w:rPr/>
        <w:tab/>
        <w:t xml:space="preserve"> </w:t>
      </w:r>
      <w:r>
        <w:rPr/>
        <w:t>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18">
    <w:p>
      <w:pPr>
        <w:pStyle w:val="FootnoteText"/>
        <w:suppressLineNumbers/>
        <w:spacing w:before="0" w:after="200"/>
        <w:ind w:hanging="340" w:left="340"/>
        <w:rPr/>
      </w:pPr>
      <w:r>
        <w:rPr>
          <w:rStyle w:val="FootnoteCharacters"/>
        </w:rPr>
      </w:r>
      <w:r>
        <w:rPr/>
        <w:tab/>
        <w:t xml:space="preserve"> </w:t>
      </w:r>
      <w:r>
        <w:rPr/>
        <w:t>Banklar kapitalining monandligiga qo‘yiladigan talablar to‘g‘risidagi nizom (O‘zbekiston Respublikasi Markaziy banki Boshqaruvining 02.10.2025 dagi 21/6-son qarori, ro‘yxat raqami 3697, 28.10.2025) // https://lex.uz/docs/7793613</w:t>
      </w:r>
    </w:p>
  </w:footnote>
  <w:footnote w:id="19">
    <w:p>
      <w:pPr>
        <w:pStyle w:val="FootnoteText"/>
        <w:suppressLineNumbers/>
        <w:spacing w:before="0" w:after="200"/>
        <w:ind w:hanging="340" w:left="340"/>
        <w:rPr/>
      </w:pPr>
      <w:r>
        <w:rPr>
          <w:rStyle w:val="FootnoteCharacters"/>
        </w:rPr>
      </w:r>
      <w:r>
        <w:rPr/>
        <w:tab/>
        <w:t xml:space="preserve"> </w:t>
      </w:r>
      <w:r>
        <w:rPr/>
        <w:t>Muallif ishlanmasi.</w:t>
      </w:r>
    </w:p>
  </w:footnote>
  <w:footnote w:id="20">
    <w:p>
      <w:pPr>
        <w:pStyle w:val="FootnoteText"/>
        <w:suppressLineNumbers/>
        <w:spacing w:before="0" w:after="200"/>
        <w:ind w:hanging="340" w:left="340"/>
        <w:rPr/>
      </w:pPr>
      <w:r>
        <w:rPr>
          <w:rStyle w:val="FootnoteCharacters"/>
        </w:rPr>
      </w:r>
      <w:r>
        <w:rPr/>
        <w:tab/>
        <w:t xml:space="preserve"> </w:t>
      </w:r>
      <w:r>
        <w:rPr/>
        <w:t>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1">
    <w:p>
      <w:pPr>
        <w:pStyle w:val="FootnoteText"/>
        <w:suppressLineNumbers/>
        <w:spacing w:before="0" w:after="200"/>
        <w:ind w:hanging="340" w:left="340"/>
        <w:rPr/>
      </w:pPr>
      <w:r>
        <w:rPr>
          <w:rStyle w:val="FootnoteCharacters"/>
        </w:rPr>
      </w:r>
      <w:r>
        <w:rPr/>
        <w:tab/>
        <w:t xml:space="preserve"> </w:t>
      </w:r>
      <w:r>
        <w:rPr/>
        <w:t>Бердияров Б.Т. Ko‘rsatilgan asar. – Б. 27.</w:t>
      </w:r>
    </w:p>
  </w:footnote>
  <w:footnote w:id="22">
    <w:p>
      <w:pPr>
        <w:pStyle w:val="FootnoteText"/>
        <w:suppressLineNumbers/>
        <w:spacing w:before="0" w:after="200"/>
        <w:ind w:hanging="340" w:left="340"/>
        <w:rPr/>
      </w:pPr>
      <w:r>
        <w:rPr>
          <w:rStyle w:val="FootnoteCharacters"/>
        </w:rPr>
      </w:r>
      <w:r>
        <w:rPr/>
        <w:tab/>
        <w:t xml:space="preserve"> </w:t>
      </w:r>
      <w:r>
        <w:rPr/>
        <w:t>Karaliyev T.M., Sayfiddinov I.F. Ko‘rsatilgan asar. – B. 208.</w:t>
      </w:r>
    </w:p>
  </w:footnote>
  <w:footnote w:id="23">
    <w:p>
      <w:pPr>
        <w:pStyle w:val="FootnoteText"/>
        <w:suppressLineNumbers/>
        <w:spacing w:before="0" w:after="200"/>
        <w:ind w:hanging="340" w:left="340"/>
        <w:rPr/>
      </w:pPr>
      <w:r>
        <w:rPr>
          <w:rStyle w:val="FootnoteCharacters"/>
        </w:rPr>
      </w:r>
      <w:r>
        <w:rPr/>
        <w:tab/>
        <w:t xml:space="preserve"> </w:t>
      </w:r>
      <w:r>
        <w:rPr/>
        <w:t>The Central Bank of the Republic of Uzbekistan. «Roadmap»… – Item 13.</w:t>
      </w:r>
    </w:p>
  </w:footnote>
  <w:footnote w:id="24">
    <w:p>
      <w:pPr>
        <w:pStyle w:val="FootnoteText"/>
        <w:suppressLineNumbers/>
        <w:spacing w:before="0" w:after="200"/>
        <w:ind w:hanging="340" w:left="340"/>
        <w:rPr/>
      </w:pPr>
      <w:r>
        <w:rPr>
          <w:rStyle w:val="FootnoteCharacters"/>
        </w:rPr>
      </w:r>
      <w:r>
        <w:rPr/>
        <w:tab/>
        <w:t xml:space="preserve"> </w:t>
      </w:r>
      <w:r>
        <w:rPr/>
        <w:t>Karaliyev T.M., Sayfiddinov I.F. Ko‘rsatilgan asar. – B. 213.</w:t>
      </w:r>
    </w:p>
  </w:footnote>
  <w:footnote w:id="25">
    <w:p>
      <w:pPr>
        <w:pStyle w:val="FootnoteText"/>
        <w:suppressLineNumbers/>
        <w:spacing w:before="0" w:after="200"/>
        <w:ind w:hanging="340" w:left="340"/>
        <w:rPr/>
      </w:pPr>
      <w:r>
        <w:rPr>
          <w:rStyle w:val="FootnoteCharacters"/>
        </w:rPr>
      </w:r>
      <w:r>
        <w:rPr/>
        <w:tab/>
        <w:t xml:space="preserve"> </w:t>
      </w:r>
      <w:r>
        <w:rPr/>
        <w:t>The Central Bank of the Republic of Uzbekistan. «Roadmap»… – Item 13.</w:t>
      </w:r>
    </w:p>
  </w:footnote>
  <w:footnote w:id="26">
    <w:p>
      <w:pPr>
        <w:pStyle w:val="FootnoteText"/>
        <w:suppressLineNumbers/>
        <w:spacing w:before="0" w:after="200"/>
        <w:ind w:hanging="340" w:left="340"/>
        <w:rPr/>
      </w:pPr>
      <w:r>
        <w:rPr>
          <w:rStyle w:val="FootnoteCharacters"/>
        </w:rPr>
      </w:r>
      <w:r>
        <w:rPr/>
        <w:tab/>
        <w:t xml:space="preserve"> </w:t>
      </w:r>
      <w:r>
        <w:rPr/>
        <w:t>Countercyclical capital buffer // The Central Bank of the Republic of Uzbekistan. – https://cbu.uz/en/financial-stability/macroprudential-policy-tools/countercyclical-capital-buffer/</w:t>
      </w:r>
    </w:p>
  </w:footnote>
  <w:footnote w:id="27">
    <w:p>
      <w:pPr>
        <w:pStyle w:val="FootnoteText"/>
        <w:suppressLineNumbers/>
        <w:spacing w:before="0" w:after="200"/>
        <w:ind w:hanging="340" w:left="340"/>
        <w:rPr/>
      </w:pPr>
      <w:r>
        <w:rPr>
          <w:rStyle w:val="FootnoteCharacters"/>
        </w:rPr>
      </w:r>
      <w:r>
        <w:rPr/>
        <w:tab/>
        <w:t xml:space="preserve"> </w:t>
      </w:r>
      <w:r>
        <w:rPr/>
        <w:t>2026-yil uchun mahalliy tizimli ahamiyatga molik banklar belgilandi // O‘zbekiston Respublikasi Markaziy banki.</w:t>
      </w:r>
    </w:p>
  </w:footnote>
  <w:footnote w:id="28">
    <w:p>
      <w:pPr>
        <w:pStyle w:val="FootnoteText"/>
        <w:suppressLineNumbers/>
        <w:spacing w:before="0" w:after="200"/>
        <w:ind w:hanging="340" w:left="340"/>
        <w:rPr/>
      </w:pPr>
      <w:r>
        <w:rPr>
          <w:rStyle w:val="FootnoteCharacters"/>
        </w:rPr>
      </w:r>
      <w:r>
        <w:rPr/>
        <w:tab/>
        <w:t xml:space="preserve"> </w:t>
      </w:r>
      <w:r>
        <w:rPr/>
        <w:t>IMF Country Report No. 25/227, 2025.</w:t>
      </w:r>
    </w:p>
  </w:footnote>
  <w:footnote w:id="29">
    <w:p>
      <w:pPr>
        <w:pStyle w:val="FootnoteText"/>
        <w:suppressLineNumbers/>
        <w:spacing w:before="0" w:after="200"/>
        <w:ind w:hanging="340" w:left="340"/>
        <w:rPr/>
      </w:pPr>
      <w:r>
        <w:rPr>
          <w:rStyle w:val="FootnoteCharacters"/>
        </w:rPr>
      </w:r>
      <w:r>
        <w:rPr/>
        <w:tab/>
        <w:t xml:space="preserve"> </w:t>
      </w:r>
      <w:r>
        <w:rPr/>
        <w:t>The Financial Stability Report for 2024 has been published // The Central Bank of the Republic of Uzbekistan. – https://cbu.uz/en/press_center/releases/2489245/; The Central Bank of Uzbekistan. Financial Stability Report for 2025.</w:t>
      </w:r>
    </w:p>
  </w:footnote>
  <w:footnote w:id="30">
    <w:p>
      <w:pPr>
        <w:pStyle w:val="FootnoteText"/>
        <w:suppressLineNumbers/>
        <w:spacing w:before="0" w:after="200"/>
        <w:ind w:hanging="340" w:left="340"/>
        <w:rPr/>
      </w:pPr>
      <w:r>
        <w:rPr>
          <w:rStyle w:val="FootnoteCharacters"/>
        </w:rPr>
      </w:r>
      <w:r>
        <w:rPr/>
        <w:tab/>
        <w:t xml:space="preserve"> </w:t>
      </w:r>
      <w:r>
        <w:rPr/>
        <w:t>Countercyclical capital buffer // The Central Bank of the Republic of Uzbekistan.</w:t>
      </w:r>
    </w:p>
  </w:footnote>
  <w:footnote w:id="31">
    <w:p>
      <w:pPr>
        <w:pStyle w:val="FootnoteText"/>
        <w:suppressLineNumbers/>
        <w:spacing w:before="0" w:after="200"/>
        <w:ind w:hanging="340" w:left="340"/>
        <w:rPr/>
      </w:pPr>
      <w:r>
        <w:rPr>
          <w:rStyle w:val="FootnoteCharacters"/>
        </w:rPr>
      </w:r>
      <w:r>
        <w:rPr/>
        <w:tab/>
        <w:t xml:space="preserve"> </w:t>
      </w:r>
      <w:r>
        <w:rPr/>
        <w:t>Muallif tomonidan quyidagi manbalar asosida tuzilgan: IMF Country Report No. 25/227, 2025; The Central Bank of Uzbekistan. Financial Stability Report for 2024; Financial Stability Report for H1 2025; Financial Stability Report for 2025; Countercyclical capital buffer // cbu.uz.</w:t>
      </w:r>
    </w:p>
  </w:footnote>
  <w:footnote w:id="32">
    <w:p>
      <w:pPr>
        <w:pStyle w:val="FootnoteText"/>
        <w:suppressLineNumbers/>
        <w:spacing w:before="0" w:after="200"/>
        <w:ind w:hanging="340" w:left="340"/>
        <w:rPr/>
      </w:pPr>
      <w:r>
        <w:rPr>
          <w:rStyle w:val="FootnoteCharacters"/>
        </w:rPr>
      </w:r>
      <w:r>
        <w:rPr/>
        <w:tab/>
        <w:t xml:space="preserve"> </w:t>
      </w:r>
      <w:r>
        <w:rPr/>
        <w:t>The Central Bank of Uzbekistan. Financial Stability Report for 2025.</w:t>
      </w:r>
    </w:p>
  </w:footnote>
  <w:footnote w:id="33">
    <w:p>
      <w:pPr>
        <w:pStyle w:val="FootnoteText"/>
        <w:suppressLineNumbers/>
        <w:spacing w:before="0" w:after="200"/>
        <w:ind w:hanging="340" w:left="340"/>
        <w:rPr/>
      </w:pPr>
      <w:r>
        <w:rPr>
          <w:rStyle w:val="FootnoteCharacters"/>
        </w:rPr>
      </w:r>
      <w:r>
        <w:rPr/>
        <w:tab/>
        <w:t xml:space="preserve"> </w:t>
      </w:r>
      <w:r>
        <w:rPr/>
        <w:t>The Central Bank of Uzbekistan. Financial Stability Report for H1 2025. – Tashkent, 2025. – https://cbu.uz/upload/medialibrary/fea/zc1m2epsxmcmn8u19j8q8n4so1d7eqsz/Financial-Stability-Report-for-H1-2025.pdf</w:t>
      </w:r>
    </w:p>
  </w:footnote>
  <w:footnote w:id="34">
    <w:p>
      <w:pPr>
        <w:pStyle w:val="FootnoteText"/>
        <w:suppressLineNumbers/>
        <w:spacing w:before="0" w:after="200"/>
        <w:ind w:hanging="340" w:left="340"/>
        <w:rPr/>
      </w:pPr>
      <w:r>
        <w:rPr>
          <w:rStyle w:val="FootnoteCharacters"/>
        </w:rPr>
      </w:r>
      <w:r>
        <w:rPr/>
        <w:tab/>
        <w:t xml:space="preserve"> </w:t>
      </w:r>
      <w:r>
        <w:rPr/>
        <w:t>Muallif tomonidan quyidagi manbalar asosida tuzilgan: The Central Bank of Uzbekistan. Financial Stability Report for H1 2025; Financial Stability Report for 2025.</w:t>
      </w:r>
    </w:p>
  </w:footnote>
  <w:footnote w:id="35">
    <w:p>
      <w:pPr>
        <w:pStyle w:val="FootnoteText"/>
        <w:suppressLineNumbers/>
        <w:spacing w:before="0" w:after="200"/>
        <w:ind w:hanging="340" w:left="340"/>
        <w:rPr/>
      </w:pPr>
      <w:r>
        <w:rPr>
          <w:rStyle w:val="FootnoteCharacters"/>
        </w:rPr>
      </w:r>
      <w:r>
        <w:rPr/>
        <w:tab/>
        <w:t xml:space="preserve"> </w:t>
      </w:r>
      <w:r>
        <w:rPr/>
        <w:t>IMF Country Report No. 25/227, 2025.</w:t>
      </w:r>
    </w:p>
  </w:footnote>
  <w:footnote w:id="36">
    <w:p>
      <w:pPr>
        <w:pStyle w:val="FootnoteText"/>
        <w:suppressLineNumbers/>
        <w:spacing w:before="0" w:after="200"/>
        <w:ind w:hanging="340" w:left="340"/>
        <w:rPr/>
      </w:pPr>
      <w:r>
        <w:rPr>
          <w:rStyle w:val="FootnoteCharacters"/>
        </w:rPr>
      </w:r>
      <w:r>
        <w:rPr/>
        <w:tab/>
        <w:t xml:space="preserve"> </w:t>
      </w:r>
      <w:r>
        <w:rPr/>
        <w:t>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37">
    <w:p>
      <w:pPr>
        <w:pStyle w:val="FootnoteText"/>
        <w:suppressLineNumbers/>
        <w:spacing w:before="0" w:after="200"/>
        <w:ind w:hanging="340" w:left="340"/>
        <w:rPr/>
      </w:pPr>
      <w:r>
        <w:rPr>
          <w:rStyle w:val="FootnoteCharacters"/>
        </w:rPr>
      </w:r>
      <w:r>
        <w:rPr/>
        <w:tab/>
        <w:t xml:space="preserve"> </w:t>
      </w:r>
      <w:r>
        <w:rPr/>
        <w:t>Muallif ishlanmasi.</w:t>
      </w:r>
    </w:p>
  </w:footnote>
  <w:footnote w:id="38">
    <w:p>
      <w:pPr>
        <w:pStyle w:val="FootnoteText"/>
        <w:suppressLineNumbers/>
        <w:spacing w:before="0" w:after="200"/>
        <w:ind w:hanging="340" w:left="340"/>
        <w:rPr/>
      </w:pPr>
      <w:r>
        <w:rPr>
          <w:rStyle w:val="FootnoteCharacters"/>
        </w:rPr>
      </w:r>
      <w:r>
        <w:rPr/>
        <w:tab/>
        <w:t xml:space="preserve"> </w:t>
      </w:r>
      <w:r>
        <w:rPr/>
        <w:t>IMF Country Report No. 25/227, 2025.</w:t>
      </w:r>
    </w:p>
  </w:footnote>
  <w:footnote w:id="39">
    <w:p>
      <w:pPr>
        <w:pStyle w:val="FootnoteText"/>
        <w:suppressLineNumbers/>
        <w:spacing w:before="0" w:after="200"/>
        <w:ind w:hanging="340" w:left="340"/>
        <w:rPr/>
      </w:pPr>
      <w:r>
        <w:rPr>
          <w:rStyle w:val="FootnoteCharacters"/>
        </w:rPr>
      </w:r>
      <w:r>
        <w:rPr/>
        <w:tab/>
        <w:t xml:space="preserve"> </w:t>
      </w:r>
      <w:r>
        <w:rPr/>
        <w:t>IMF Country Report No. 25/145, 2025.</w:t>
      </w:r>
    </w:p>
  </w:footnote>
  <w:footnote w:id="40">
    <w:p>
      <w:pPr>
        <w:pStyle w:val="FootnoteText"/>
        <w:suppressLineNumbers/>
        <w:spacing w:before="0" w:after="200"/>
        <w:ind w:hanging="340" w:left="340"/>
        <w:rPr/>
      </w:pPr>
      <w:r>
        <w:rPr>
          <w:rStyle w:val="FootnoteCharacters"/>
        </w:rPr>
      </w:r>
      <w:r>
        <w:rPr/>
        <w:tab/>
        <w:t xml:space="preserve"> </w:t>
      </w:r>
      <w:r>
        <w:rPr/>
        <w:t>The Central Bank of the Republic of Uzbekistan. «Roadmap»… – Item 3.</w:t>
      </w:r>
    </w:p>
  </w:footnote>
  <w:footnote w:id="41">
    <w:p>
      <w:pPr>
        <w:pStyle w:val="FootnoteText"/>
        <w:suppressLineNumbers/>
        <w:spacing w:before="0" w:after="200"/>
        <w:ind w:hanging="340" w:left="340"/>
        <w:rPr/>
      </w:pPr>
      <w:r>
        <w:rPr>
          <w:rStyle w:val="FootnoteCharacters"/>
        </w:rPr>
      </w:r>
      <w:r>
        <w:rPr/>
        <w:tab/>
        <w:t xml:space="preserve"> </w:t>
      </w:r>
      <w:r>
        <w:rPr/>
        <w:t>O‘sha joyda. – Items 5, 19.</w:t>
      </w:r>
    </w:p>
  </w:footnote>
  <w:footnote w:id="42">
    <w:p>
      <w:pPr>
        <w:pStyle w:val="FootnoteText"/>
        <w:suppressLineNumbers/>
        <w:spacing w:before="0" w:after="200"/>
        <w:ind w:hanging="340" w:left="340"/>
        <w:rPr/>
      </w:pPr>
      <w:r>
        <w:rPr>
          <w:rStyle w:val="FootnoteCharacters"/>
        </w:rPr>
      </w:r>
      <w:r>
        <w:rPr/>
        <w:tab/>
        <w:t xml:space="preserve"> </w:t>
      </w:r>
      <w:r>
        <w:rPr/>
        <w:t>IMF Country Report No. 25/145, 2025.</w:t>
      </w:r>
    </w:p>
  </w:footnote>
  <w:footnote w:id="43">
    <w:p>
      <w:pPr>
        <w:pStyle w:val="FootnoteText"/>
        <w:suppressLineNumbers/>
        <w:spacing w:before="0" w:after="200"/>
        <w:ind w:hanging="340" w:left="340"/>
        <w:rPr/>
      </w:pPr>
      <w:r>
        <w:rPr>
          <w:rStyle w:val="FootnoteCharacters"/>
        </w:rPr>
      </w:r>
      <w:r>
        <w:rPr/>
        <w:tab/>
        <w:t xml:space="preserve"> </w:t>
      </w:r>
      <w:r>
        <w:rPr/>
        <w:t>The Central Bank of the Republic of Uzbekistan. «Roadmap»… – Items 7, 16.</w:t>
      </w:r>
    </w:p>
  </w:footnote>
  <w:footnote w:id="44">
    <w:p>
      <w:pPr>
        <w:pStyle w:val="FootnoteText"/>
        <w:suppressLineNumbers/>
        <w:spacing w:before="0" w:after="200"/>
        <w:ind w:hanging="340" w:left="340"/>
        <w:rPr/>
      </w:pPr>
      <w:r>
        <w:rPr>
          <w:rStyle w:val="FootnoteCharacters"/>
        </w:rPr>
      </w:r>
      <w:r>
        <w:rPr/>
        <w:tab/>
        <w:t xml:space="preserve"> </w:t>
      </w:r>
      <w:r>
        <w:rPr/>
        <w:t>IMF. Uzbekistan: Staff Concluding Statement of the 2026 Article IV Mission. – 13.04.2026. – https://www.imf.org/en/news/articles/2026/04/13/mcs041326-uzbekistan</w:t>
      </w:r>
    </w:p>
  </w:footnote>
  <w:footnote w:id="45">
    <w:p>
      <w:pPr>
        <w:pStyle w:val="FootnoteText"/>
        <w:suppressLineNumbers/>
        <w:spacing w:before="0" w:after="200"/>
        <w:ind w:hanging="340" w:left="340"/>
        <w:rPr/>
      </w:pPr>
      <w:r>
        <w:rPr>
          <w:rStyle w:val="FootnoteCharacters"/>
        </w:rPr>
      </w:r>
      <w:r>
        <w:rPr/>
        <w:tab/>
        <w:t xml:space="preserve"> </w:t>
      </w:r>
      <w:r>
        <w:rPr/>
        <w:t>The Central Bank of the Republic of Uzbekistan. «Roadmap»… – Item 9.</w:t>
      </w:r>
    </w:p>
  </w:footnote>
  <w:footnote w:id="46">
    <w:p>
      <w:pPr>
        <w:pStyle w:val="FootnoteText"/>
        <w:suppressLineNumbers/>
        <w:spacing w:before="0" w:after="200"/>
        <w:ind w:hanging="340" w:left="340"/>
        <w:rPr/>
      </w:pPr>
      <w:r>
        <w:rPr>
          <w:rStyle w:val="FootnoteCharacters"/>
        </w:rPr>
      </w:r>
      <w:r>
        <w:rPr/>
        <w:tab/>
        <w:t xml:space="preserve"> </w:t>
      </w:r>
      <w:r>
        <w:rPr/>
        <w:t>O‘sha joyda. – Item 31.</w:t>
      </w:r>
    </w:p>
  </w:footnote>
  <w:footnote w:id="47">
    <w:p>
      <w:pPr>
        <w:pStyle w:val="FootnoteText"/>
        <w:suppressLineNumbers/>
        <w:spacing w:before="0" w:after="200"/>
        <w:ind w:hanging="340" w:left="340"/>
        <w:rPr/>
      </w:pPr>
      <w:r>
        <w:rPr>
          <w:rStyle w:val="FootnoteCharacters"/>
        </w:rPr>
      </w:r>
      <w:r>
        <w:rPr/>
        <w:tab/>
        <w:t xml:space="preserve"> </w:t>
      </w:r>
      <w:r>
        <w:rPr/>
        <w:t>The Central Bank of the Republic of Uzbekistan. «Roadmap»… – Items 2–4, 7, 9.</w:t>
      </w:r>
    </w:p>
  </w:footnote>
  <w:footnote w:id="48">
    <w:p>
      <w:pPr>
        <w:pStyle w:val="FootnoteText"/>
        <w:suppressLineNumbers/>
        <w:spacing w:before="0" w:after="200"/>
        <w:ind w:hanging="340" w:left="340"/>
        <w:rPr/>
      </w:pPr>
      <w:r>
        <w:rPr>
          <w:rStyle w:val="FootnoteCharacters"/>
        </w:rPr>
        <w:footnoteRef/>
      </w:r>
      <w:r>
        <w:rPr/>
        <w:tab/>
        <w:t xml:space="preserve"> </w:t>
      </w:r>
      <w:r>
        <w:rPr/>
        <w:t>Basel Committee on Banking Supervision. Basel III: Finalising post-crisis reforms. – Basel: BIS, December 2017.</w:t>
      </w:r>
    </w:p>
  </w:footnote>
  <w:footnote w:id="49">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50">
    <w:p>
      <w:pPr>
        <w:pStyle w:val="FootnoteText"/>
        <w:suppressLineNumbers/>
        <w:spacing w:before="0" w:after="200"/>
        <w:ind w:hanging="340" w:left="340"/>
        <w:rPr/>
      </w:pPr>
      <w:r>
        <w:rPr>
          <w:rStyle w:val="FootnoteCharacters"/>
        </w:rPr>
        <w:footnoteRef/>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51">
    <w:p>
      <w:pPr>
        <w:pStyle w:val="FootnoteText"/>
        <w:suppressLineNumbers/>
        <w:spacing w:before="0" w:after="200"/>
        <w:ind w:hanging="340" w:left="340"/>
        <w:rPr/>
      </w:pPr>
      <w:r>
        <w:rPr>
          <w:rStyle w:val="FootnoteCharacters"/>
        </w:rPr>
        <w:footnoteRef/>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52">
    <w:p>
      <w:pPr>
        <w:pStyle w:val="FootnoteText"/>
        <w:suppressLineNumbers/>
        <w:spacing w:before="0" w:after="200"/>
        <w:ind w:hanging="340" w:left="340"/>
        <w:rPr/>
      </w:pPr>
      <w:r>
        <w:rPr>
          <w:rStyle w:val="FootnoteCharacters"/>
        </w:rPr>
        <w:footnoteRef/>
      </w:r>
      <w:r>
        <w:rPr/>
        <w:tab/>
        <w:t xml:space="preserve"> </w:t>
      </w:r>
      <w:r>
        <w:rPr/>
        <w:t>IFRS 9 Financial Instruments. – London: International Accounting Standards Board, 2014.</w:t>
      </w:r>
    </w:p>
  </w:footnote>
  <w:footnote w:id="53">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54">
    <w:p>
      <w:pPr>
        <w:pStyle w:val="FootnoteText"/>
        <w:suppressLineNumbers/>
        <w:spacing w:before="0" w:after="200"/>
        <w:ind w:hanging="340" w:left="340"/>
        <w:rPr/>
      </w:pPr>
      <w:r>
        <w:rPr>
          <w:rStyle w:val="FootnoteCharacters"/>
        </w:rPr>
        <w:footnoteRef/>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55">
    <w:p>
      <w:pPr>
        <w:pStyle w:val="FootnoteText"/>
        <w:suppressLineNumbers/>
        <w:spacing w:before="0" w:after="200"/>
        <w:ind w:hanging="340" w:left="340"/>
        <w:rPr/>
      </w:pPr>
      <w:r>
        <w:rPr>
          <w:rStyle w:val="FootnoteCharacters"/>
        </w:rPr>
        <w:footnoteRef/>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56">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57">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45.</w:t>
      </w:r>
    </w:p>
  </w:footnote>
  <w:footnote w:id="58">
    <w:p>
      <w:pPr>
        <w:pStyle w:val="FootnoteText"/>
        <w:suppressLineNumbers/>
        <w:spacing w:before="0" w:after="200"/>
        <w:ind w:hanging="340" w:left="340"/>
        <w:rPr/>
      </w:pPr>
      <w:r>
        <w:rPr>
          <w:rStyle w:val="FootnoteCharacters"/>
        </w:rPr>
        <w:footnoteRef/>
      </w:r>
      <w:r>
        <w:rPr/>
        <w:tab/>
        <w:t xml:space="preserve"> </w:t>
      </w:r>
      <w:r>
        <w:rPr/>
        <w:t>International Monetary Fund. 2019 Financial Soundness Indicators Compilation Guide. – Washington, DC: IMF, 2019.</w:t>
      </w:r>
    </w:p>
  </w:footnote>
  <w:footnote w:id="59">
    <w:p>
      <w:pPr>
        <w:pStyle w:val="FootnoteText"/>
        <w:suppressLineNumbers/>
        <w:spacing w:before="0" w:after="200"/>
        <w:ind w:hanging="340" w:left="340"/>
        <w:rPr/>
      </w:pPr>
      <w:r>
        <w:rPr>
          <w:rStyle w:val="FootnoteCharacters"/>
        </w:rPr>
        <w:footnoteRef/>
      </w:r>
      <w:r>
        <w:rPr/>
        <w:tab/>
        <w:t xml:space="preserve"> </w:t>
      </w:r>
      <w:r>
        <w:rPr/>
        <w:t>Tadqiqot natijasida muallif tomonidan ishlab chiqildi.</w:t>
      </w:r>
    </w:p>
  </w:footnote>
  <w:footnote w:id="60">
    <w:p>
      <w:pPr>
        <w:pStyle w:val="FootnoteText"/>
        <w:suppressLineNumbers/>
        <w:spacing w:before="0" w:after="200"/>
        <w:ind w:hanging="340" w:left="340"/>
        <w:rPr/>
      </w:pPr>
      <w:r>
        <w:rPr>
          <w:rStyle w:val="FootnoteCharacters"/>
        </w:rPr>
        <w:footnoteRef/>
      </w:r>
      <w:r>
        <w:rPr/>
        <w:tab/>
        <w:t xml:space="preserve"> </w:t>
      </w:r>
      <w:r>
        <w:rPr/>
        <w:t>Langohr H., Langohr P. The Rating Agencies and Their Credit Ratings: What They Are, How They Work and Why They Are Relevant. – Chichester: John Wiley &amp; Sons, 2008. – P. 293–294.</w:t>
      </w:r>
    </w:p>
  </w:footnote>
  <w:footnote w:id="61">
    <w:p>
      <w:pPr>
        <w:pStyle w:val="FootnoteText"/>
        <w:suppressLineNumbers/>
        <w:spacing w:before="0" w:after="200"/>
        <w:ind w:hanging="340" w:left="340"/>
        <w:rPr/>
      </w:pPr>
      <w:r>
        <w:rPr>
          <w:rStyle w:val="FootnoteCharacters"/>
        </w:rPr>
        <w:footnoteRef/>
      </w:r>
      <w:r>
        <w:rPr/>
        <w:tab/>
        <w:t xml:space="preserve"> </w:t>
      </w:r>
      <w:r>
        <w:rPr/>
        <w:t>Tadqiqot natijasida muallif tomonidan ishlab chiqildi.</w:t>
      </w:r>
    </w:p>
  </w:footnote>
  <w:footnote w:id="62">
    <w:p>
      <w:pPr>
        <w:pStyle w:val="FootnoteText"/>
        <w:suppressLineNumbers/>
        <w:spacing w:before="0" w:after="200"/>
        <w:ind w:hanging="340" w:left="340"/>
        <w:rPr/>
      </w:pPr>
      <w:r>
        <w:rPr>
          <w:rStyle w:val="FootnoteCharacters"/>
        </w:rPr>
        <w:footnoteRef/>
      </w:r>
      <w:r>
        <w:rPr/>
        <w:tab/>
        <w:t xml:space="preserve"> </w:t>
      </w:r>
      <w:r>
        <w:rPr/>
        <w:t>Izzi L., Oricchio G., Vitale L. Basel III Credit Rating Systems: An Applied Guide to Quantitative and Qualitative Models. – Basingstoke: Palgrave Macmillan, 2012. – P. 85.</w:t>
      </w:r>
    </w:p>
  </w:footnote>
  <w:footnote w:id="63">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41–45.</w:t>
      </w:r>
    </w:p>
  </w:footnote>
  <w:footnote w:id="64">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65">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28–31.</w:t>
      </w:r>
    </w:p>
  </w:footnote>
  <w:footnote w:id="66">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31–41.</w:t>
      </w:r>
    </w:p>
  </w:footnote>
  <w:footnote w:id="67">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68">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35–36.</w:t>
      </w:r>
    </w:p>
  </w:footnote>
  <w:footnote w:id="69">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70">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44.</w:t>
      </w:r>
    </w:p>
  </w:footnote>
  <w:footnote w:id="71">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45.</w:t>
      </w:r>
    </w:p>
  </w:footnote>
  <w:footnote w:id="72">
    <w:p>
      <w:pPr>
        <w:pStyle w:val="FootnoteText"/>
        <w:suppressLineNumbers/>
        <w:spacing w:before="0" w:after="200"/>
        <w:ind w:hanging="340" w:left="340"/>
        <w:rPr/>
      </w:pPr>
      <w:r>
        <w:rPr>
          <w:rStyle w:val="FootnoteCharacters"/>
        </w:rPr>
        <w:footnoteRef/>
      </w:r>
      <w:r>
        <w:rPr/>
        <w:tab/>
        <w:t xml:space="preserve"> </w:t>
      </w:r>
      <w:r>
        <w:rPr/>
        <w:t>Peláez C.M., Peláez C.A. Regulation of Banks and Finance: Theory and Policy after the Credit Crisis. – Basingstoke: Palgrave Macmillan, 2009. – P. 17.</w:t>
      </w:r>
    </w:p>
  </w:footnote>
  <w:footnote w:id="73">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19–23.</w:t>
      </w:r>
    </w:p>
  </w:footnote>
  <w:footnote w:id="74">
    <w:p>
      <w:pPr>
        <w:pStyle w:val="FootnoteText"/>
        <w:suppressLineNumbers/>
        <w:spacing w:before="0" w:after="200"/>
        <w:ind w:hanging="340" w:left="340"/>
        <w:rPr/>
      </w:pPr>
      <w:r>
        <w:rPr>
          <w:rStyle w:val="FootnoteCharacters"/>
        </w:rPr>
        <w:footnoteRef/>
      </w:r>
      <w:r>
        <w:rPr/>
        <w:tab/>
        <w:t xml:space="preserve"> </w:t>
      </w:r>
      <w:r>
        <w:rPr/>
        <w:t>Diamond D.W., Dybvig P.H. Bank Runs, Deposit Insurance, and Liquidity // Journal of Political Economy. – 1983. – Vol. 91, No. 3. – P. 401–419.</w:t>
      </w:r>
    </w:p>
  </w:footnote>
  <w:footnote w:id="75">
    <w:p>
      <w:pPr>
        <w:pStyle w:val="FootnoteText"/>
        <w:suppressLineNumbers/>
        <w:spacing w:before="0" w:after="200"/>
        <w:ind w:hanging="340" w:left="340"/>
        <w:rPr/>
      </w:pPr>
      <w:r>
        <w:rPr>
          <w:rStyle w:val="FootnoteCharacters"/>
        </w:rPr>
        <w:footnoteRef/>
      </w:r>
      <w:r>
        <w:rPr/>
        <w:tab/>
        <w:t xml:space="preserve"> </w:t>
      </w:r>
      <w:r>
        <w:rPr/>
        <w:t>Peláez C.M., Peláez C.A. Regulation of Banks and Finance: Theory and Policy after the Credit Crisis. – Basingstoke: Palgrave Macmillan, 2009. – P. 61–66.</w:t>
      </w:r>
    </w:p>
  </w:footnote>
  <w:footnote w:id="76">
    <w:p>
      <w:pPr>
        <w:pStyle w:val="FootnoteText"/>
        <w:suppressLineNumbers/>
        <w:spacing w:before="0" w:after="200"/>
        <w:ind w:hanging="340" w:left="340"/>
        <w:rPr/>
      </w:pPr>
      <w:r>
        <w:rPr>
          <w:rStyle w:val="FootnoteCharacters"/>
        </w:rPr>
        <w:footnoteRef/>
      </w:r>
      <w:r>
        <w:rPr/>
        <w:tab/>
        <w:t xml:space="preserve"> </w:t>
      </w:r>
      <w:r>
        <w:rPr/>
        <w:t>Minsky H.P. The Financial Instability Hypothesis: Working Paper No. 74. – Annandale-on-Hudson: The Jerome Levy Economics Institute of Bard College, 1992. – 10 p.</w:t>
      </w:r>
    </w:p>
  </w:footnote>
  <w:footnote w:id="77">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5–6.</w:t>
      </w:r>
    </w:p>
  </w:footnote>
  <w:footnote w:id="78">
    <w:p>
      <w:pPr>
        <w:pStyle w:val="FootnoteText"/>
        <w:suppressLineNumbers/>
        <w:spacing w:before="0" w:after="200"/>
        <w:ind w:hanging="340" w:left="340"/>
        <w:rPr/>
      </w:pPr>
      <w:r>
        <w:rPr>
          <w:rStyle w:val="FootnoteCharacters"/>
        </w:rPr>
        <w:footnoteRef/>
      </w:r>
      <w:r>
        <w:rPr/>
      </w:r>
    </w:p>
  </w:footnote>
  <w:footnote w:id="79">
    <w:p>
      <w:pPr>
        <w:pStyle w:val="FootnoteText"/>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45. Устойчивость банковской системы и развитие банковской политики: монография / под ред. О.И. Лаврушина. – М.: КНОРУС, 2014. – С. 45.</w:t>
      </w:r>
    </w:p>
    <w:p>
      <w:pPr>
        <w:pStyle w:val="FootnoteText"/>
        <w:suppressLineNumbers/>
        <w:spacing w:before="0" w:after="200"/>
        <w:ind w:hanging="340" w:left="340"/>
        <w:rPr/>
      </w:pPr>
      <w:r>
        <w:rPr/>
      </w:r>
    </w:p>
  </w:footnote>
  <w:footnote w:id="80">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81">
    <w:p>
      <w:pPr>
        <w:pStyle w:val="FootnoteText"/>
        <w:suppressLineNumbers/>
        <w:spacing w:before="0" w:after="200"/>
        <w:ind w:hanging="340" w:left="340"/>
        <w:rPr/>
      </w:pPr>
      <w:r>
        <w:rPr>
          <w:rStyle w:val="FootnoteCharacters"/>
        </w:rPr>
      </w:r>
      <w:r>
        <w:rPr/>
        <w:tab/>
        <w:t xml:space="preserve"> </w:t>
      </w:r>
      <w:r>
        <w:rPr/>
        <w:t>«Mikrokreditbank»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82">
    <w:p>
      <w:pPr>
        <w:pStyle w:val="FootnoteText"/>
        <w:suppressLineNumbers/>
        <w:spacing w:before="0" w:after="200"/>
        <w:ind w:hanging="340" w:left="340"/>
        <w:rPr/>
      </w:pPr>
      <w:r>
        <w:rPr>
          <w:rStyle w:val="FootnoteCharacters"/>
        </w:rPr>
      </w:r>
      <w:r>
        <w:rPr/>
        <w:tab/>
        <w:t xml:space="preserve"> </w:t>
      </w:r>
      <w:r>
        <w:rPr/>
        <w:t>World Bank. Uzbekistan Financial Sector Reform Project: Project Appraisal Document. Report No. PAD4468. – Washington, DC: World Bank, 2022.</w:t>
      </w:r>
    </w:p>
  </w:footnote>
  <w:footnote w:id="83">
    <w:p>
      <w:pPr>
        <w:pStyle w:val="FootnoteText"/>
        <w:suppressLineNumbers/>
        <w:spacing w:before="0" w:after="200"/>
        <w:ind w:hanging="340" w:left="340"/>
        <w:rPr/>
      </w:pPr>
      <w:r>
        <w:rPr>
          <w:rStyle w:val="FootnoteCharacters"/>
        </w:rPr>
      </w:r>
      <w:r>
        <w:rPr/>
        <w:tab/>
        <w:t xml:space="preserve"> </w:t>
      </w:r>
      <w:r>
        <w:rPr/>
        <w:t>World Bank. Republic of Uzbekistan: Financial Sector Assessment. – Washington, DC: World Bank, 2025.</w:t>
      </w:r>
    </w:p>
  </w:footnote>
  <w:footnote w:id="84">
    <w:p>
      <w:pPr>
        <w:pStyle w:val="FootnoteText"/>
        <w:suppressLineNumbers/>
        <w:spacing w:before="0" w:after="200"/>
        <w:ind w:hanging="340" w:left="340"/>
        <w:rPr/>
      </w:pPr>
      <w:r>
        <w:rPr>
          <w:rStyle w:val="FootnoteCharacters"/>
        </w:rPr>
      </w:r>
      <w:r>
        <w:rPr/>
        <w:tab/>
        <w:t xml:space="preserve"> </w:t>
      </w:r>
      <w:r>
        <w:rPr/>
        <w:t>Non-Bank Financial Institutions &amp; Private Credit in Uzbekistan 2026 // Kilde. – https://www.kilde.sg/post/non-bank-financial-institutions-and-private-credit-investment-in-uzbekistan-2026-update</w:t>
      </w:r>
    </w:p>
  </w:footnote>
  <w:footnote w:id="85">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86">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87">
    <w:p>
      <w:pPr>
        <w:pStyle w:val="FootnoteText"/>
        <w:suppressLineNumbers/>
        <w:spacing w:before="0" w:after="200"/>
        <w:ind w:hanging="340" w:left="340"/>
        <w:rPr/>
      </w:pPr>
      <w:r>
        <w:rPr>
          <w:rStyle w:val="FootnoteCharacters"/>
        </w:rPr>
      </w:r>
      <w:r>
        <w:rPr/>
        <w:tab/>
        <w:t xml:space="preserve"> </w:t>
      </w:r>
      <w:r>
        <w:rPr/>
        <w:t>International Monetary Fund. Republic of Uzbekistan: Financial Sector Assessment Program – Financial System Stability Assessment. IMF Country Report No. 25/145. – Washington, DC: IMF, 2025.</w:t>
      </w:r>
    </w:p>
  </w:footnote>
  <w:footnote w:id="88">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89">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90">
    <w:p>
      <w:pPr>
        <w:pStyle w:val="FootnoteText"/>
        <w:suppressLineNumbers/>
        <w:spacing w:before="0" w:after="200"/>
        <w:ind w:hanging="340" w:left="340"/>
        <w:rPr/>
      </w:pPr>
      <w:r>
        <w:rPr>
          <w:rStyle w:val="FootnoteCharacters"/>
        </w:rPr>
      </w:r>
      <w:r>
        <w:rPr/>
        <w:tab/>
        <w:t xml:space="preserve"> </w:t>
      </w:r>
      <w:r>
        <w:rPr/>
        <w:t>Tadqiqot natijasida muallif tomonidan 2.2.1-jadval ma’lumotlari asosida ishlab chiqildi.</w:t>
      </w:r>
    </w:p>
  </w:footnote>
  <w:footnote w:id="91">
    <w:p>
      <w:pPr>
        <w:pStyle w:val="FootnoteText"/>
        <w:suppressLineNumbers/>
        <w:spacing w:before="0" w:after="200"/>
        <w:ind w:hanging="340" w:left="340"/>
        <w:rPr/>
      </w:pPr>
      <w:r>
        <w:rPr>
          <w:rStyle w:val="FootnoteCharacters"/>
        </w:rPr>
      </w:r>
      <w:r>
        <w:rPr/>
        <w:tab/>
        <w:t xml:space="preserve"> </w:t>
      </w:r>
      <w:r>
        <w:rPr/>
        <w:t>Tian W. Regulatory Capital Requirement in Basel III // Commercial Banking Risk Management: Regulation in the Wake of the Financial Crisis / ed. by W. Tian. – New York: Palgrave Macmillan, 2017. – P. 6–7, 15.</w:t>
      </w:r>
    </w:p>
  </w:footnote>
  <w:footnote w:id="92">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80.</w:t>
      </w:r>
    </w:p>
  </w:footnote>
  <w:footnote w:id="93">
    <w:p>
      <w:pPr>
        <w:pStyle w:val="FootnoteText"/>
        <w:suppressLineNumbers/>
        <w:spacing w:before="0" w:after="200"/>
        <w:ind w:hanging="340" w:left="340"/>
        <w:rPr/>
      </w:pPr>
      <w:r>
        <w:rPr>
          <w:rStyle w:val="FootnoteCharacters"/>
        </w:rPr>
      </w:r>
      <w:r>
        <w:rPr/>
        <w:tab/>
        <w:t xml:space="preserve"> </w:t>
      </w:r>
      <w:r>
        <w:rPr/>
        <w:t>International Monetary Fund. Republic of Uzbekistan: Financial Sector Assessment Program – Detailed Assessment of Observance – Basel Core Principles for Effective Banking Supervision. IMF Country Report No. 25/227. – Washington, DC: IMF, 2025.</w:t>
      </w:r>
    </w:p>
  </w:footnote>
  <w:footnote w:id="94">
    <w:p>
      <w:pPr>
        <w:pStyle w:val="FootnoteText"/>
        <w:suppressLineNumbers/>
        <w:spacing w:before="0" w:after="200"/>
        <w:ind w:hanging="340" w:left="340"/>
        <w:rPr/>
      </w:pPr>
      <w:r>
        <w:rPr>
          <w:rStyle w:val="FootnoteCharacters"/>
        </w:rPr>
      </w:r>
      <w:r>
        <w:rPr/>
        <w:tab/>
        <w:t xml:space="preserve"> </w:t>
      </w:r>
      <w:r>
        <w:rPr/>
        <w:t>International Monetary Fund. Republic of Uzbekistan: Financial Sector Assessment Program – Financial System Stability Assessment. IMF Country Report No. 25/145. – Washington, DC: IMF, 2025.</w:t>
      </w:r>
    </w:p>
  </w:footnote>
  <w:footnote w:id="95">
    <w:p>
      <w:pPr>
        <w:pStyle w:val="FootnoteText"/>
        <w:suppressLineNumbers/>
        <w:spacing w:before="0" w:after="200"/>
        <w:ind w:hanging="340" w:left="340"/>
        <w:rPr/>
      </w:pPr>
      <w:r>
        <w:rPr>
          <w:rStyle w:val="FootnoteCharacters"/>
        </w:rPr>
      </w:r>
      <w:r>
        <w:rPr/>
        <w:tab/>
        <w:t xml:space="preserve"> </w:t>
      </w:r>
      <w:r>
        <w:rPr/>
        <w:t>The Central Bank of the Republic of Uzbekistan. Financial Stability Report for 2025. – Tashkent, 2026.</w:t>
      </w:r>
    </w:p>
  </w:footnote>
  <w:footnote w:id="96">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97">
    <w:p>
      <w:pPr>
        <w:pStyle w:val="FootnoteText"/>
        <w:suppressLineNumbers/>
        <w:spacing w:before="0" w:after="200"/>
        <w:ind w:hanging="340" w:left="340"/>
        <w:rPr/>
      </w:pPr>
      <w:r>
        <w:rPr>
          <w:rStyle w:val="FootnoteCharacters"/>
        </w:rPr>
      </w:r>
      <w:r>
        <w:rPr/>
        <w:tab/>
        <w:t xml:space="preserve"> </w:t>
      </w:r>
      <w:r>
        <w:rPr/>
        <w:t>O‘zbekiston Respublikasi Markaziy banki. Moliyaviy barqarorlik sharhi: 2022-yil. – Toshkent, 2023.</w:t>
      </w:r>
    </w:p>
  </w:footnote>
  <w:footnote w:id="98">
    <w:p>
      <w:pPr>
        <w:pStyle w:val="FootnoteText"/>
        <w:suppressLineNumbers/>
        <w:spacing w:before="0" w:after="200"/>
        <w:ind w:hanging="340" w:left="340"/>
        <w:rPr/>
      </w:pPr>
      <w:r>
        <w:rPr>
          <w:rStyle w:val="FootnoteCharacters"/>
        </w:rPr>
      </w:r>
      <w:r>
        <w:rPr/>
        <w:tab/>
        <w:t xml:space="preserve"> </w:t>
      </w:r>
      <w:r>
        <w:rPr/>
        <w:t>The Central Bank of the Republic of Uzbekistan. Annual Report 2023. – Tashkent, 2024. – P. 57.</w:t>
      </w:r>
    </w:p>
  </w:footnote>
  <w:footnote w:id="99">
    <w:p>
      <w:pPr>
        <w:pStyle w:val="FootnoteText"/>
        <w:suppressLineNumbers/>
        <w:spacing w:before="0" w:after="200"/>
        <w:ind w:hanging="340" w:left="340"/>
        <w:rPr/>
      </w:pPr>
      <w:r>
        <w:rPr>
          <w:rStyle w:val="FootnoteCharacters"/>
        </w:rPr>
      </w:r>
      <w:r>
        <w:rPr/>
        <w:tab/>
        <w:t xml:space="preserve"> </w:t>
      </w:r>
      <w:r>
        <w:rPr/>
        <w:t>The Central Bank of the Republic of Uzbekistan. Financial Stability Report for 2025. – Tashkent, 2026.</w:t>
      </w:r>
    </w:p>
  </w:footnote>
  <w:footnote w:id="100">
    <w:p>
      <w:pPr>
        <w:pStyle w:val="FootnoteText"/>
        <w:suppressLineNumbers/>
        <w:spacing w:before="0" w:after="200"/>
        <w:ind w:hanging="340" w:left="340"/>
        <w:rPr/>
      </w:pPr>
      <w:r>
        <w:rPr>
          <w:rStyle w:val="FootnoteCharacters"/>
        </w:rPr>
      </w:r>
      <w:r>
        <w:rPr/>
        <w:tab/>
        <w:t xml:space="preserve"> </w:t>
      </w:r>
      <w:r>
        <w:rPr/>
        <w:t>World Bank. Republic of Uzbekistan: Financial Sector Assessment. – Washington, DC: World Bank, 2025.</w:t>
      </w:r>
    </w:p>
  </w:footnote>
  <w:footnote w:id="101">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102">
    <w:p>
      <w:pPr>
        <w:pStyle w:val="FootnoteText"/>
        <w:suppressLineNumbers/>
        <w:spacing w:before="0" w:after="200"/>
        <w:ind w:hanging="340" w:left="340"/>
        <w:rPr/>
      </w:pPr>
      <w:r>
        <w:rPr>
          <w:rStyle w:val="FootnoteCharacters"/>
        </w:rPr>
      </w:r>
      <w:r>
        <w:rPr/>
        <w:tab/>
        <w:t xml:space="preserve"> </w:t>
      </w:r>
      <w:r>
        <w:rPr/>
        <w:t>International Monetary Fund. Republic of Uzbekistan: 2022 Article IV Consultation – Press Release; Staff Report; and Statement by the Executive Director for the Republic of Uzbekistan. IMF Country Report No. 22/189. – Washington, DC: IMF, 2022. – P. 30 (Table 7).</w:t>
      </w:r>
    </w:p>
  </w:footnote>
  <w:footnote w:id="103">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104">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45.</w:t>
      </w:r>
    </w:p>
  </w:footnote>
  <w:footnote w:id="105">
    <w:p>
      <w:pPr>
        <w:pStyle w:val="FootnoteText"/>
        <w:suppressLineNumbers/>
        <w:spacing w:before="0" w:after="200"/>
        <w:ind w:hanging="340" w:left="340"/>
        <w:rPr/>
      </w:pPr>
      <w:r>
        <w:rPr>
          <w:rStyle w:val="FootnoteCharacters"/>
        </w:rPr>
      </w:r>
      <w:r>
        <w:rPr/>
        <w:tab/>
        <w:t xml:space="preserve"> </w:t>
      </w:r>
      <w:r>
        <w:rPr/>
        <w:t>Устойчивость банковской системы и развитие банковской политики: монография / под ред. О.И. Лаврушина. – М.: КНОРУС, 2014. – С. 53.</w:t>
      </w:r>
    </w:p>
  </w:footnote>
  <w:footnote w:id="106">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107">
    <w:p>
      <w:pPr>
        <w:pStyle w:val="FootnoteText"/>
        <w:suppressLineNumbers/>
        <w:spacing w:before="0" w:after="200"/>
        <w:ind w:hanging="340" w:left="340"/>
        <w:rPr/>
      </w:pPr>
      <w:r>
        <w:rPr>
          <w:rStyle w:val="FootnoteCharacters"/>
        </w:rPr>
      </w:r>
      <w:r>
        <w:rPr/>
        <w:tab/>
        <w:t xml:space="preserve"> </w:t>
      </w:r>
      <w:r>
        <w:rPr/>
        <w:t>Tadqiqot natijasida muallif tomonidan 2.2.1-jadval ma’lumotlari asosida ishlab chiqildi.</w:t>
      </w:r>
    </w:p>
  </w:footnote>
  <w:footnote w:id="108">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84–85.</w:t>
      </w:r>
    </w:p>
  </w:footnote>
  <w:footnote w:id="109">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110">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111">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12">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13">
    <w:p>
      <w:pPr>
        <w:pStyle w:val="FootnoteText"/>
        <w:suppressLineNumbers/>
        <w:spacing w:before="0" w:after="200"/>
        <w:ind w:hanging="340" w:left="340"/>
        <w:rPr/>
      </w:pPr>
      <w:r>
        <w:rPr>
          <w:rStyle w:val="FootnoteCharacters"/>
        </w:rPr>
      </w:r>
      <w:r>
        <w:rPr/>
        <w:tab/>
        <w:t xml:space="preserve"> </w:t>
      </w:r>
      <w:r>
        <w:rPr/>
        <w:t>Hendrickson J.M. Regulation and Instability in U.S. Commercial Banking: A History of Crises. – Basingstoke: Palgrave Macmillan, 2011. – P. 225–227.</w:t>
      </w:r>
    </w:p>
  </w:footnote>
  <w:footnote w:id="114">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15">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28–31.</w:t>
      </w:r>
    </w:p>
  </w:footnote>
  <w:footnote w:id="116">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17">
    <w:p>
      <w:pPr>
        <w:pStyle w:val="FootnoteText"/>
        <w:suppressLineNumbers/>
        <w:spacing w:before="0" w:after="200"/>
        <w:ind w:hanging="340" w:left="340"/>
        <w:rPr/>
      </w:pPr>
      <w:r>
        <w:rPr>
          <w:rStyle w:val="FootnoteCharacters"/>
        </w:rPr>
      </w:r>
      <w:r>
        <w:rPr/>
        <w:tab/>
        <w:t xml:space="preserve"> </w:t>
      </w:r>
      <w:r>
        <w:rPr/>
        <w:t>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118">
    <w:p>
      <w:pPr>
        <w:pStyle w:val="FootnoteText"/>
        <w:suppressLineNumbers/>
        <w:spacing w:before="0" w:after="200"/>
        <w:ind w:hanging="340" w:left="340"/>
        <w:rPr/>
      </w:pPr>
      <w:r>
        <w:rPr>
          <w:rStyle w:val="FootnoteCharacters"/>
        </w:rPr>
      </w:r>
      <w:r>
        <w:rPr/>
        <w:tab/>
        <w:t xml:space="preserve"> </w:t>
      </w:r>
      <w:r>
        <w:rPr/>
        <w:t>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119">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28–31.</w:t>
      </w:r>
    </w:p>
  </w:footnote>
  <w:footnote w:id="120">
    <w:p>
      <w:pPr>
        <w:pStyle w:val="FootnoteText"/>
        <w:suppressLineNumbers/>
        <w:spacing w:before="0" w:after="200"/>
        <w:ind w:hanging="340" w:left="340"/>
        <w:rPr/>
      </w:pPr>
      <w:r>
        <w:rPr>
          <w:rStyle w:val="FootnoteCharacters"/>
        </w:rPr>
      </w:r>
      <w:r>
        <w:rPr/>
        <w:tab/>
        <w:t xml:space="preserve"> </w:t>
      </w:r>
      <w:r>
        <w:rPr/>
        <w:t>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1">
    <w:p>
      <w:pPr>
        <w:pStyle w:val="FootnoteText"/>
        <w:suppressLineNumbers/>
        <w:spacing w:before="0" w:after="200"/>
        <w:ind w:hanging="340" w:left="340"/>
        <w:rPr/>
      </w:pPr>
      <w:r>
        <w:rPr>
          <w:rStyle w:val="FootnoteCharacters"/>
        </w:rPr>
      </w:r>
      <w:r>
        <w:rPr/>
        <w:tab/>
        <w:t xml:space="preserve"> </w:t>
      </w:r>
      <w:r>
        <w:rPr/>
        <w:t>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122">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23">
    <w:p>
      <w:pPr>
        <w:pStyle w:val="FootnoteText"/>
        <w:suppressLineNumbers/>
        <w:spacing w:before="0" w:after="200"/>
        <w:ind w:hanging="340" w:left="340"/>
        <w:rPr/>
      </w:pPr>
      <w:r>
        <w:rPr>
          <w:rStyle w:val="FootnoteCharacters"/>
        </w:rPr>
      </w:r>
      <w:r>
        <w:rPr/>
        <w:tab/>
        <w:t xml:space="preserve"> </w:t>
      </w:r>
      <w:r>
        <w:rPr/>
        <w:t>«Mikrokreditbank»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24">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125">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6">
    <w:p>
      <w:pPr>
        <w:pStyle w:val="FootnoteText"/>
        <w:suppressLineNumbers/>
        <w:spacing w:before="0" w:after="200"/>
        <w:ind w:hanging="340" w:left="340"/>
        <w:rPr/>
      </w:pPr>
      <w:r>
        <w:rPr>
          <w:rStyle w:val="FootnoteCharacters"/>
        </w:rPr>
        <w:footnoteRef/>
      </w:r>
      <w:r>
        <w:rPr/>
        <w:tab/>
        <w:t xml:space="preserve"> </w:t>
      </w:r>
      <w:r>
        <w:rPr/>
        <w:t>Minsky H.P. The Financial Instability Hypothesis: Working Paper No. 74. – Annandale-on-Hudson: The Jerome Levy Economics Institute of Bard College, 1992. – 10 p.</w:t>
      </w:r>
    </w:p>
  </w:footnote>
  <w:footnote w:id="127">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5–6.</w:t>
      </w:r>
    </w:p>
  </w:footnote>
  <w:footnote w:id="128">
    <w:p>
      <w:pPr>
        <w:pStyle w:val="FootnoteText"/>
        <w:suppressLineNumbers/>
        <w:spacing w:before="0" w:after="200"/>
        <w:ind w:hanging="340" w:left="340"/>
        <w:rPr/>
      </w:pPr>
      <w:r>
        <w:rPr>
          <w:rStyle w:val="FootnoteCharacters"/>
        </w:rPr>
        <w:footnoteRef/>
      </w:r>
      <w:r>
        <w:rPr/>
        <w:tab/>
        <w:t xml:space="preserve"> </w:t>
      </w:r>
      <w:r>
        <w:rPr/>
        <w:t>Thakor A.V. Leverage, System Risk and Financial System Health: How Do We Develop a Healthy Financial System? // Governance, Regulation and Bank Stability / ed. by T. Lindblom, S. Sjögren, M. Willesson. – Basingstoke: Palgrave Macmillan, 2014. – P. 10–12.</w:t>
      </w:r>
    </w:p>
  </w:footnote>
  <w:footnote w:id="129">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16.</w:t>
      </w:r>
    </w:p>
  </w:footnote>
  <w:footnote w:id="130">
    <w:p>
      <w:pPr>
        <w:pStyle w:val="FootnoteText"/>
        <w:suppressLineNumbers/>
        <w:spacing w:before="0" w:after="200"/>
        <w:ind w:hanging="340" w:left="340"/>
        <w:rPr/>
      </w:pPr>
      <w:r>
        <w:rPr>
          <w:rStyle w:val="FootnoteCharacters"/>
        </w:rPr>
        <w:footnoteRef/>
      </w:r>
      <w:r>
        <w:rPr/>
        <w:tab/>
        <w:t xml:space="preserve"> </w:t>
      </w:r>
      <w:r>
        <w:rPr/>
        <w:t>Merton R.C. On the Pricing of Corporate Debt: The Risk Structure of Interest Rates // Journal of Finance. – 1974. – Vol. 29, No. 2. – P. 449–470.</w:t>
      </w:r>
    </w:p>
  </w:footnote>
  <w:footnote w:id="131">
    <w:p>
      <w:pPr>
        <w:pStyle w:val="FootnoteText"/>
        <w:suppressLineNumbers/>
        <w:spacing w:before="0" w:after="200"/>
        <w:ind w:hanging="340" w:left="340"/>
        <w:rPr/>
      </w:pPr>
      <w:r>
        <w:rPr>
          <w:rStyle w:val="FootnoteCharacters"/>
        </w:rPr>
        <w:footnoteRef/>
      </w:r>
      <w:r>
        <w:rPr/>
        <w:tab/>
        <w:t xml:space="preserve"> </w:t>
      </w:r>
      <w:r>
        <w:rPr/>
        <w:t>Roy A.D. Safety First and the Holding of Assets // Econometrica. – 1952. – Vol. 20, No. 3. – P. 431–449.</w:t>
      </w:r>
    </w:p>
  </w:footnote>
  <w:footnote w:id="132">
    <w:p>
      <w:pPr>
        <w:pStyle w:val="FootnoteText"/>
        <w:suppressLineNumbers/>
        <w:spacing w:before="0" w:after="200"/>
        <w:ind w:hanging="340" w:left="340"/>
        <w:rPr/>
      </w:pPr>
      <w:r>
        <w:rPr>
          <w:rStyle w:val="FootnoteCharacters"/>
        </w:rPr>
        <w:footnoteRef/>
      </w:r>
      <w:r>
        <w:rPr/>
        <w:tab/>
        <w:t xml:space="preserve"> </w:t>
      </w:r>
      <w:r>
        <w:rPr/>
        <w:t>Boyd J.H., Graham S.L. Risk, Regulation, and Bank Holding Company Expansion into Nonbanking // Federal Reserve Bank of Minneapolis Quarterly Review. – 1986. – Vol. 10, No. 2. – P. 2–17.</w:t>
      </w:r>
    </w:p>
  </w:footnote>
  <w:footnote w:id="133">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134">
    <w:p>
      <w:pPr>
        <w:pStyle w:val="FootnoteText"/>
        <w:suppressLineNumbers/>
        <w:spacing w:before="0" w:after="200"/>
        <w:ind w:hanging="340" w:left="340"/>
        <w:rPr/>
      </w:pPr>
      <w:r>
        <w:rPr>
          <w:rStyle w:val="FootnoteCharacters"/>
        </w:rPr>
        <w:footnoteRef/>
      </w:r>
      <w:r>
        <w:rPr/>
        <w:tab/>
        <w:t xml:space="preserve"> </w:t>
      </w:r>
      <w:r>
        <w:rPr/>
        <w:t>Chiaramonte L., Poli F. Predicting European Bank Distress: Evidence from the Recent Financial Crisis // Governance, Regulation and Bank Stability / ed. by T. Lindblom, S. Sjögren, M. Willesson. – Basingstoke: Palgrave Macmillan, 2014. – P. 83–95.</w:t>
      </w:r>
    </w:p>
  </w:footnote>
  <w:footnote w:id="135">
    <w:p>
      <w:pPr>
        <w:pStyle w:val="FootnoteText"/>
        <w:suppressLineNumbers/>
        <w:spacing w:before="0" w:after="200"/>
        <w:ind w:hanging="340" w:left="340"/>
        <w:rPr/>
      </w:pPr>
      <w:r>
        <w:rPr>
          <w:rStyle w:val="FootnoteCharacters"/>
        </w:rPr>
        <w:footnoteRef/>
      </w:r>
      <w:r>
        <w:rPr/>
        <w:tab/>
        <w:t xml:space="preserve"> </w:t>
      </w:r>
      <w:r>
        <w:rPr/>
        <w:t>Borio C. Towards a Macroprudential Framework for Financial Supervision and Regulation?: BIS Working Papers No. 128. – Basel: Bank for International Settlements, 2003. – 32 p.</w:t>
      </w:r>
    </w:p>
  </w:footnote>
  <w:footnote w:id="136">
    <w:p>
      <w:pPr>
        <w:pStyle w:val="FootnoteText"/>
        <w:suppressLineNumbers/>
        <w:spacing w:before="0" w:after="200"/>
        <w:ind w:hanging="340" w:left="340"/>
        <w:rPr/>
      </w:pPr>
      <w:r>
        <w:rPr>
          <w:rStyle w:val="FootnoteCharacters"/>
        </w:rPr>
        <w:footnoteRef/>
      </w:r>
      <w:r>
        <w:rPr/>
        <w:tab/>
        <w:t xml:space="preserve"> </w:t>
      </w:r>
      <w:r>
        <w:rPr/>
        <w:t>Adrian T., Brunnermeier M.K. CoVaR // American Economic Review. – 2016. – Vol. 106, No. 7. – P. 1705–1741.</w:t>
      </w:r>
    </w:p>
  </w:footnote>
  <w:footnote w:id="137">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55–62.</w:t>
      </w:r>
    </w:p>
  </w:footnote>
  <w:footnote w:id="138">
    <w:p>
      <w:pPr>
        <w:pStyle w:val="FootnoteText"/>
        <w:suppressLineNumbers/>
        <w:spacing w:before="0" w:after="200"/>
        <w:ind w:hanging="340" w:left="340"/>
        <w:rPr/>
      </w:pPr>
      <w:r>
        <w:rPr>
          <w:rStyle w:val="FootnoteCharacters"/>
        </w:rPr>
        <w:footnoteRef/>
      </w:r>
      <w:r>
        <w:rPr/>
        <w:tab/>
        <w:t xml:space="preserve"> </w:t>
      </w:r>
      <w:r>
        <w:rPr/>
        <w:t>IFRS 9 Financial Instruments. – London: International Accounting Standards Board, 2014.</w:t>
      </w:r>
    </w:p>
  </w:footnote>
  <w:footnote w:id="139">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40">
    <w:p>
      <w:pPr>
        <w:pStyle w:val="FootnoteText"/>
        <w:suppressLineNumbers/>
        <w:spacing w:before="0" w:after="200"/>
        <w:ind w:hanging="340" w:left="340"/>
        <w:rPr/>
      </w:pPr>
      <w:r>
        <w:rPr>
          <w:rStyle w:val="FootnoteCharacters"/>
        </w:rPr>
        <w:footnoteRef/>
      </w:r>
      <w:r>
        <w:rPr/>
        <w:tab/>
        <w:t xml:space="preserve"> </w:t>
      </w:r>
      <w:r>
        <w:rPr/>
        <w:t>Tadqiqot natijasida muallif tomonidan ishlab chiqildi.</w:t>
      </w:r>
    </w:p>
  </w:footnote>
  <w:footnote w:id="141">
    <w:p>
      <w:pPr>
        <w:pStyle w:val="FootnoteText"/>
        <w:suppressLineNumbers/>
        <w:spacing w:before="0" w:after="200"/>
        <w:ind w:hanging="340" w:left="340"/>
        <w:rPr/>
      </w:pPr>
      <w:r>
        <w:rPr>
          <w:rStyle w:val="FootnoteCharacters"/>
        </w:rPr>
        <w:footnoteRef/>
      </w:r>
      <w:r>
        <w:rPr/>
        <w:tab/>
        <w:t xml:space="preserve"> </w:t>
      </w:r>
      <w:r>
        <w:rPr/>
        <w:t>Board of Governors of the Federal Reserve System. Revisions to the Large Financial Institution Rating System and Framework for the Supervision of Insurance Organizations // Federal Register. – 2025. – 17 November.</w:t>
      </w:r>
    </w:p>
  </w:footnote>
  <w:footnote w:id="142">
    <w:p>
      <w:pPr>
        <w:pStyle w:val="FootnoteText"/>
        <w:suppressLineNumbers/>
        <w:spacing w:before="0" w:after="200"/>
        <w:ind w:hanging="340" w:left="340"/>
        <w:rPr/>
      </w:pPr>
      <w:r>
        <w:rPr>
          <w:rStyle w:val="FootnoteCharacters"/>
        </w:rPr>
        <w:footnoteRef/>
      </w:r>
      <w:r>
        <w:rPr/>
        <w:tab/>
        <w:t xml:space="preserve"> </w:t>
      </w:r>
      <w:r>
        <w:rPr/>
        <w:t>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43">
    <w:p>
      <w:pPr>
        <w:pStyle w:val="FootnoteText"/>
        <w:suppressLineNumbers/>
        <w:spacing w:before="0" w:after="200"/>
        <w:ind w:hanging="340" w:left="340"/>
        <w:rPr/>
      </w:pPr>
      <w:r>
        <w:rPr>
          <w:rStyle w:val="FootnoteCharacters"/>
        </w:rPr>
        <w:footnoteRef/>
      </w:r>
      <w:r>
        <w:rPr/>
        <w:tab/>
        <w:t xml:space="preserve"> </w:t>
      </w:r>
      <w:r>
        <w:rPr/>
        <w:t>Национальный норматив краткосрочной ликвидности для СЗКО: порядок расчета: информация Банка России от 12 августа 2025 г. – https://www.cbr.ru/press/event/?id=26840</w:t>
      </w:r>
    </w:p>
  </w:footnote>
  <w:footnote w:id="144">
    <w:p>
      <w:pPr>
        <w:pStyle w:val="FootnoteText"/>
        <w:suppressLineNumbers/>
        <w:spacing w:before="0" w:after="200"/>
        <w:ind w:hanging="340" w:left="340"/>
        <w:rPr/>
      </w:pPr>
      <w:r>
        <w:rPr>
          <w:rStyle w:val="FootnoteCharacters"/>
        </w:rPr>
        <w:footnoteRef/>
      </w:r>
      <w:r>
        <w:rPr/>
        <w:tab/>
        <w:t xml:space="preserve"> </w:t>
      </w:r>
      <w:r>
        <w:rPr/>
        <w:t>Банк России. Национальная антициклическая надбавка: решение Совета директоров от 8 ноября 2024 г. – https://www.cbr.ru/finstab/instruments/ccb/</w:t>
      </w:r>
    </w:p>
  </w:footnote>
  <w:footnote w:id="145">
    <w:p>
      <w:pPr>
        <w:pStyle w:val="FootnoteText"/>
        <w:suppressLineNumbers/>
        <w:spacing w:before="0" w:after="200"/>
        <w:ind w:hanging="340" w:left="340"/>
        <w:rPr/>
      </w:pPr>
      <w:r>
        <w:rPr>
          <w:rStyle w:val="FootnoteCharacters"/>
        </w:rPr>
        <w:footnoteRef/>
      </w:r>
      <w:r>
        <w:rPr/>
        <w:tab/>
        <w:t xml:space="preserve"> </w:t>
      </w:r>
      <w:r>
        <w:rPr/>
        <w:t>Laeven L., Valencia F. Systemic Banking Crises Database II // IMF Economic Review. – 2020. – Vol. 68, No. 2. – P. 307–361.</w:t>
      </w:r>
    </w:p>
  </w:footnote>
  <w:footnote w:id="146">
    <w:p>
      <w:pPr>
        <w:pStyle w:val="FootnoteText"/>
        <w:suppressLineNumbers/>
        <w:spacing w:before="0" w:after="200"/>
        <w:ind w:hanging="340" w:left="340"/>
        <w:rPr/>
      </w:pPr>
      <w:r>
        <w:rPr>
          <w:rStyle w:val="FootnoteCharacters"/>
        </w:rPr>
        <w:footnoteRef/>
      </w:r>
      <w:r>
        <w:rPr/>
        <w:tab/>
        <w:t xml:space="preserve"> </w:t>
      </w:r>
      <w:r>
        <w:rPr/>
        <w:t>Charoenwong B., Miao M., Ruan T. Nonperforming Loan Disposals Without Resolution // Management Science. – 2025. – Vol. 71, No. 1. – P. 898–916.</w:t>
      </w:r>
    </w:p>
  </w:footnote>
  <w:footnote w:id="147">
    <w:p>
      <w:pPr>
        <w:pStyle w:val="FootnoteText"/>
        <w:suppressLineNumbers/>
        <w:spacing w:before="0" w:after="200"/>
        <w:ind w:hanging="340" w:left="340"/>
        <w:rPr/>
      </w:pPr>
      <w:r>
        <w:rPr>
          <w:rStyle w:val="FootnoteCharacters"/>
        </w:rPr>
        <w:footnoteRef/>
      </w:r>
      <w:r>
        <w:rPr/>
        <w:tab/>
        <w:t xml:space="preserve"> </w:t>
      </w:r>
      <w:r>
        <w:rPr/>
        <w:t>International Monetary Fund. Republic of Uzbekistan: Financial Sector Assessment Program – Financial System Stability Assessment. IMF Country Report No. 25/145. – Washington, DC: IMF, 2025.</w:t>
      </w:r>
    </w:p>
  </w:footnote>
  <w:footnote w:id="148">
    <w:p>
      <w:pPr>
        <w:pStyle w:val="FootnoteText"/>
        <w:suppressLineNumbers/>
        <w:spacing w:before="0" w:after="200"/>
        <w:ind w:hanging="340" w:left="340"/>
        <w:rPr/>
      </w:pPr>
      <w:r>
        <w:rPr>
          <w:rStyle w:val="FootnoteCharacters"/>
        </w:rPr>
        <w:footnoteRef/>
      </w:r>
      <w:r>
        <w:rPr/>
        <w:tab/>
        <w:t xml:space="preserve"> </w:t>
      </w:r>
      <w:r>
        <w:rPr/>
        <w:t>World Bank. Republic of Uzbekistan: Financial Sector Assessment. – Washington, DC: World Bank, 2025.</w:t>
      </w:r>
    </w:p>
  </w:footnote>
  <w:footnote w:id="149">
    <w:p>
      <w:pPr>
        <w:pStyle w:val="FootnoteText"/>
        <w:suppressLineNumbers/>
        <w:spacing w:before="0" w:after="200"/>
        <w:ind w:hanging="340" w:left="340"/>
        <w:rPr/>
      </w:pPr>
      <w:r>
        <w:rPr>
          <w:rStyle w:val="FootnoteCharacters"/>
        </w:rPr>
        <w:footnoteRef/>
      </w:r>
      <w:r>
        <w:rPr/>
        <w:tab/>
        <w:t xml:space="preserve"> </w:t>
      </w:r>
      <w:r>
        <w:rPr/>
        <w:t>Diamond D.W., Dybvig P.H. Bank Runs, Deposit Insurance, and Liquidity // Journal of Political Economy. – 1983. – Vol. 91, No. 3. – P. 401–419.</w:t>
      </w:r>
    </w:p>
  </w:footnote>
  <w:footnote w:id="150">
    <w:p>
      <w:pPr>
        <w:pStyle w:val="FootnoteText"/>
        <w:suppressLineNumbers/>
        <w:spacing w:before="0" w:after="200"/>
        <w:ind w:hanging="340" w:left="340"/>
        <w:rPr/>
      </w:pPr>
      <w:r>
        <w:rPr>
          <w:rStyle w:val="FootnoteCharacters"/>
        </w:rPr>
        <w:footnoteRef/>
      </w:r>
      <w:r>
        <w:rPr/>
        <w:tab/>
        <w:t xml:space="preserve"> </w:t>
      </w:r>
      <w:r>
        <w:rPr/>
        <w:t>Minsky H.P. The Financial Instability Hypothesis: Working Paper No. 74. – Annandale-on-Hudson: The Jerome Levy Economics Institute of Bard College, 1992. – 10 p.</w:t>
      </w:r>
    </w:p>
  </w:footnote>
  <w:footnote w:id="151">
    <w:p>
      <w:pPr>
        <w:pStyle w:val="FootnoteText"/>
        <w:suppressLineNumbers/>
        <w:spacing w:before="0" w:after="200"/>
        <w:ind w:hanging="340" w:left="340"/>
        <w:rPr/>
      </w:pPr>
      <w:r>
        <w:rPr>
          <w:rStyle w:val="FootnoteCharacters"/>
        </w:rPr>
        <w:footnoteRef/>
      </w:r>
      <w:r>
        <w:rPr/>
        <w:tab/>
        <w:t xml:space="preserve"> </w:t>
      </w:r>
      <w:r>
        <w:rPr/>
        <w:t>Merton R.C. On the Pricing of Corporate Debt: The Risk Structure of Interest Rates // Journal of Finance. – 1974. – Vol. 29, No. 2. – P. 449–470.</w:t>
      </w:r>
    </w:p>
  </w:footnote>
  <w:footnote w:id="152">
    <w:p>
      <w:pPr>
        <w:pStyle w:val="FootnoteText"/>
        <w:suppressLineNumbers/>
        <w:spacing w:before="0" w:after="200"/>
        <w:ind w:hanging="340" w:left="340"/>
        <w:rPr/>
      </w:pPr>
      <w:r>
        <w:rPr>
          <w:rStyle w:val="FootnoteCharacters"/>
        </w:rPr>
        <w:footnoteRef/>
      </w:r>
      <w:r>
        <w:rPr/>
        <w:tab/>
        <w:t xml:space="preserve"> </w:t>
      </w:r>
      <w:r>
        <w:rPr/>
        <w:t>Mishkin F.S. Global Financial Instability: Framework, Events, Issues // Journal of Economic Perspectives. – 1999. – Vol. 13, No. 4. – P. 3–20.</w:t>
      </w:r>
    </w:p>
  </w:footnote>
  <w:footnote w:id="153">
    <w:p>
      <w:pPr>
        <w:pStyle w:val="FootnoteText"/>
        <w:suppressLineNumbers/>
        <w:spacing w:before="0" w:after="200"/>
        <w:ind w:hanging="340" w:left="340"/>
        <w:rPr/>
      </w:pPr>
      <w:r>
        <w:rPr>
          <w:rStyle w:val="FootnoteCharacters"/>
        </w:rPr>
        <w:footnoteRef/>
      </w:r>
      <w:r>
        <w:rPr/>
        <w:tab/>
        <w:t xml:space="preserve"> </w:t>
      </w:r>
      <w:r>
        <w:rPr/>
        <w:t>Schinasi G.J. Defining Financial Stability: IMF Working Paper WP/04/187. – Washington, DC: International Monetary Fund, 2004. – 18 p.</w:t>
      </w:r>
    </w:p>
  </w:footnote>
  <w:footnote w:id="154">
    <w:p>
      <w:pPr>
        <w:pStyle w:val="FootnoteText"/>
        <w:suppressLineNumbers/>
        <w:spacing w:before="0" w:after="200"/>
        <w:ind w:hanging="340" w:left="340"/>
        <w:rPr/>
      </w:pPr>
      <w:r>
        <w:rPr>
          <w:rStyle w:val="FootnoteCharacters"/>
        </w:rPr>
        <w:footnoteRef/>
      </w:r>
      <w:r>
        <w:rPr/>
        <w:tab/>
        <w:t xml:space="preserve"> </w:t>
      </w:r>
      <w:r>
        <w:rPr/>
        <w:t>Houben A., Kakes J., Schinasi G. Toward a Framework for Safeguarding Financial Stability: IMF Working Paper WP/04/101. – Washington, DC: International Monetary Fund, 2004.</w:t>
      </w:r>
    </w:p>
  </w:footnote>
  <w:footnote w:id="155">
    <w:p>
      <w:pPr>
        <w:pStyle w:val="FootnoteText"/>
        <w:suppressLineNumbers/>
        <w:spacing w:before="0" w:after="200"/>
        <w:ind w:hanging="340" w:left="340"/>
        <w:rPr/>
      </w:pPr>
      <w:r>
        <w:rPr>
          <w:rStyle w:val="FootnoteCharacters"/>
        </w:rPr>
        <w:footnoteRef/>
      </w:r>
      <w:r>
        <w:rPr/>
        <w:tab/>
        <w:t xml:space="preserve"> </w:t>
      </w:r>
      <w:r>
        <w:rPr/>
        <w:t>Čihák M. How Do Central Banks Write on Financial Stability?: IMF Working Paper WP/06/163. – Washington, DC: International Monetary Fund, 2006.</w:t>
      </w:r>
    </w:p>
  </w:footnote>
  <w:footnote w:id="156">
    <w:p>
      <w:pPr>
        <w:pStyle w:val="FootnoteText"/>
        <w:suppressLineNumbers/>
        <w:spacing w:before="0" w:after="200"/>
        <w:ind w:hanging="340" w:left="340"/>
        <w:rPr/>
      </w:pPr>
      <w:r>
        <w:rPr>
          <w:rStyle w:val="FootnoteCharacters"/>
        </w:rPr>
        <w:footnoteRef/>
      </w:r>
      <w:r>
        <w:rPr/>
        <w:tab/>
        <w:t xml:space="preserve"> </w:t>
      </w:r>
      <w:r>
        <w:rPr/>
        <w:t>Crockett A. Why Is Financial Stability a Goal of Public Policy? // Maintaining Financial Stability in a Global Economy. – Kansas City: Federal Reserve Bank of Kansas City, 1997. – P. 7–36.</w:t>
      </w:r>
    </w:p>
  </w:footnote>
  <w:footnote w:id="157">
    <w:p>
      <w:pPr>
        <w:pStyle w:val="FootnoteText"/>
        <w:suppressLineNumbers/>
        <w:spacing w:before="0" w:after="200"/>
        <w:ind w:hanging="340" w:left="340"/>
        <w:rPr/>
      </w:pPr>
      <w:r>
        <w:rPr>
          <w:rStyle w:val="FootnoteCharacters"/>
        </w:rPr>
        <w:footnoteRef/>
      </w:r>
      <w:r>
        <w:rPr/>
        <w:tab/>
        <w:t xml:space="preserve"> </w:t>
      </w:r>
      <w:r>
        <w:rPr/>
        <w:t>Borio C. Towards a Macroprudential Framework for Financial Supervision and Regulation?: BIS Working Papers No. 128. – Basel: Bank for International Settlements, 2003. – 32 p.</w:t>
      </w:r>
    </w:p>
  </w:footnote>
  <w:footnote w:id="158">
    <w:p>
      <w:pPr>
        <w:pStyle w:val="FootnoteText"/>
        <w:suppressLineNumbers/>
        <w:spacing w:before="0" w:after="200"/>
        <w:ind w:hanging="340" w:left="340"/>
        <w:rPr/>
      </w:pPr>
      <w:r>
        <w:rPr>
          <w:rStyle w:val="FootnoteCharacters"/>
        </w:rPr>
        <w:footnoteRef/>
      </w:r>
      <w:r>
        <w:rPr/>
        <w:tab/>
        <w:t xml:space="preserve"> </w:t>
      </w:r>
      <w:r>
        <w:rPr/>
        <w:t>Adrian T., Brunnermeier M.K. CoVaR // American Economic Review. – 2016. – Vol. 106, No. 7. – P. 1705–1741.</w:t>
      </w:r>
    </w:p>
  </w:footnote>
  <w:footnote w:id="159">
    <w:p>
      <w:pPr>
        <w:pStyle w:val="FootnoteText"/>
        <w:suppressLineNumbers/>
        <w:spacing w:before="0" w:after="200"/>
        <w:ind w:hanging="340" w:left="340"/>
        <w:rPr/>
      </w:pPr>
      <w:r>
        <w:rPr>
          <w:rStyle w:val="FootnoteCharacters"/>
        </w:rPr>
        <w:footnoteRef/>
      </w:r>
      <w:r>
        <w:rPr/>
        <w:tab/>
        <w:t xml:space="preserve"> </w:t>
      </w:r>
      <w:r>
        <w:rPr/>
        <w:t>Thakor A.V. Leverage, System Risk and Financial System Health: How Do We Develop a Healthy Financial System? // Governance, Regulation and Bank Stability / ed. by T. Lindblom, S. Sjögren, M. Willesson. – Basingstoke: Palgrave Macmillan, 2014.</w:t>
      </w:r>
    </w:p>
  </w:footnote>
  <w:footnote w:id="160">
    <w:p>
      <w:pPr>
        <w:pStyle w:val="FootnoteText"/>
        <w:suppressLineNumbers/>
        <w:spacing w:before="0" w:after="200"/>
        <w:ind w:hanging="340" w:left="340"/>
        <w:rPr/>
      </w:pPr>
      <w:r>
        <w:rPr>
          <w:rStyle w:val="FootnoteCharacters"/>
        </w:rPr>
        <w:footnoteRef/>
      </w:r>
      <w:r>
        <w:rPr/>
        <w:tab/>
        <w:t xml:space="preserve"> </w:t>
      </w:r>
      <w:r>
        <w:rPr/>
        <w:t>Laeven L., Valencia F. Systemic Banking Crises Database II // IMF Economic Review. – 2020. – Vol. 68, No. 2. – P. 307–361.</w:t>
      </w:r>
    </w:p>
  </w:footnote>
  <w:footnote w:id="161">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w:t>
      </w:r>
    </w:p>
  </w:footnote>
  <w:footnote w:id="162">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w:t>
      </w:r>
    </w:p>
  </w:footnote>
  <w:footnote w:id="163">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w:t>
      </w:r>
    </w:p>
  </w:footnote>
  <w:footnote w:id="164">
    <w:p>
      <w:pPr>
        <w:pStyle w:val="FootnoteText"/>
        <w:suppressLineNumbers/>
        <w:spacing w:before="0" w:after="200"/>
        <w:ind w:hanging="340" w:left="340"/>
        <w:rPr/>
      </w:pPr>
      <w:r>
        <w:rPr>
          <w:rStyle w:val="FootnoteCharacters"/>
        </w:rPr>
        <w:footnoteRef/>
      </w:r>
      <w:r>
        <w:rPr/>
        <w:tab/>
        <w:t xml:space="preserve"> </w:t>
      </w:r>
      <w:r>
        <w:rPr/>
        <w:t>Фетисов Г.Г. Устойчивость банковской системы и методология ее оценки. – М.: Экономика, 2003. – 394 с.</w:t>
      </w:r>
    </w:p>
  </w:footnote>
  <w:footnote w:id="165">
    <w:p>
      <w:pPr>
        <w:pStyle w:val="FootnoteText"/>
        <w:suppressLineNumbers/>
        <w:spacing w:before="0" w:after="200"/>
        <w:ind w:hanging="340" w:left="340"/>
        <w:rPr/>
      </w:pPr>
      <w:r>
        <w:rPr>
          <w:rStyle w:val="FootnoteCharacters"/>
        </w:rPr>
        <w:footnoteRef/>
      </w:r>
      <w:r>
        <w:rPr/>
        <w:tab/>
        <w:t xml:space="preserve"> </w:t>
      </w:r>
      <w:r>
        <w:rPr/>
        <w:t>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166">
    <w:p>
      <w:pPr>
        <w:pStyle w:val="FootnoteText"/>
        <w:suppressLineNumbers/>
        <w:spacing w:before="0" w:after="200"/>
        <w:ind w:hanging="340" w:left="340"/>
        <w:rPr/>
      </w:pPr>
      <w:r>
        <w:rPr>
          <w:rStyle w:val="FootnoteCharacters"/>
        </w:rPr>
        <w:footnoteRef/>
      </w:r>
      <w:r>
        <w:rPr/>
        <w:tab/>
        <w:t xml:space="preserve"> </w:t>
      </w:r>
      <w:r>
        <w:rPr/>
        <w:t>Шуббар Х.Х., Гиринский А.В. Содержание и принципы устойчивости банковской системы // Вестник РУДН. Серия: Экономика. – 2019. – Т. 27, № 1.</w:t>
      </w:r>
    </w:p>
  </w:footnote>
  <w:footnote w:id="167">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w:t>
      </w:r>
    </w:p>
  </w:footnote>
  <w:footnote w:id="168">
    <w:p>
      <w:pPr>
        <w:pStyle w:val="FootnoteText"/>
        <w:suppressLineNumbers/>
        <w:spacing w:before="0" w:after="200"/>
        <w:ind w:hanging="340" w:left="340"/>
        <w:rPr/>
      </w:pPr>
      <w:r>
        <w:rPr>
          <w:rStyle w:val="FootnoteCharacters"/>
        </w:rPr>
        <w:footnoteRef/>
      </w:r>
      <w:r>
        <w:rPr/>
        <w:tab/>
        <w:t xml:space="preserve"> </w:t>
      </w:r>
      <w:r>
        <w:rPr/>
        <w:t>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169">
    <w:p>
      <w:pPr>
        <w:pStyle w:val="FootnoteText"/>
        <w:rPr/>
      </w:pPr>
      <w:r>
        <w:rPr>
          <w:rStyle w:val="FootnoteCharacters"/>
        </w:rPr>
        <w:footnoteRef/>
      </w:r>
      <w:r>
        <w:rPr/>
        <w:tab/>
        <w:t xml:space="preserve"> </w:t>
      </w:r>
      <w:r>
        <w:rPr/>
        <w:t>European Banking Authority. 2025 EU-wide stress test: Results. – Paris: EBA, 1 August 2025. Cargill T.F. The Financial System, Financial Regulation and Central Bank Policy. – Cambridge: Cambridge University Press, 2017. – P. 186–187.</w:t>
      </w:r>
    </w:p>
    <w:p>
      <w:pPr>
        <w:pStyle w:val="FootnoteText"/>
        <w:suppressLineNumbers/>
        <w:spacing w:before="0" w:after="200"/>
        <w:ind w:hanging="340" w:left="340"/>
        <w:rPr/>
      </w:pPr>
      <w:r>
        <w:rPr/>
      </w:r>
    </w:p>
  </w:footnote>
  <w:footnote w:id="170">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14–15.</w:t>
      </w:r>
    </w:p>
  </w:footnote>
  <w:footnote w:id="171">
    <w:p>
      <w:pPr>
        <w:pStyle w:val="FootnoteText"/>
        <w:suppressLineNumbers/>
        <w:spacing w:before="0" w:after="200"/>
        <w:ind w:hanging="340" w:left="340"/>
        <w:rPr/>
      </w:pPr>
      <w:r>
        <w:rPr>
          <w:rStyle w:val="FootnoteCharacters"/>
        </w:rPr>
        <w:footnoteRef/>
      </w:r>
      <w:r>
        <w:rPr/>
      </w:r>
    </w:p>
  </w:footnote>
  <w:footnote w:id="172">
    <w:p>
      <w:pPr>
        <w:pStyle w:val="FootnoteText"/>
        <w:rPr/>
      </w:pPr>
      <w:r>
        <w:rPr>
          <w:rStyle w:val="FootnoteCharacters"/>
        </w:rPr>
        <w:footnoteRef/>
      </w:r>
      <w:r>
        <w:rPr/>
        <w:tab/>
        <w:t xml:space="preserve"> </w:t>
      </w:r>
      <w:r>
        <w:rPr/>
        <w:t>Merton R.C. On the Pricing of Corporate Debt: The Risk Structure of Interest Rates // Journal of Finance. – 1974. – Vol. 29, No. 2. – P. 449–470. O‘zbekiston Respublikasi Prezidentining 2020-yil 24-fevraldagi PQ-4611-son «Moliyaviy hisobotning xalqaro standartlariga o‘tish bo‘yicha qo‘shimcha chora-tadbirlar to‘g‘risida»gi qarori // Qonunchilik ma’lumotlari milliy bazasi, 25.02.2020-y.</w:t>
      </w:r>
    </w:p>
    <w:p>
      <w:pPr>
        <w:pStyle w:val="FootnoteText"/>
        <w:suppressLineNumbers/>
        <w:spacing w:before="0" w:after="200"/>
        <w:ind w:hanging="340" w:left="340"/>
        <w:rPr/>
      </w:pPr>
      <w:r>
        <w:rPr/>
      </w:r>
    </w:p>
  </w:footnote>
  <w:footnote w:id="173">
    <w:p>
      <w:pPr>
        <w:pStyle w:val="FootnoteText"/>
        <w:suppressLineNumbers/>
        <w:spacing w:before="0" w:after="200"/>
        <w:ind w:hanging="340" w:left="340"/>
        <w:rPr/>
      </w:pPr>
      <w:r>
        <w:rPr>
          <w:rStyle w:val="FootnoteCharacters"/>
        </w:rPr>
      </w:r>
      <w:r>
        <w:rPr/>
        <w:tab/>
        <w:t xml:space="preserve"> </w:t>
      </w:r>
      <w:r>
        <w:rPr/>
        <w:t>O‘zbekiston Respublikasining 2019-yil 5-noyabrdagi O‘RQ-580-son «Banklar va bank faoliyati to‘g‘risida»gi Qonuni // Qonunchilik ma’lumotlari milliy bazasi, 06.11.2019-y.</w:t>
      </w:r>
    </w:p>
  </w:footnote>
  <w:footnote w:id="174">
    <w:p>
      <w:pPr>
        <w:pStyle w:val="FootnoteText"/>
        <w:suppressLineNumbers/>
        <w:spacing w:before="0" w:after="200"/>
        <w:ind w:hanging="340" w:left="340"/>
        <w:rPr/>
      </w:pPr>
      <w:r>
        <w:rPr>
          <w:rStyle w:val="FootnoteCharacters"/>
        </w:rPr>
      </w:r>
      <w:r>
        <w:rPr/>
        <w:tab/>
        <w:t xml:space="preserve"> </w:t>
      </w:r>
      <w:r>
        <w:rPr/>
        <w:t>Basel Committee on Banking Supervision. Regulatory treatment of accounting provisions – interim approach and transitional arrangements. – Basel: Bank for International Settlements, March 2017.</w:t>
      </w:r>
    </w:p>
  </w:footnote>
  <w:footnote w:id="175">
    <w:p>
      <w:pPr>
        <w:pStyle w:val="FootnoteText"/>
        <w:suppressLineNumbers/>
        <w:spacing w:before="0" w:after="200"/>
        <w:ind w:hanging="340" w:left="340"/>
        <w:rPr/>
      </w:pPr>
      <w:r>
        <w:rPr>
          <w:rStyle w:val="FootnoteCharacters"/>
        </w:rPr>
      </w:r>
      <w:r>
        <w:rPr/>
        <w:tab/>
        <w:t xml:space="preserve"> </w:t>
      </w:r>
      <w:r>
        <w:rPr/>
        <w:t>Basel Committee on Banking Supervision. Guidance on credit risk and accounting for expected credit losses. – Basel: Bank for International Settlements, December 2015.</w:t>
      </w:r>
    </w:p>
  </w:footnote>
  <w:footnote w:id="176">
    <w:p>
      <w:pPr>
        <w:pStyle w:val="FootnoteText"/>
        <w:suppressLineNumbers/>
        <w:spacing w:before="0" w:after="200"/>
        <w:ind w:hanging="340" w:left="340"/>
        <w:rPr/>
      </w:pPr>
      <w:r>
        <w:rPr>
          <w:rStyle w:val="FootnoteCharacters"/>
        </w:rPr>
      </w:r>
      <w:r>
        <w:rPr/>
        <w:tab/>
        <w:t xml:space="preserve"> </w:t>
      </w:r>
      <w:r>
        <w:rPr/>
        <w:t>Huizinga H., Laeven L. Bank valuation and accounting discretion during a financial crisis // Journal of Financial Economics. – 2012. – Vol. 106, No. 3. – P. 614–634.</w:t>
      </w:r>
    </w:p>
  </w:footnote>
  <w:footnote w:id="177">
    <w:p>
      <w:pPr>
        <w:pStyle w:val="FootnoteText"/>
        <w:suppressLineNumbers/>
        <w:spacing w:before="0" w:after="200"/>
        <w:ind w:hanging="340" w:left="340"/>
        <w:rPr/>
      </w:pPr>
      <w:r>
        <w:rPr>
          <w:rStyle w:val="FootnoteCharacters"/>
        </w:rPr>
      </w:r>
      <w:r>
        <w:rPr/>
        <w:tab/>
        <w:t xml:space="preserve"> </w:t>
      </w:r>
      <w:r>
        <w:rPr/>
        <w:t>Bholat D., Lastra R.M., Markose S.M., Miglionico A., Sen K. Non-performing loans at the dawn of IFRS 9: regulatory and accounting treatment of asset quality // Journal of Banking Regulation. – 2018. – Vol. 19, No. 1. – P. 33–54.</w:t>
      </w:r>
    </w:p>
  </w:footnote>
  <w:footnote w:id="178">
    <w:p>
      <w:pPr>
        <w:pStyle w:val="FootnoteText"/>
        <w:suppressLineNumbers/>
        <w:spacing w:before="0" w:after="200"/>
        <w:ind w:hanging="340" w:left="340"/>
        <w:rPr/>
      </w:pPr>
      <w:r>
        <w:rPr>
          <w:rStyle w:val="FootnoteCharacters"/>
        </w:rPr>
      </w:r>
      <w:r>
        <w:rPr/>
        <w:tab/>
        <w:t xml:space="preserve"> </w:t>
      </w:r>
      <w:r>
        <w:rPr/>
        <w:t>Abad J., Suarez J. Assessing the cyclical implications of IFRS 9 – a recursive model // European Systemic Risk Board Occasional Paper Series. – 2017. – No. 12. – 48 p.</w:t>
      </w:r>
    </w:p>
  </w:footnote>
  <w:footnote w:id="179">
    <w:p>
      <w:pPr>
        <w:pStyle w:val="FootnoteText"/>
        <w:suppressLineNumbers/>
        <w:spacing w:before="0" w:after="200"/>
        <w:ind w:hanging="340" w:left="340"/>
        <w:rPr/>
      </w:pPr>
      <w:r>
        <w:rPr>
          <w:rStyle w:val="FootnoteCharacters"/>
        </w:rPr>
      </w:r>
      <w:r>
        <w:rPr/>
        <w:tab/>
        <w:t xml:space="preserve"> </w:t>
      </w:r>
      <w:r>
        <w:rPr/>
        <w:t>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80">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181">
    <w:p>
      <w:pPr>
        <w:pStyle w:val="FootnoteText"/>
        <w:suppressLineNumbers/>
        <w:spacing w:before="0" w:after="200"/>
        <w:ind w:hanging="340" w:left="340"/>
        <w:rPr/>
      </w:pPr>
      <w:r>
        <w:rPr>
          <w:rStyle w:val="FootnoteCharacters"/>
        </w:rPr>
      </w:r>
      <w:r>
        <w:rPr/>
        <w:tab/>
        <w:t xml:space="preserve"> </w:t>
      </w:r>
      <w:r>
        <w:rPr/>
        <w:t>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182">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183">
    <w:p>
      <w:pPr>
        <w:pStyle w:val="FootnoteText"/>
        <w:suppressLineNumbers/>
        <w:spacing w:before="0" w:after="200"/>
        <w:ind w:hanging="340" w:left="340"/>
        <w:rPr/>
      </w:pPr>
      <w:r>
        <w:rPr>
          <w:rStyle w:val="FootnoteCharacters"/>
        </w:rPr>
      </w:r>
      <w:r>
        <w:rPr/>
        <w:tab/>
        <w:t xml:space="preserve"> </w:t>
      </w:r>
      <w:r>
        <w:rPr/>
        <w:t>IFRS 9 Financial Instruments. – London: International Accounting Standards Board, 2014.</w:t>
      </w:r>
    </w:p>
  </w:footnote>
  <w:footnote w:id="184">
    <w:p>
      <w:pPr>
        <w:pStyle w:val="FootnoteText"/>
        <w:suppressLineNumbers/>
        <w:spacing w:before="0" w:after="200"/>
        <w:ind w:hanging="340" w:left="340"/>
        <w:rPr/>
      </w:pPr>
      <w:r>
        <w:rPr>
          <w:rStyle w:val="FootnoteCharacters"/>
        </w:rPr>
      </w:r>
      <w:r>
        <w:rPr/>
        <w:tab/>
        <w:t xml:space="preserve"> </w:t>
      </w:r>
      <w:r>
        <w:rPr/>
        <w:t>Tadqiqot natijasida muallif tomonidan ishlab chiqildi.</w:t>
      </w:r>
    </w:p>
  </w:footnote>
  <w:footnote w:id="185">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186">
    <w:p>
      <w:pPr>
        <w:pStyle w:val="FootnoteText"/>
        <w:suppressLineNumbers/>
        <w:spacing w:before="0" w:after="200"/>
        <w:ind w:hanging="340" w:left="340"/>
        <w:rPr/>
      </w:pPr>
      <w:r>
        <w:rPr>
          <w:rStyle w:val="FootnoteCharacters"/>
        </w:rPr>
      </w:r>
      <w:r>
        <w:rPr/>
        <w:tab/>
        <w:t xml:space="preserve"> </w:t>
      </w:r>
      <w:r>
        <w:rPr/>
        <w:t>«Mikrokreditbank»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187">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188">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189">
    <w:p>
      <w:pPr>
        <w:pStyle w:val="FootnoteText"/>
        <w:suppressLineNumbers/>
        <w:spacing w:before="0" w:after="200"/>
        <w:ind w:hanging="340" w:left="340"/>
        <w:rPr/>
      </w:pPr>
      <w:r>
        <w:rPr>
          <w:rStyle w:val="FootnoteCharacters"/>
        </w:rPr>
      </w:r>
      <w:r>
        <w:rPr/>
        <w:tab/>
        <w:t xml:space="preserve"> </w:t>
      </w:r>
      <w:r>
        <w:rPr/>
        <w:t>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190">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3.</w:t>
      </w:r>
    </w:p>
  </w:footnote>
  <w:footnote w:id="191">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3.</w:t>
      </w:r>
    </w:p>
  </w:footnote>
  <w:footnote w:id="192">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193">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37–38.</w:t>
      </w:r>
    </w:p>
  </w:footnote>
  <w:footnote w:id="194">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195">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37.</w:t>
      </w:r>
    </w:p>
  </w:footnote>
  <w:footnote w:id="196">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97">
    <w:p>
      <w:pPr>
        <w:pStyle w:val="FootnoteText"/>
        <w:suppressLineNumbers/>
        <w:spacing w:before="0" w:after="200"/>
        <w:ind w:hanging="340" w:left="340"/>
        <w:rPr/>
      </w:pPr>
      <w:r>
        <w:rPr>
          <w:rStyle w:val="FootnoteCharacters"/>
        </w:rPr>
      </w:r>
      <w:r>
        <w:rPr/>
        <w:tab/>
        <w:t xml:space="preserve"> </w:t>
      </w:r>
      <w:r>
        <w:rPr/>
        <w:t>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98">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99">
    <w:p>
      <w:pPr>
        <w:pStyle w:val="FootnoteText"/>
        <w:suppressLineNumbers/>
        <w:spacing w:before="0" w:after="200"/>
        <w:ind w:hanging="340" w:left="340"/>
        <w:rPr/>
      </w:pPr>
      <w:r>
        <w:rPr>
          <w:rStyle w:val="FootnoteCharacters"/>
        </w:rPr>
      </w:r>
      <w:r>
        <w:rPr/>
        <w:tab/>
        <w:t xml:space="preserve"> </w:t>
      </w:r>
      <w:r>
        <w:rPr/>
        <w:t>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200">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201">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74.</w:t>
      </w:r>
    </w:p>
  </w:footnote>
  <w:footnote w:id="202">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03">
    <w:p>
      <w:pPr>
        <w:pStyle w:val="FootnoteText"/>
        <w:suppressLineNumbers/>
        <w:spacing w:before="0" w:after="200"/>
        <w:ind w:hanging="340" w:left="340"/>
        <w:rPr/>
      </w:pPr>
      <w:r>
        <w:rPr>
          <w:rStyle w:val="FootnoteCharacters"/>
        </w:rPr>
      </w:r>
      <w:r>
        <w:rPr/>
        <w:tab/>
        <w:t xml:space="preserve"> </w:t>
      </w:r>
      <w:r>
        <w:rPr/>
        <w:t>Basel Committee on Banking Supervision. Basel III: The Net Stable Funding Ratio. – Basel: BIS, October 2014.</w:t>
      </w:r>
    </w:p>
  </w:footnote>
  <w:footnote w:id="204">
    <w:p>
      <w:pPr>
        <w:pStyle w:val="FootnoteText"/>
        <w:suppressLineNumbers/>
        <w:spacing w:before="0" w:after="200"/>
        <w:ind w:hanging="340" w:left="340"/>
        <w:rPr/>
      </w:pPr>
      <w:r>
        <w:rPr>
          <w:rStyle w:val="FootnoteCharacters"/>
        </w:rPr>
      </w:r>
      <w:r>
        <w:rPr/>
        <w:tab/>
        <w:t xml:space="preserve"> </w:t>
      </w:r>
      <w:r>
        <w:rPr/>
        <w:t>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205">
    <w:p>
      <w:pPr>
        <w:pStyle w:val="FootnoteText"/>
        <w:suppressLineNumbers/>
        <w:spacing w:before="0" w:after="200"/>
        <w:ind w:hanging="340" w:left="340"/>
        <w:rPr/>
      </w:pPr>
      <w:r>
        <w:rPr>
          <w:rStyle w:val="FootnoteCharacters"/>
        </w:rPr>
      </w:r>
      <w:r>
        <w:rPr/>
        <w:tab/>
        <w:t xml:space="preserve"> </w:t>
      </w:r>
      <w:r>
        <w:rPr/>
        <w:t>Basel Committee on Banking Supervision. Basel III: The Liquidity Coverage Ratio and liquidity risk monitoring tools. – Basel: BIS, January 2013.</w:t>
      </w:r>
    </w:p>
  </w:footnote>
  <w:footnote w:id="206">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207">
    <w:p>
      <w:pPr>
        <w:pStyle w:val="FootnoteText"/>
        <w:suppressLineNumbers/>
        <w:spacing w:before="0" w:after="200"/>
        <w:ind w:hanging="340" w:left="340"/>
        <w:rPr/>
      </w:pPr>
      <w:r>
        <w:rPr>
          <w:rStyle w:val="FootnoteCharacters"/>
        </w:rPr>
      </w:r>
      <w:r>
        <w:rPr/>
        <w:tab/>
        <w:t xml:space="preserve"> </w:t>
      </w:r>
      <w:r>
        <w:rPr/>
        <w:t>Tadqiqot natijasida muallif tomonidan 2.3.4-jadval ma’lumotlari asosida ishlab chiqildi.</w:t>
      </w:r>
    </w:p>
  </w:footnote>
  <w:footnote w:id="208">
    <w:p>
      <w:pPr>
        <w:pStyle w:val="FootnoteText"/>
        <w:suppressLineNumbers/>
        <w:spacing w:before="0" w:after="200"/>
        <w:ind w:hanging="340" w:left="340"/>
        <w:rPr/>
      </w:pPr>
      <w:r>
        <w:rPr>
          <w:rStyle w:val="FootnoteCharacters"/>
        </w:rPr>
      </w:r>
      <w:r>
        <w:rPr/>
        <w:tab/>
        <w:t xml:space="preserve"> </w:t>
      </w:r>
      <w:r>
        <w:rPr/>
        <w:t>International Monetary Fund. Republic of Uzbekistan: Financial Sector Assessment Program – Financial System Stability Assessment. IMF Country Report No. 25/145. – Washington, DC: IMF, 2025.</w:t>
      </w:r>
    </w:p>
  </w:footnote>
  <w:footnote w:id="209">
    <w:p>
      <w:pPr>
        <w:pStyle w:val="FootnoteText"/>
        <w:suppressLineNumbers/>
        <w:spacing w:before="0" w:after="200"/>
        <w:ind w:hanging="340" w:left="340"/>
        <w:rPr/>
      </w:pPr>
      <w:r>
        <w:rPr>
          <w:rStyle w:val="FootnoteCharacters"/>
        </w:rPr>
      </w:r>
      <w:r>
        <w:rPr/>
        <w:tab/>
        <w:t xml:space="preserve"> </w:t>
      </w:r>
      <w:r>
        <w:rPr/>
        <w:t>O‘zbekiston Respublikasi Markaziy banki. Moliya sektorini baholash dasturi (FSAP) tavsiyalarini amalga oshirish bo‘yicha 2025–2028-yillarga mo‘ljallangan «yo‘l xaritasi».</w:t>
      </w:r>
    </w:p>
  </w:footnote>
  <w:footnote w:id="210">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211">
    <w:p>
      <w:pPr>
        <w:pStyle w:val="FootnoteText"/>
        <w:suppressLineNumbers/>
        <w:spacing w:before="0" w:after="200"/>
        <w:ind w:hanging="340" w:left="340"/>
        <w:rPr/>
      </w:pPr>
      <w:r>
        <w:rPr>
          <w:rStyle w:val="FootnoteCharacters"/>
        </w:rPr>
        <w:footnoteRef/>
      </w:r>
      <w:r>
        <w:rPr/>
      </w:r>
    </w:p>
  </w:footnote>
  <w:footnote w:id="212">
    <w:p>
      <w:pPr>
        <w:pStyle w:val="FootnoteText"/>
        <w:rPr/>
      </w:pPr>
      <w:r>
        <w:rPr>
          <w:rStyle w:val="FootnoteCharacters"/>
        </w:rPr>
        <w:footnoteRef/>
      </w:r>
      <w:r>
        <w:rPr/>
        <w:tab/>
        <w:t xml:space="preserve"> </w:t>
      </w:r>
      <w:r>
        <w:rPr/>
        <w:t>Schinasi G.J. Defining Financial Stability: IMF Working Paper WP/04/187. – Washington, DC: International Monetary Fund, 2004. – 18 p. Karaliyev T.M., Sayfiddinov I.F. Tijorat banklari faoliyatini tartibga solish va nazorati: darslik. – T.: Iqtisod-Moliya, 2019. – B. 195.</w:t>
      </w:r>
    </w:p>
    <w:p>
      <w:pPr>
        <w:pStyle w:val="FootnoteText"/>
        <w:suppressLineNumbers/>
        <w:spacing w:before="0" w:after="200"/>
        <w:ind w:hanging="340" w:left="340"/>
        <w:rPr/>
      </w:pPr>
      <w:r>
        <w:rPr/>
      </w:r>
    </w:p>
  </w:footnote>
  <w:footnote w:id="213">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214">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215">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1–2, 10–11.</w:t>
      </w:r>
    </w:p>
  </w:footnote>
  <w:footnote w:id="216">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29–31.</w:t>
      </w:r>
    </w:p>
  </w:footnote>
  <w:footnote w:id="217">
    <w:p>
      <w:pPr>
        <w:pStyle w:val="FootnoteText"/>
        <w:suppressLineNumbers/>
        <w:spacing w:before="0" w:after="200"/>
        <w:ind w:hanging="340" w:left="340"/>
        <w:rPr/>
      </w:pPr>
      <w:r>
        <w:rPr>
          <w:rStyle w:val="FootnoteCharacters"/>
        </w:rPr>
        <w:footnoteRef/>
      </w:r>
      <w:r>
        <w:rPr/>
        <w:tab/>
        <w:t xml:space="preserve"> </w:t>
      </w:r>
      <w:r>
        <w:rPr/>
        <w:t>Cargill T.F. The Financial System, Financial Regulation and Central Bank Policy. – Cambridge: Cambridge University Press, 2017. – P. 194–195.</w:t>
      </w:r>
    </w:p>
  </w:footnote>
  <w:footnote w:id="218">
    <w:p>
      <w:pPr>
        <w:pStyle w:val="FootnoteText"/>
        <w:suppressLineNumbers/>
        <w:spacing w:before="0" w:after="200"/>
        <w:ind w:hanging="340" w:left="340"/>
        <w:rPr/>
      </w:pPr>
      <w:r>
        <w:rPr>
          <w:rStyle w:val="FootnoteCharacters"/>
        </w:rPr>
        <w:footnoteRef/>
      </w:r>
      <w:r>
        <w:rPr/>
        <w:tab/>
        <w:t xml:space="preserve"> </w:t>
      </w:r>
      <w:r>
        <w:rPr/>
        <w:t>Cargill T.F. The Financial System, Financial Regulation and Central Bank Policy. – Cambridge: Cambridge University Press, 2017. – P. 193.</w:t>
      </w:r>
    </w:p>
  </w:footnote>
  <w:footnote w:id="219">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asosida ishlab chiqildi: Cargill T.F. The Financial System, Financial Regulation and Central Bank Policy. – Cambridge: Cambridge University Press, 2017. – P. 193 (Table 9.3).</w:t>
      </w:r>
    </w:p>
  </w:footnote>
  <w:footnote w:id="220">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228–230.</w:t>
      </w:r>
    </w:p>
  </w:footnote>
  <w:footnote w:id="221">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107–114.</w:t>
      </w:r>
    </w:p>
  </w:footnote>
  <w:footnote w:id="222">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223">
    <w:p>
      <w:pPr>
        <w:pStyle w:val="FootnoteText"/>
        <w:suppressLineNumbers/>
        <w:spacing w:before="0" w:after="200"/>
        <w:ind w:hanging="340" w:left="340"/>
        <w:rPr/>
      </w:pPr>
      <w:r>
        <w:rPr>
          <w:rStyle w:val="FootnoteCharacters"/>
        </w:rPr>
        <w:footnoteRef/>
      </w:r>
      <w:r>
        <w:rPr/>
        <w:tab/>
        <w:t xml:space="preserve"> </w:t>
      </w:r>
      <w:r>
        <w:rPr/>
        <w:t>Cargill T.F. The Financial System, Financial Regulation and Central Bank Policy. – Cambridge: Cambridge University Press, 2017. – P. 195–196.</w:t>
      </w:r>
    </w:p>
  </w:footnote>
  <w:footnote w:id="224">
    <w:p>
      <w:pPr>
        <w:pStyle w:val="FootnoteText"/>
        <w:suppressLineNumbers/>
        <w:spacing w:before="0" w:after="200"/>
        <w:ind w:hanging="340" w:left="340"/>
        <w:rPr/>
      </w:pPr>
      <w:r>
        <w:rPr>
          <w:rStyle w:val="FootnoteCharacters"/>
        </w:rPr>
        <w:footnoteRef/>
      </w:r>
      <w:r>
        <w:rPr/>
        <w:tab/>
        <w:t xml:space="preserve"> </w:t>
      </w:r>
      <w:r>
        <w:rPr/>
        <w:t>Board of Governors of the Federal Reserve System. Revisions to the Large Financial Institution Rating System and Framework for the Supervision of Insurance Organizations // Federal Register. – 2025. – 17 November.</w:t>
      </w:r>
    </w:p>
  </w:footnote>
  <w:footnote w:id="225">
    <w:p>
      <w:pPr>
        <w:pStyle w:val="FootnoteText"/>
        <w:suppressLineNumbers/>
        <w:spacing w:before="0" w:after="200"/>
        <w:ind w:hanging="340" w:left="340"/>
        <w:rPr/>
      </w:pPr>
      <w:r>
        <w:rPr>
          <w:rStyle w:val="FootnoteCharacters"/>
        </w:rPr>
        <w:footnoteRef/>
      </w:r>
      <w:r>
        <w:rPr/>
        <w:tab/>
        <w:t xml:space="preserve"> </w:t>
      </w:r>
      <w:r>
        <w:rPr/>
        <w:t>Federal Financial Institutions Examination Council. Proposed Revisions to the Uniform Financial Institutions Rating System (CAMELS). – Washington, DC, 19 May 2026.</w:t>
      </w:r>
    </w:p>
  </w:footnote>
  <w:footnote w:id="226">
    <w:p>
      <w:pPr>
        <w:pStyle w:val="FootnoteText"/>
        <w:suppressLineNumbers/>
        <w:spacing w:before="0" w:after="200"/>
        <w:ind w:hanging="340" w:left="340"/>
        <w:rPr/>
      </w:pPr>
      <w:r>
        <w:rPr>
          <w:rStyle w:val="FootnoteCharacters"/>
        </w:rPr>
        <w:footnoteRef/>
      </w:r>
      <w:r>
        <w:rPr/>
        <w:tab/>
        <w:t xml:space="preserve"> </w:t>
      </w:r>
      <w:r>
        <w:rPr/>
        <w:t>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27">
    <w:p>
      <w:pPr>
        <w:pStyle w:val="FootnoteText"/>
        <w:suppressLineNumbers/>
        <w:spacing w:before="0" w:after="200"/>
        <w:ind w:hanging="340" w:left="340"/>
        <w:rPr/>
      </w:pPr>
      <w:r>
        <w:rPr>
          <w:rStyle w:val="FootnoteCharacters"/>
        </w:rPr>
        <w:footnoteRef/>
      </w:r>
      <w:r>
        <w:rPr/>
        <w:tab/>
        <w:t xml:space="preserve"> </w:t>
      </w:r>
      <w:r>
        <w:rPr/>
        <w:t>Board of Governors of the Federal Reserve System, Federal Deposit Insurance Corporation, Office of the Comptroller of the Currency. Regulatory capital proposals implementing the final Basel III standards. – Washington, DC, 19 March 2026.</w:t>
      </w:r>
    </w:p>
  </w:footnote>
  <w:footnote w:id="228">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225–227.</w:t>
      </w:r>
    </w:p>
  </w:footnote>
  <w:footnote w:id="229">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92–104.</w:t>
      </w:r>
    </w:p>
  </w:footnote>
  <w:footnote w:id="230">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60–61.</w:t>
      </w:r>
    </w:p>
  </w:footnote>
  <w:footnote w:id="231">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232">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59.</w:t>
      </w:r>
    </w:p>
  </w:footnote>
  <w:footnote w:id="233">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114–115.</w:t>
      </w:r>
    </w:p>
  </w:footnote>
  <w:footnote w:id="234">
    <w:p>
      <w:pPr>
        <w:pStyle w:val="FootnoteText"/>
        <w:suppressLineNumbers/>
        <w:spacing w:before="0" w:after="200"/>
        <w:ind w:hanging="340" w:left="340"/>
        <w:rPr/>
      </w:pPr>
      <w:r>
        <w:rPr>
          <w:rStyle w:val="FootnoteCharacters"/>
        </w:rPr>
        <w:footnoteRef/>
      </w:r>
      <w:r>
        <w:rPr/>
        <w:tab/>
        <w:t xml:space="preserve"> </w:t>
      </w:r>
      <w:r>
        <w:rPr/>
        <w:t>Karaliyev T.M., Sayfiddinov I.F. Tijorat banklari faoliyatini tartibga solish va nazorati: darslik. – T.: Iqtisod-Moliya, 2019. – B. 194–195.</w:t>
      </w:r>
    </w:p>
  </w:footnote>
  <w:footnote w:id="235">
    <w:p>
      <w:pPr>
        <w:pStyle w:val="FootnoteText"/>
        <w:suppressLineNumbers/>
        <w:spacing w:before="0" w:after="200"/>
        <w:ind w:hanging="340" w:left="340"/>
        <w:rPr/>
      </w:pPr>
      <w:r>
        <w:rPr>
          <w:rStyle w:val="FootnoteCharacters"/>
        </w:rPr>
        <w:footnoteRef/>
      </w:r>
      <w:r>
        <w:rPr/>
        <w:tab/>
        <w:t xml:space="preserve"> </w:t>
      </w:r>
      <w:r>
        <w:rPr/>
        <w:t>Tutino F., Brugnoni G.C., Siena M.G. Italian Banks Facing Basel 3 Higher Capital Requirements: Which Strategies Are Actually Feasible? // Bank Risk, Governance and Regulation / ed. by E. Beccalli, F. Poli. – Basingstoke: Palgrave Macmillan, 2015. – P. 212–231.</w:t>
      </w:r>
    </w:p>
  </w:footnote>
  <w:footnote w:id="236">
    <w:p>
      <w:pPr>
        <w:pStyle w:val="FootnoteText"/>
        <w:suppressLineNumbers/>
        <w:spacing w:before="0" w:after="200"/>
        <w:ind w:hanging="340" w:left="340"/>
        <w:rPr/>
      </w:pPr>
      <w:r>
        <w:rPr>
          <w:rStyle w:val="FootnoteCharacters"/>
        </w:rPr>
        <w:footnoteRef/>
      </w:r>
      <w:r>
        <w:rPr/>
        <w:tab/>
        <w:t xml:space="preserve"> </w:t>
      </w:r>
      <w:r>
        <w:rPr/>
        <w:t>Gualandri E., Noera M. Towards a Macroprudential Policy in the EU // Bank Risk, Governance and Regulation / ed. by E. Beccalli, F. Poli. – Basingstoke: Palgrave Macmillan, 2015. – P. 199.</w:t>
      </w:r>
    </w:p>
  </w:footnote>
  <w:footnote w:id="237">
    <w:p>
      <w:pPr>
        <w:pStyle w:val="FootnoteText"/>
        <w:suppressLineNumbers/>
        <w:spacing w:before="0" w:after="200"/>
        <w:ind w:hanging="340" w:left="340"/>
        <w:rPr/>
      </w:pPr>
      <w:r>
        <w:rPr>
          <w:rStyle w:val="FootnoteCharacters"/>
        </w:rPr>
        <w:footnoteRef/>
      </w:r>
      <w:r>
        <w:rPr/>
        <w:tab/>
        <w:t xml:space="preserve"> </w:t>
      </w:r>
      <w:r>
        <w:rPr/>
        <w:t>Gualandri E., Noera M. Towards a Macroprudential Policy in the EU // Bank Risk, Governance and Regulation / ed. by E. Beccalli, F. Poli. – Basingstoke: Palgrave Macmillan, 2015. – P. 184–185.</w:t>
      </w:r>
    </w:p>
  </w:footnote>
  <w:footnote w:id="238">
    <w:p>
      <w:pPr>
        <w:pStyle w:val="FootnoteText"/>
        <w:suppressLineNumbers/>
        <w:spacing w:before="0" w:after="200"/>
        <w:ind w:hanging="340" w:left="340"/>
        <w:rPr/>
      </w:pPr>
      <w:r>
        <w:rPr>
          <w:rStyle w:val="FootnoteCharacters"/>
        </w:rPr>
        <w:footnoteRef/>
      </w:r>
      <w:r>
        <w:rPr/>
        <w:tab/>
        <w:t xml:space="preserve"> </w:t>
      </w:r>
      <w:r>
        <w:rPr/>
        <w:t>Cocozza R. Back to the Future: Prospective Bank Risk Management in a Financial Analysis Perspective // Bank Risk, Governance and Regulation / ed. by E. Beccalli, F. Poli. – Basingstoke: Palgrave Macmillan, 2015. – P. 111.</w:t>
      </w:r>
    </w:p>
  </w:footnote>
  <w:footnote w:id="239">
    <w:p>
      <w:pPr>
        <w:pStyle w:val="FootnoteText"/>
        <w:suppressLineNumbers/>
        <w:spacing w:before="0" w:after="200"/>
        <w:ind w:hanging="340" w:left="340"/>
        <w:rPr/>
      </w:pPr>
      <w:r>
        <w:rPr>
          <w:rStyle w:val="FootnoteCharacters"/>
        </w:rPr>
        <w:footnoteRef/>
      </w:r>
      <w:r>
        <w:rPr/>
        <w:tab/>
        <w:t xml:space="preserve"> </w:t>
      </w:r>
      <w:r>
        <w:rPr/>
        <w:t>Cocozza R. Back to the Future: Prospective Bank Risk Management in a Financial Analysis Perspective // Bank Risk, Governance and Regulation / ed. by E. Beccalli, F. Poli. – Basingstoke: Palgrave Macmillan, 2015. – P. 112–114.</w:t>
      </w:r>
    </w:p>
  </w:footnote>
  <w:footnote w:id="240">
    <w:p>
      <w:pPr>
        <w:pStyle w:val="FootnoteText"/>
        <w:suppressLineNumbers/>
        <w:spacing w:before="0" w:after="200"/>
        <w:ind w:hanging="340" w:left="340"/>
        <w:rPr/>
      </w:pPr>
      <w:r>
        <w:rPr>
          <w:rStyle w:val="FootnoteCharacters"/>
        </w:rPr>
        <w:footnoteRef/>
      </w:r>
      <w:r>
        <w:rPr/>
        <w:tab/>
        <w:t xml:space="preserve"> </w:t>
      </w:r>
      <w:r>
        <w:rPr/>
        <w:t>Gualandri E., Noera M. Towards a Macroprudential Policy in the EU // Bank Risk, Governance and Regulation / ed. by E. Beccalli, F. Poli. – Basingstoke: Palgrave Macmillan, 2015. – P. 191–195.</w:t>
      </w:r>
    </w:p>
  </w:footnote>
  <w:footnote w:id="241">
    <w:p>
      <w:pPr>
        <w:pStyle w:val="FootnoteText"/>
        <w:suppressLineNumbers/>
        <w:spacing w:before="0" w:after="200"/>
        <w:ind w:hanging="340" w:left="340"/>
        <w:rPr/>
      </w:pPr>
      <w:r>
        <w:rPr>
          <w:rStyle w:val="FootnoteCharacters"/>
        </w:rPr>
        <w:footnoteRef/>
      </w:r>
      <w:r>
        <w:rPr/>
        <w:tab/>
        <w:t xml:space="preserve"> </w:t>
      </w:r>
      <w:r>
        <w:rPr/>
        <w:t>Gualandri E., Noera M. Towards a Macroprudential Policy in the EU // Bank Risk, Governance and Regulation / ed. by E. Beccalli, F. Poli. – Basingstoke: Palgrave Macmillan, 2015. – P. 194–196.</w:t>
      </w:r>
    </w:p>
  </w:footnote>
  <w:footnote w:id="242">
    <w:p>
      <w:pPr>
        <w:pStyle w:val="FootnoteText"/>
        <w:suppressLineNumbers/>
        <w:spacing w:before="0" w:after="200"/>
        <w:ind w:hanging="340" w:left="340"/>
        <w:rPr/>
      </w:pPr>
      <w:r>
        <w:rPr>
          <w:rStyle w:val="FootnoteCharacters"/>
        </w:rPr>
        <w:footnoteRef/>
      </w:r>
      <w:r>
        <w:rPr/>
        <w:tab/>
        <w:t xml:space="preserve"> </w:t>
      </w:r>
      <w:r>
        <w:rPr/>
        <w:t>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43">
    <w:p>
      <w:pPr>
        <w:pStyle w:val="FootnoteText"/>
        <w:suppressLineNumbers/>
        <w:spacing w:before="0" w:after="200"/>
        <w:ind w:hanging="340" w:left="340"/>
        <w:rPr/>
      </w:pPr>
      <w:r>
        <w:rPr>
          <w:rStyle w:val="FootnoteCharacters"/>
        </w:rPr>
        <w:footnoteRef/>
      </w:r>
      <w:r>
        <w:rPr/>
        <w:tab/>
        <w:t xml:space="preserve"> </w:t>
      </w:r>
      <w:r>
        <w:rPr/>
        <w:t>Prudential Regulation Authority. The PRA announces a delay to the implementation of Basel 3.1: press release. – London: Bank of England, 17 January 2025.</w:t>
      </w:r>
    </w:p>
  </w:footnote>
  <w:footnote w:id="244">
    <w:p>
      <w:pPr>
        <w:pStyle w:val="FootnoteText"/>
        <w:suppressLineNumbers/>
        <w:spacing w:before="0" w:after="200"/>
        <w:ind w:hanging="340" w:left="340"/>
        <w:rPr/>
      </w:pPr>
      <w:r>
        <w:rPr>
          <w:rStyle w:val="FootnoteCharacters"/>
        </w:rPr>
        <w:footnoteRef/>
      </w:r>
      <w:r>
        <w:rPr/>
        <w:tab/>
        <w:t xml:space="preserve"> </w:t>
      </w:r>
      <w:r>
        <w:rPr/>
        <w:t>European Banking Authority. 2025 EU-wide stress test: Results. – Paris: EBA, 1 August 2025.</w:t>
      </w:r>
    </w:p>
  </w:footnote>
  <w:footnote w:id="245">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46">
    <w:p>
      <w:pPr>
        <w:pStyle w:val="FootnoteText"/>
        <w:suppressLineNumbers/>
        <w:spacing w:before="0" w:after="200"/>
        <w:ind w:hanging="340" w:left="340"/>
        <w:rPr/>
      </w:pPr>
      <w:r>
        <w:rPr>
          <w:rStyle w:val="FootnoteCharacters"/>
        </w:rPr>
        <w:footnoteRef/>
      </w:r>
      <w:r>
        <w:rPr/>
      </w:r>
    </w:p>
  </w:footnote>
  <w:footnote w:id="247">
    <w:p>
      <w:pPr>
        <w:pStyle w:val="FootnoteText"/>
        <w:rPr/>
      </w:pPr>
      <w:r>
        <w:rPr>
          <w:rStyle w:val="FootnoteCharacters"/>
        </w:rPr>
        <w:footnoteRef/>
      </w:r>
      <w:r>
        <w:rPr/>
        <w:tab/>
        <w:t xml:space="preserve"> </w:t>
      </w:r>
      <w:r>
        <w:rPr/>
        <w:t>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 Устойчивость банковской системы и развитие банковской политики: монография / под ред. О.И. Лаврушина. – М.: КНОРУС, 2014. – С. 47.</w:t>
      </w:r>
    </w:p>
    <w:p>
      <w:pPr>
        <w:pStyle w:val="FootnoteText"/>
        <w:suppressLineNumbers/>
        <w:spacing w:before="0" w:after="200"/>
        <w:ind w:hanging="340" w:left="340"/>
        <w:rPr/>
      </w:pPr>
      <w:r>
        <w:rPr/>
      </w:r>
    </w:p>
  </w:footnote>
  <w:footnote w:id="248">
    <w:p>
      <w:pPr>
        <w:pStyle w:val="FootnoteText"/>
        <w:suppressLineNumbers/>
        <w:spacing w:before="0" w:after="200"/>
        <w:ind w:hanging="340" w:left="340"/>
        <w:rPr/>
      </w:pPr>
      <w:r>
        <w:rPr>
          <w:rStyle w:val="FootnoteCharacters"/>
        </w:rPr>
      </w:r>
      <w:r>
        <w:rPr/>
        <w:tab/>
        <w:t xml:space="preserve"> </w:t>
      </w:r>
      <w:r>
        <w:rPr/>
        <w:t>Бердияров Б.Т. Ўзбекистон Республикаси тижорат банкларининг ликвидлилиги ва тўлов қобилиятини таъминлаш масалалари: монография. – Т.: BMA, 2020.</w:t>
      </w:r>
    </w:p>
  </w:footnote>
  <w:footnote w:id="249">
    <w:p>
      <w:pPr>
        <w:pStyle w:val="FootnoteText"/>
        <w:suppressLineNumbers/>
        <w:spacing w:before="0" w:after="200"/>
        <w:ind w:hanging="340" w:left="340"/>
        <w:rPr/>
      </w:pPr>
      <w:r>
        <w:rPr>
          <w:rStyle w:val="FootnoteCharacters"/>
        </w:rPr>
      </w:r>
      <w:r>
        <w:rPr/>
        <w:tab/>
        <w:t xml:space="preserve"> </w:t>
      </w:r>
      <w:r>
        <w:rPr/>
        <w:t>Karaliyev T.M., Sayfiddinov I.F. Tijorat banklari faoliyatini tartibga solish va nazorati: darslik. – T.: Iqtisod-Moliya, 2019. – B. 195–213.</w:t>
      </w:r>
    </w:p>
  </w:footnote>
  <w:footnote w:id="250">
    <w:p>
      <w:pPr>
        <w:pStyle w:val="FootnoteText"/>
        <w:suppressLineNumbers/>
        <w:spacing w:before="0" w:after="200"/>
        <w:ind w:hanging="340" w:left="340"/>
        <w:rPr/>
      </w:pPr>
      <w:r>
        <w:rPr>
          <w:rStyle w:val="FootnoteCharacters"/>
        </w:rPr>
      </w:r>
      <w:r>
        <w:rPr/>
        <w:tab/>
        <w:t xml:space="preserve"> </w:t>
      </w:r>
      <w:r>
        <w:rPr/>
        <w:t>Karaliyev T.M., Sayfiddinov I.F. Tijorat banklari faoliyatini tartibga solish va nazorati: darslik. – T.: Iqtisod-Moliya, 2019. – B. 213.</w:t>
      </w:r>
    </w:p>
  </w:footnote>
  <w:footnote w:id="251">
    <w:p>
      <w:pPr>
        <w:pStyle w:val="FootnoteText"/>
        <w:suppressLineNumbers/>
        <w:spacing w:before="0" w:after="200"/>
        <w:ind w:hanging="340" w:left="340"/>
        <w:rPr/>
      </w:pPr>
      <w:r>
        <w:rPr>
          <w:rStyle w:val="FootnoteCharacters"/>
        </w:rPr>
      </w:r>
      <w:r>
        <w:rPr/>
        <w:tab/>
        <w:t xml:space="preserve"> </w:t>
      </w:r>
      <w:r>
        <w:rPr/>
        <w:t>Tadqiqot natijasida muallif tomonidan dissertatsiyaning 2.1–2.3-paragraflari natijalari asosida ishlab chiqildi.</w:t>
      </w:r>
    </w:p>
  </w:footnote>
  <w:footnote w:id="252">
    <w:p>
      <w:pPr>
        <w:pStyle w:val="FootnoteText"/>
        <w:suppressLineNumbers/>
        <w:spacing w:before="0" w:after="200"/>
        <w:ind w:hanging="340" w:left="340"/>
        <w:rPr/>
      </w:pPr>
      <w:r>
        <w:rPr>
          <w:rStyle w:val="FootnoteCharacters"/>
        </w:rPr>
      </w:r>
      <w:r>
        <w:rPr/>
        <w:tab/>
        <w:t xml:space="preserve"> </w:t>
      </w:r>
      <w:r>
        <w:rPr/>
        <w:t>Tadqiqot natijasida muallif tomonidan ishlab chiqildi.</w:t>
      </w:r>
    </w:p>
  </w:footnote>
  <w:footnote w:id="253">
    <w:p>
      <w:pPr>
        <w:pStyle w:val="FootnoteText"/>
        <w:suppressLineNumbers/>
        <w:spacing w:before="0" w:after="200"/>
        <w:ind w:hanging="340" w:left="340"/>
        <w:rPr/>
      </w:pPr>
      <w:r>
        <w:rPr>
          <w:rStyle w:val="FootnoteCharacters"/>
        </w:rPr>
      </w:r>
      <w:r>
        <w:rPr/>
        <w:tab/>
        <w:t xml:space="preserve"> </w:t>
      </w:r>
      <w:r>
        <w:rPr/>
        <w:t>International Monetary Fund. 2019 Financial Soundness Indicators Compilation Guide. – Washington, DC: IMF, 2019.</w:t>
      </w:r>
    </w:p>
  </w:footnote>
  <w:footnote w:id="254">
    <w:p>
      <w:pPr>
        <w:pStyle w:val="FootnoteText"/>
        <w:suppressLineNumbers/>
        <w:spacing w:before="0" w:after="200"/>
        <w:ind w:hanging="340" w:left="340"/>
        <w:rPr/>
      </w:pPr>
      <w:r>
        <w:rPr>
          <w:rStyle w:val="FootnoteCharacters"/>
        </w:rPr>
      </w:r>
      <w:r>
        <w:rPr/>
        <w:tab/>
        <w:t xml:space="preserve"> </w:t>
      </w:r>
      <w:r>
        <w:rPr/>
        <w:t>Карминский А.М. Кредитные рейтинги и их моделирование. – М.: Изд. дом НИУ ВШЭ, 2015. – С. 91.</w:t>
      </w:r>
    </w:p>
  </w:footnote>
  <w:footnote w:id="255">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256">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135.</w:t>
      </w:r>
    </w:p>
  </w:footnote>
  <w:footnote w:id="257">
    <w:p>
      <w:pPr>
        <w:pStyle w:val="FootnoteText"/>
        <w:suppressLineNumbers/>
        <w:spacing w:before="0" w:after="200"/>
        <w:ind w:hanging="340" w:left="340"/>
        <w:rPr/>
      </w:pPr>
      <w:r>
        <w:rPr>
          <w:rStyle w:val="FootnoteCharacters"/>
        </w:rPr>
      </w:r>
      <w:r>
        <w:rPr/>
        <w:tab/>
        <w:t xml:space="preserve"> </w:t>
      </w:r>
      <w:r>
        <w:rPr/>
        <w:t>Banklar kapitalining monandligiga qo‘yiladigan talablar to‘g‘risidagi nizom (O‘zbekiston Respublikasi Markaziy banki Boshqaruvining 02.10.2025 dagi 21/6-son qarori, ro‘yxat raqami 3697, 28.10.2025) // https://lex.uz/docs/7793613</w:t>
      </w:r>
    </w:p>
  </w:footnote>
  <w:footnote w:id="258">
    <w:p>
      <w:pPr>
        <w:pStyle w:val="FootnoteText"/>
        <w:suppressLineNumbers/>
        <w:spacing w:before="0" w:after="200"/>
        <w:ind w:hanging="340" w:left="340"/>
        <w:rPr/>
      </w:pPr>
      <w:r>
        <w:rPr>
          <w:rStyle w:val="FootnoteCharacters"/>
        </w:rPr>
      </w:r>
      <w:r>
        <w:rPr/>
        <w:tab/>
        <w:t xml:space="preserve"> </w:t>
      </w:r>
      <w:r>
        <w:rPr/>
        <w:t>Basel Committee on Banking Supervision. Basel III: A global regulatory framework for more resilient banks and banking systems. – Basel: Bank for International Settlements, December 2010 (rev. June 2011).</w:t>
      </w:r>
    </w:p>
  </w:footnote>
  <w:footnote w:id="259">
    <w:p>
      <w:pPr>
        <w:pStyle w:val="FootnoteText"/>
        <w:suppressLineNumbers/>
        <w:spacing w:before="0" w:after="200"/>
        <w:ind w:hanging="340" w:left="340"/>
        <w:rPr/>
      </w:pPr>
      <w:r>
        <w:rPr>
          <w:rStyle w:val="FootnoteCharacters"/>
        </w:rPr>
      </w:r>
      <w:r>
        <w:rPr/>
        <w:tab/>
        <w:t xml:space="preserve"> </w:t>
      </w:r>
      <w:r>
        <w:rPr/>
        <w:t>Basel Committee on Banking Supervision. A framework for dealing with domestic systemically important banks. – Basel: Bank for International Settlements, October 2012.</w:t>
      </w:r>
    </w:p>
  </w:footnote>
  <w:footnote w:id="260">
    <w:p>
      <w:pPr>
        <w:pStyle w:val="FootnoteText"/>
        <w:suppressLineNumbers/>
        <w:spacing w:before="0" w:after="200"/>
        <w:ind w:hanging="340" w:left="340"/>
        <w:rPr/>
      </w:pPr>
      <w:r>
        <w:rPr>
          <w:rStyle w:val="FootnoteCharacters"/>
        </w:rPr>
      </w:r>
      <w:r>
        <w:rPr/>
        <w:tab/>
        <w:t xml:space="preserve"> </w:t>
      </w:r>
      <w:r>
        <w:rPr/>
        <w:t>Tarullo D.K. Banking on Basel: The Future of International Financial Regulation. – Washington, DC: Peterson Institute for International Economics, 2008. – P. 228–230.</w:t>
      </w:r>
    </w:p>
  </w:footnote>
  <w:footnote w:id="261">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45.</w:t>
      </w:r>
    </w:p>
  </w:footnote>
  <w:footnote w:id="262">
    <w:p>
      <w:pPr>
        <w:pStyle w:val="FootnoteText"/>
        <w:suppressLineNumbers/>
        <w:spacing w:before="0" w:after="200"/>
        <w:ind w:hanging="340" w:left="340"/>
        <w:rPr/>
      </w:pPr>
      <w:r>
        <w:rPr>
          <w:rStyle w:val="FootnoteCharacters"/>
        </w:rPr>
      </w:r>
      <w:r>
        <w:rPr/>
        <w:tab/>
        <w:t xml:space="preserve"> </w:t>
      </w:r>
      <w:r>
        <w:rPr/>
        <w:t>Устойчивость банковской системы и развитие банковской политики: монография / под ред. О.И. Лаврушина. – М.: КНОРУС, 2014. – С. 52–53.</w:t>
      </w:r>
    </w:p>
  </w:footnote>
  <w:footnote w:id="263">
    <w:p>
      <w:pPr>
        <w:pStyle w:val="FootnoteText"/>
        <w:suppressLineNumbers/>
        <w:spacing w:before="0" w:after="200"/>
        <w:ind w:hanging="340" w:left="340"/>
        <w:rPr/>
      </w:pPr>
      <w:r>
        <w:rPr>
          <w:rStyle w:val="FootnoteCharacters"/>
        </w:rPr>
      </w:r>
      <w:r>
        <w:rPr/>
        <w:tab/>
        <w:t xml:space="preserve"> </w:t>
      </w:r>
      <w:r>
        <w:rPr/>
        <w:t>International Monetary Fund. 2019 Financial Soundness Indicators Compilation Guide. – Washington, DC: IMF, 2019.</w:t>
      </w:r>
    </w:p>
  </w:footnote>
  <w:footnote w:id="264">
    <w:p>
      <w:pPr>
        <w:pStyle w:val="FootnoteText"/>
        <w:suppressLineNumbers/>
        <w:spacing w:before="0" w:after="200"/>
        <w:ind w:hanging="340" w:left="340"/>
        <w:rPr/>
      </w:pPr>
      <w:r>
        <w:rPr>
          <w:rStyle w:val="FootnoteCharacters"/>
        </w:rPr>
      </w:r>
      <w:r>
        <w:rPr/>
        <w:tab/>
        <w:t xml:space="preserve"> </w:t>
      </w:r>
      <w:r>
        <w:rPr/>
        <w:t>Basel Committee on Banking Supervision. Basel III: The Liquidity Coverage Ratio and liquidity risk monitoring tools. – Basel: BIS, January 2013.</w:t>
      </w:r>
    </w:p>
  </w:footnote>
  <w:footnote w:id="265">
    <w:p>
      <w:pPr>
        <w:pStyle w:val="FootnoteText"/>
        <w:suppressLineNumbers/>
        <w:spacing w:before="0" w:after="200"/>
        <w:ind w:hanging="340" w:left="340"/>
        <w:rPr/>
      </w:pPr>
      <w:r>
        <w:rPr>
          <w:rStyle w:val="FootnoteCharacters"/>
        </w:rPr>
      </w:r>
      <w:r>
        <w:rPr/>
        <w:tab/>
        <w:t xml:space="preserve"> </w:t>
      </w:r>
      <w:r>
        <w:rPr/>
        <w:t>Basel Committee on Banking Supervision. Basel III: The Net Stable Funding Ratio. – Basel: BIS, October 2014.</w:t>
      </w:r>
    </w:p>
  </w:footnote>
  <w:footnote w:id="266">
    <w:p>
      <w:pPr>
        <w:pStyle w:val="FootnoteText"/>
        <w:suppressLineNumbers/>
        <w:spacing w:before="0" w:after="200"/>
        <w:ind w:hanging="340" w:left="340"/>
        <w:rPr/>
      </w:pPr>
      <w:r>
        <w:rPr>
          <w:rStyle w:val="FootnoteCharacters"/>
        </w:rPr>
      </w:r>
      <w:r>
        <w:rPr/>
        <w:tab/>
        <w:t xml:space="preserve"> </w:t>
      </w:r>
      <w:r>
        <w:rPr/>
        <w:t>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267">
    <w:p>
      <w:pPr>
        <w:pStyle w:val="FootnoteText"/>
        <w:suppressLineNumbers/>
        <w:spacing w:before="0" w:after="200"/>
        <w:ind w:hanging="340" w:left="340"/>
        <w:rPr/>
      </w:pPr>
      <w:r>
        <w:rPr>
          <w:rStyle w:val="FootnoteCharacters"/>
        </w:rPr>
      </w:r>
      <w:r>
        <w:rPr/>
        <w:tab/>
        <w:t xml:space="preserve"> </w:t>
      </w:r>
      <w:r>
        <w:rPr/>
        <w:t>Устойчивость банковской системы и развитие банковской политики: монография / под ред. О.И. Лаврушина. – М.: КНОРУС, 2014. – С. 52–53.</w:t>
      </w:r>
    </w:p>
  </w:footnote>
  <w:footnote w:id="268">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145–147.</w:t>
      </w:r>
    </w:p>
  </w:footnote>
  <w:footnote w:id="269">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145–147.</w:t>
      </w:r>
    </w:p>
  </w:footnote>
  <w:footnote w:id="270">
    <w:p>
      <w:pPr>
        <w:pStyle w:val="FootnoteText"/>
        <w:suppressLineNumbers/>
        <w:spacing w:before="0" w:after="200"/>
        <w:ind w:hanging="340" w:left="340"/>
        <w:rPr/>
      </w:pPr>
      <w:r>
        <w:rPr>
          <w:rStyle w:val="FootnoteCharacters"/>
        </w:rPr>
      </w:r>
      <w:r>
        <w:rPr/>
        <w:tab/>
        <w:t xml:space="preserve"> </w:t>
      </w:r>
      <w:r>
        <w:rPr/>
        <w:t>Izzi L., Oricchio G., Vitale L. Basel III Credit Rating Systems: An Applied Guide to Quantitative and Qualitative Models. – Basingstoke: Palgrave Macmillan, 2012. – P. 85.</w:t>
      </w:r>
    </w:p>
  </w:footnote>
  <w:footnote w:id="271">
    <w:p>
      <w:pPr>
        <w:pStyle w:val="FootnoteText"/>
        <w:suppressLineNumbers/>
        <w:spacing w:before="0" w:after="200"/>
        <w:ind w:hanging="340" w:left="340"/>
        <w:rPr/>
      </w:pPr>
      <w:r>
        <w:rPr>
          <w:rStyle w:val="FootnoteCharacters"/>
        </w:rPr>
      </w:r>
      <w:r>
        <w:rPr/>
        <w:tab/>
        <w:t xml:space="preserve"> </w:t>
      </w:r>
      <w:r>
        <w:rPr/>
        <w:t>Tadqiqot natijasida muallif tomonidan 3.1.2-jadval asosida ishlab chiqildi.</w:t>
      </w:r>
    </w:p>
  </w:footnote>
  <w:footnote w:id="272">
    <w:p>
      <w:pPr>
        <w:pStyle w:val="FootnoteText"/>
        <w:suppressLineNumbers/>
        <w:spacing w:before="0" w:after="200"/>
        <w:ind w:hanging="340" w:left="340"/>
        <w:rPr/>
      </w:pPr>
      <w:r>
        <w:rPr>
          <w:rStyle w:val="FootnoteCharacters"/>
        </w:rPr>
      </w:r>
      <w:r>
        <w:rPr/>
        <w:tab/>
        <w:t xml:space="preserve"> </w:t>
      </w:r>
      <w:r>
        <w:rPr/>
        <w:t>Карминский А.М. Кредитные рейтинги и их моделирование. – М.: Изд. дом НИУ ВШЭ, 2015. – С. 89–91.</w:t>
      </w:r>
    </w:p>
  </w:footnote>
  <w:footnote w:id="273">
    <w:p>
      <w:pPr>
        <w:pStyle w:val="FootnoteText"/>
        <w:suppressLineNumbers/>
        <w:spacing w:before="0" w:after="200"/>
        <w:ind w:hanging="340" w:left="340"/>
        <w:rPr/>
      </w:pPr>
      <w:r>
        <w:rPr>
          <w:rStyle w:val="FootnoteCharacters"/>
        </w:rPr>
      </w:r>
      <w:r>
        <w:rPr/>
        <w:tab/>
        <w:t xml:space="preserve"> </w:t>
      </w:r>
      <w:r>
        <w:rPr/>
        <w:t>Оценка финансовой устойчивости кредитной организации: учебник / под ред. О.И. Лаврушина, И.Д. Мамоновой. – М.: КНОРУС, 2011. – С. 68.</w:t>
      </w:r>
    </w:p>
  </w:footnote>
  <w:footnote w:id="274">
    <w:p>
      <w:pPr>
        <w:pStyle w:val="FootnoteText"/>
        <w:suppressLineNumbers/>
        <w:spacing w:before="0" w:after="200"/>
        <w:ind w:hanging="340" w:left="340"/>
        <w:rPr/>
      </w:pPr>
      <w:r>
        <w:rPr>
          <w:rStyle w:val="FootnoteCharacters"/>
        </w:rPr>
      </w:r>
      <w:r>
        <w:rPr/>
        <w:tab/>
        <w:t xml:space="preserve"> </w:t>
      </w:r>
      <w:r>
        <w:rPr/>
        <w:t>Устойчивость банковской системы и развитие банковской политики: монография / под ред. О.И. Лаврушина. – М.: КНОРУС, 2014. – С. 51.</w:t>
      </w:r>
    </w:p>
  </w:footnote>
  <w:footnote w:id="275">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276">
    <w:p>
      <w:pPr>
        <w:pStyle w:val="FootnoteText"/>
        <w:suppressLineNumbers/>
        <w:spacing w:before="0" w:after="200"/>
        <w:ind w:hanging="340" w:left="340"/>
        <w:rPr/>
      </w:pPr>
      <w:r>
        <w:rPr>
          <w:rStyle w:val="FootnoteCharacters"/>
        </w:rPr>
      </w:r>
      <w:r>
        <w:rPr/>
        <w:tab/>
        <w:t xml:space="preserve"> </w:t>
      </w:r>
      <w:r>
        <w:rPr/>
        <w:t>Karaliyev T.M., Sayfiddinov I.F. Tijorat banklari faoliyatini tartibga solish va nazorati: darslik. – T.: Iqtisod-Moliya, 2019. – B. 213.</w:t>
      </w:r>
    </w:p>
  </w:footnote>
  <w:footnote w:id="277">
    <w:p>
      <w:pPr>
        <w:pStyle w:val="FootnoteText"/>
        <w:suppressLineNumbers/>
        <w:spacing w:before="0" w:after="200"/>
        <w:ind w:hanging="340" w:left="340"/>
        <w:rPr/>
      </w:pPr>
      <w:r>
        <w:rPr>
          <w:rStyle w:val="FootnoteCharacters"/>
        </w:rPr>
      </w:r>
      <w:r>
        <w:rPr/>
        <w:tab/>
        <w:t xml:space="preserve"> </w:t>
      </w:r>
      <w:r>
        <w:rPr/>
        <w:t>Izzi L., Oricchio G., Vitale L. Basel III Credit Rating Systems: An Applied Guide to Quantitative and Qualitative Models. – Basingstoke: Palgrave Macmillan, 2012. – P. 76.</w:t>
      </w:r>
    </w:p>
  </w:footnote>
  <w:footnote w:id="278">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279">
    <w:p>
      <w:pPr>
        <w:pStyle w:val="FootnoteText"/>
        <w:suppressLineNumbers/>
        <w:spacing w:before="0" w:after="200"/>
        <w:ind w:hanging="340" w:left="340"/>
        <w:rPr/>
      </w:pPr>
      <w:r>
        <w:rPr>
          <w:rStyle w:val="FootnoteCharacters"/>
        </w:rPr>
      </w:r>
      <w:r>
        <w:rPr/>
        <w:tab/>
        <w:t xml:space="preserve"> </w:t>
      </w:r>
      <w:r>
        <w:rPr/>
        <w:t>Cargill T.F. The Financial System, Financial Regulation and Central Bank Policy. – Cambridge: Cambridge University Press, 2017. – P. 193.</w:t>
      </w:r>
    </w:p>
  </w:footnote>
  <w:footnote w:id="280">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281">
    <w:p>
      <w:pPr>
        <w:pStyle w:val="FootnoteText"/>
        <w:suppressLineNumbers/>
        <w:spacing w:before="0" w:after="200"/>
        <w:ind w:hanging="340" w:left="340"/>
        <w:rPr/>
      </w:pPr>
      <w:r>
        <w:rPr>
          <w:rStyle w:val="FootnoteCharacters"/>
        </w:rPr>
      </w:r>
      <w:r>
        <w:rPr/>
        <w:tab/>
        <w:t xml:space="preserve"> </w:t>
      </w:r>
      <w:r>
        <w:rPr/>
        <w:t>Tadqiqot natijasida muallif tomonidan 3.1.5-jadval ma’lumotlari asosida ishlab chiqildi.</w:t>
      </w:r>
    </w:p>
  </w:footnote>
  <w:footnote w:id="282">
    <w:p>
      <w:pPr>
        <w:pStyle w:val="FootnoteText"/>
        <w:suppressLineNumbers/>
        <w:spacing w:before="0" w:after="200"/>
        <w:ind w:hanging="340" w:left="340"/>
        <w:rPr/>
      </w:pPr>
      <w:r>
        <w:rPr>
          <w:rStyle w:val="FootnoteCharacters"/>
        </w:rPr>
      </w:r>
      <w:r>
        <w:rPr/>
        <w:tab/>
        <w:t xml:space="preserve"> </w:t>
      </w:r>
      <w:r>
        <w:rPr/>
        <w:t>Tadqiqot natijasida muallif tomonidan 3.1.3 va 3.1.5-jadvallar ma’lumotlari asosida hisoblandi.</w:t>
      </w:r>
    </w:p>
  </w:footnote>
  <w:footnote w:id="283">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284">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48–49.</w:t>
      </w:r>
    </w:p>
  </w:footnote>
  <w:footnote w:id="285">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139.</w:t>
      </w:r>
    </w:p>
  </w:footnote>
  <w:footnote w:id="286">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87">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88">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89">
    <w:p>
      <w:pPr>
        <w:pStyle w:val="FootnoteText"/>
        <w:suppressLineNumbers/>
        <w:spacing w:before="0" w:after="200"/>
        <w:ind w:hanging="340" w:left="340"/>
        <w:rPr/>
      </w:pPr>
      <w:r>
        <w:rPr>
          <w:rStyle w:val="FootnoteCharacters"/>
        </w:rPr>
        <w:footnoteRef/>
      </w:r>
      <w:r>
        <w:rPr/>
        <w:tab/>
        <w:t xml:space="preserve"> </w:t>
      </w:r>
      <w:r>
        <w:rPr/>
        <w:t>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90">
    <w:p>
      <w:pPr>
        <w:pStyle w:val="FootnoteText"/>
        <w:suppressLineNumbers/>
        <w:spacing w:before="0" w:after="200"/>
        <w:ind w:hanging="340" w:left="340"/>
        <w:rPr/>
      </w:pPr>
      <w:r>
        <w:rPr>
          <w:rStyle w:val="FootnoteCharacters"/>
        </w:rPr>
        <w:footnoteRef/>
      </w:r>
      <w:r>
        <w:rPr/>
        <w:tab/>
        <w:t xml:space="preserve"> </w:t>
      </w:r>
      <w:r>
        <w:rPr/>
        <w:t>Национальный норматив краткосрочной ликвидности для СЗКО: порядок расчета: информация Банка России от 12 августа 2025 г. – https://www.cbr.ru/press/event/?id=26840</w:t>
      </w:r>
    </w:p>
  </w:footnote>
  <w:footnote w:id="291">
    <w:p>
      <w:pPr>
        <w:pStyle w:val="FootnoteText"/>
        <w:suppressLineNumbers/>
        <w:spacing w:before="0" w:after="200"/>
        <w:ind w:hanging="340" w:left="340"/>
        <w:rPr/>
      </w:pPr>
      <w:r>
        <w:rPr>
          <w:rStyle w:val="FootnoteCharacters"/>
        </w:rPr>
        <w:footnoteRef/>
      </w:r>
      <w:r>
        <w:rPr/>
        <w:tab/>
        <w:t xml:space="preserve"> </w:t>
      </w:r>
      <w:r>
        <w:rPr/>
        <w:t>O‘zbekiston Respublikasi Markaziy banki. Moliya sektorini baholash dasturi (FSAP) tavsiyalarini amalga oshirish bo‘yicha 2025–2028-yillarga mo‘ljallangan «yo‘l xaritasi».</w:t>
      </w:r>
    </w:p>
  </w:footnote>
  <w:footnote w:id="292">
    <w:p>
      <w:pPr>
        <w:pStyle w:val="FootnoteText"/>
        <w:suppressLineNumbers/>
        <w:spacing w:before="0" w:after="200"/>
        <w:ind w:hanging="340" w:left="340"/>
        <w:rPr/>
      </w:pPr>
      <w:r>
        <w:rPr>
          <w:rStyle w:val="FootnoteCharacters"/>
        </w:rPr>
        <w:footnoteRef/>
      </w:r>
      <w:r>
        <w:rPr/>
        <w:tab/>
        <w:t xml:space="preserve"> </w:t>
      </w:r>
      <w:r>
        <w:rPr/>
        <w:t>Basel Committee on Banking Supervision. Report on the 2023 banking turmoil. – Basel: BIS, October 2023.</w:t>
      </w:r>
    </w:p>
  </w:footnote>
  <w:footnote w:id="293">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94">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47–49.</w:t>
      </w:r>
    </w:p>
  </w:footnote>
  <w:footnote w:id="295">
    <w:p>
      <w:pPr>
        <w:pStyle w:val="FootnoteText"/>
        <w:suppressLineNumbers/>
        <w:spacing w:before="0" w:after="200"/>
        <w:ind w:hanging="340" w:left="340"/>
        <w:rPr/>
      </w:pPr>
      <w:r>
        <w:rPr>
          <w:rStyle w:val="FootnoteCharacters"/>
        </w:rPr>
        <w:footnoteRef/>
      </w:r>
      <w:r>
        <w:rPr/>
        <w:tab/>
        <w:t xml:space="preserve"> </w:t>
      </w:r>
      <w:r>
        <w:rPr/>
        <w:t>Банк России. Национальная антициклическая надбавка: решение Совета директоров от 8 ноября 2024 г. – https://www.cbr.ru/finstab/instruments/ccb/</w:t>
      </w:r>
    </w:p>
  </w:footnote>
  <w:footnote w:id="296">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97">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53.</w:t>
      </w:r>
    </w:p>
  </w:footnote>
  <w:footnote w:id="298">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143, 146.</w:t>
      </w:r>
    </w:p>
  </w:footnote>
  <w:footnote w:id="299">
    <w:p>
      <w:pPr>
        <w:pStyle w:val="FootnoteText"/>
        <w:suppressLineNumbers/>
        <w:spacing w:before="0" w:after="200"/>
        <w:ind w:hanging="340" w:left="340"/>
        <w:rPr/>
      </w:pPr>
      <w:r>
        <w:rPr>
          <w:rStyle w:val="FootnoteCharacters"/>
        </w:rPr>
        <w:footnoteRef/>
      </w:r>
      <w:r>
        <w:rPr/>
        <w:tab/>
        <w:t xml:space="preserve"> </w:t>
      </w:r>
      <w:r>
        <w:rPr/>
        <w:t>He Wei Ping. Banking Regulation in China: The Role of Public and Private Sectors. – New York: Palgrave Macmillan, 2014. – P. 52.</w:t>
      </w:r>
    </w:p>
  </w:footnote>
  <w:footnote w:id="300">
    <w:p>
      <w:pPr>
        <w:pStyle w:val="FootnoteText"/>
        <w:suppressLineNumbers/>
        <w:spacing w:before="0" w:after="200"/>
        <w:ind w:hanging="340" w:left="340"/>
        <w:rPr/>
      </w:pPr>
      <w:r>
        <w:rPr>
          <w:rStyle w:val="FootnoteCharacters"/>
        </w:rPr>
        <w:footnoteRef/>
      </w:r>
      <w:r>
        <w:rPr/>
        <w:tab/>
        <w:t xml:space="preserve"> </w:t>
      </w:r>
      <w:r>
        <w:rPr/>
        <w:t>He Wei Ping. Banking Regulation in China: The Role of Public and Private Sectors. – New York: Palgrave Macmillan, 2014. – P. 55.</w:t>
      </w:r>
    </w:p>
  </w:footnote>
  <w:footnote w:id="301">
    <w:p>
      <w:pPr>
        <w:pStyle w:val="FootnoteText"/>
        <w:suppressLineNumbers/>
        <w:spacing w:before="0" w:after="200"/>
        <w:ind w:hanging="340" w:left="340"/>
        <w:rPr/>
      </w:pPr>
      <w:r>
        <w:rPr>
          <w:rStyle w:val="FootnoteCharacters"/>
        </w:rPr>
        <w:footnoteRef/>
      </w:r>
      <w:r>
        <w:rPr/>
        <w:tab/>
        <w:t xml:space="preserve"> </w:t>
      </w:r>
      <w:r>
        <w:rPr/>
        <w:t>Law of the People’s Republic of China on Commercial Banks (2015 Amendment). – Beijing: Standing Committee of the National People’s Congress, 29 August 2015.</w:t>
      </w:r>
    </w:p>
  </w:footnote>
  <w:footnote w:id="302">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303">
    <w:p>
      <w:pPr>
        <w:pStyle w:val="FootnoteText"/>
        <w:suppressLineNumbers/>
        <w:spacing w:before="0" w:after="200"/>
        <w:ind w:hanging="340" w:left="340"/>
        <w:rPr/>
      </w:pPr>
      <w:r>
        <w:rPr>
          <w:rStyle w:val="FootnoteCharacters"/>
        </w:rPr>
        <w:footnoteRef/>
      </w:r>
      <w:r>
        <w:rPr/>
        <w:tab/>
        <w:t xml:space="preserve"> </w:t>
      </w:r>
      <w:r>
        <w:rPr/>
        <w:t>National Financial Regulatory Administration. Measures for the Capital Management of Commercial Banks. – Beijing, 2023 (2024-yil 1-yanvardan kuchga kirgan).</w:t>
      </w:r>
    </w:p>
  </w:footnote>
  <w:footnote w:id="304">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305">
    <w:p>
      <w:pPr>
        <w:pStyle w:val="FootnoteText"/>
        <w:suppressLineNumbers/>
        <w:spacing w:before="0" w:after="200"/>
        <w:ind w:hanging="340" w:left="340"/>
        <w:rPr/>
      </w:pPr>
      <w:r>
        <w:rPr>
          <w:rStyle w:val="FootnoteCharacters"/>
        </w:rPr>
        <w:footnoteRef/>
      </w:r>
      <w:r>
        <w:rPr/>
        <w:tab/>
        <w:t xml:space="preserve"> </w:t>
      </w:r>
      <w:r>
        <w:rPr/>
        <w:t>International Monetary Fund. Global Financial Stability Report: Potent Policies for a Successful Normalization. – Washington, DC: IMF, April 2016.</w:t>
      </w:r>
    </w:p>
  </w:footnote>
  <w:footnote w:id="306">
    <w:p>
      <w:pPr>
        <w:pStyle w:val="FootnoteText"/>
        <w:suppressLineNumbers/>
        <w:spacing w:before="0" w:after="200"/>
        <w:ind w:hanging="340" w:left="340"/>
        <w:rPr/>
      </w:pPr>
      <w:r>
        <w:rPr>
          <w:rStyle w:val="FootnoteCharacters"/>
        </w:rPr>
        <w:footnoteRef/>
      </w:r>
      <w:r>
        <w:rPr/>
        <w:tab/>
        <w:t xml:space="preserve"> </w:t>
      </w:r>
      <w:r>
        <w:rPr/>
        <w:t>National Financial Regulatory Administration. Supervisory Statistics of the Banking and Insurance Sectors: 2023-yil IV chorak, 2024-yil IV chorak, 2025-yil III chorak. – https://www.nfra.gov.cn/en/</w:t>
      </w:r>
    </w:p>
  </w:footnote>
  <w:footnote w:id="307">
    <w:p>
      <w:pPr>
        <w:pStyle w:val="FootnoteText"/>
        <w:suppressLineNumbers/>
        <w:spacing w:before="0" w:after="200"/>
        <w:ind w:hanging="340" w:left="340"/>
        <w:rPr/>
      </w:pPr>
      <w:r>
        <w:rPr>
          <w:rStyle w:val="FootnoteCharacters"/>
        </w:rPr>
        <w:footnoteRef/>
      </w:r>
      <w:r>
        <w:rPr/>
        <w:tab/>
        <w:t xml:space="preserve"> </w:t>
      </w:r>
      <w:r>
        <w:rPr/>
        <w:t>International Monetary Fund. People’s Republic of China: 2025 Article IV Consultation – Press Release; Staff Report; and Statement by the Executive Director. IMF Country Report No. 26/44. – Washington, DC: IMF, 2026.</w:t>
      </w:r>
    </w:p>
  </w:footnote>
  <w:footnote w:id="308">
    <w:p>
      <w:pPr>
        <w:pStyle w:val="FootnoteText"/>
        <w:suppressLineNumbers/>
        <w:spacing w:before="0" w:after="200"/>
        <w:ind w:hanging="340" w:left="340"/>
        <w:rPr/>
      </w:pPr>
      <w:r>
        <w:rPr>
          <w:rStyle w:val="FootnoteCharacters"/>
        </w:rPr>
        <w:footnoteRef/>
      </w:r>
      <w:r>
        <w:rPr/>
        <w:tab/>
        <w:t xml:space="preserve"> </w:t>
      </w:r>
      <w:r>
        <w:rPr/>
        <w:t>Charoenwong B., Miao M., Ruan T. Nonperforming Loan Disposals Without Resolution // Management Science. – 2025. – Vol. 71, No. 1. – P. 898–916.</w:t>
      </w:r>
    </w:p>
  </w:footnote>
  <w:footnote w:id="309">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310">
    <w:p>
      <w:pPr>
        <w:pStyle w:val="FootnoteText"/>
        <w:suppressLineNumbers/>
        <w:spacing w:before="0" w:after="200"/>
        <w:ind w:hanging="340" w:left="340"/>
        <w:rPr/>
      </w:pPr>
      <w:r>
        <w:rPr>
          <w:rStyle w:val="FootnoteCharacters"/>
        </w:rPr>
        <w:footnoteRef/>
      </w:r>
      <w:r>
        <w:rPr/>
        <w:tab/>
        <w:t xml:space="preserve"> </w:t>
      </w:r>
      <w:r>
        <w:rPr/>
        <w:t>International Monetary Fund. People’s Republic of China: 2025 Article IV Consultation – Press Release; Staff Report; and Statement by the Executive Director. IMF Country Report No. 26/44. – Washington, DC: IMF, 2026.</w:t>
      </w:r>
    </w:p>
  </w:footnote>
  <w:footnote w:id="311">
    <w:p>
      <w:pPr>
        <w:pStyle w:val="FootnoteText"/>
        <w:suppressLineNumbers/>
        <w:spacing w:before="0" w:after="200"/>
        <w:ind w:hanging="340" w:left="340"/>
        <w:rPr/>
      </w:pPr>
      <w:r>
        <w:rPr>
          <w:rStyle w:val="FootnoteCharacters"/>
        </w:rPr>
        <w:footnoteRef/>
      </w:r>
      <w:r>
        <w:rPr/>
        <w:tab/>
        <w:t xml:space="preserve"> </w:t>
      </w:r>
      <w:r>
        <w:rPr/>
        <w:t>He Wei Ping. Banking Regulation in China: The Role of Public and Private Sectors. – New York: Palgrave Macmillan, 2014. – P. 68, 135.</w:t>
      </w:r>
    </w:p>
  </w:footnote>
  <w:footnote w:id="312">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313">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314">
    <w:p>
      <w:pPr>
        <w:pStyle w:val="FootnoteText"/>
        <w:suppressLineNumbers/>
        <w:spacing w:before="0" w:after="200"/>
        <w:ind w:hanging="340" w:left="340"/>
        <w:rPr/>
      </w:pPr>
      <w:r>
        <w:rPr>
          <w:rStyle w:val="FootnoteCharacters"/>
        </w:rPr>
        <w:footnoteRef/>
      </w:r>
      <w:r>
        <w:rPr/>
        <w:tab/>
        <w:t xml:space="preserve"> </w:t>
      </w:r>
      <w:r>
        <w:rPr/>
        <w:t>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315">
    <w:p>
      <w:pPr>
        <w:pStyle w:val="FootnoteText"/>
        <w:suppressLineNumbers/>
        <w:spacing w:before="0" w:after="200"/>
        <w:ind w:hanging="340" w:left="340"/>
        <w:rPr/>
      </w:pPr>
      <w:r>
        <w:rPr>
          <w:rStyle w:val="FootnoteCharacters"/>
        </w:rPr>
        <w:footnoteRef/>
      </w:r>
      <w:r>
        <w:rPr/>
        <w:tab/>
        <w:t xml:space="preserve"> </w:t>
      </w:r>
      <w:r>
        <w:rPr/>
        <w:t>Tadqiqot natijasida muallif tomonidan ishlab chiqildi.</w:t>
      </w:r>
    </w:p>
  </w:footnote>
  <w:footnote w:id="316">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317">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22–24.</w:t>
      </w:r>
    </w:p>
  </w:footnote>
  <w:footnote w:id="318">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38.</w:t>
      </w:r>
    </w:p>
  </w:footnote>
  <w:footnote w:id="319">
    <w:p>
      <w:pPr>
        <w:pStyle w:val="FootnoteText"/>
        <w:suppressLineNumbers/>
        <w:spacing w:before="0" w:after="200"/>
        <w:ind w:hanging="340" w:left="340"/>
        <w:rPr/>
      </w:pPr>
      <w:r>
        <w:rPr>
          <w:rStyle w:val="FootnoteCharacters"/>
        </w:rPr>
        <w:footnoteRef/>
      </w:r>
      <w:r>
        <w:rPr/>
      </w:r>
    </w:p>
  </w:footnote>
  <w:footnote w:id="320">
    <w:p>
      <w:pPr>
        <w:pStyle w:val="FootnoteText"/>
        <w:rPr/>
      </w:pPr>
      <w:r>
        <w:rPr>
          <w:rStyle w:val="FootnoteCharacters"/>
        </w:rPr>
        <w:footnoteRef/>
      </w:r>
      <w:r>
        <w:rPr/>
        <w:tab/>
        <w:t xml:space="preserve"> </w:t>
      </w:r>
      <w:r>
        <w:rPr/>
        <w:t>He Wei Ping. Banking Regulation in China: The Role of Public and Private Sectors. – New York: Palgrave Macmillan, 2014. – P. 52. Карминский А.М. Кредитные рейтинги и их моделирование. – М.: Изд. дом НИУ ВШЭ, 2015. – С. 89–91.</w:t>
      </w:r>
    </w:p>
    <w:p>
      <w:pPr>
        <w:pStyle w:val="FootnoteText"/>
        <w:suppressLineNumbers/>
        <w:spacing w:before="0" w:after="200"/>
        <w:ind w:hanging="340" w:left="340"/>
        <w:rPr/>
      </w:pPr>
      <w:r>
        <w:rPr/>
      </w:r>
    </w:p>
  </w:footnote>
  <w:footnote w:id="321">
    <w:p>
      <w:pPr>
        <w:pStyle w:val="FootnoteText"/>
        <w:suppressLineNumbers/>
        <w:spacing w:before="0" w:after="200"/>
        <w:ind w:hanging="340" w:left="340"/>
        <w:rPr/>
      </w:pPr>
      <w:r>
        <w:rPr>
          <w:rStyle w:val="FootnoteCharacters"/>
        </w:rPr>
      </w:r>
      <w:r>
        <w:rPr/>
        <w:tab/>
        <w:t xml:space="preserve"> </w:t>
      </w:r>
      <w:r>
        <w:rPr/>
        <w:t>Langohr H., Langohr P. The Rating Agencies and Their Credit Ratings: What They Are, How They Work and Why They Are Relevant. – Chichester: John Wiley &amp; Sons, 2008.</w:t>
      </w:r>
    </w:p>
  </w:footnote>
  <w:footnote w:id="322">
    <w:p>
      <w:pPr>
        <w:pStyle w:val="FootnoteText"/>
        <w:suppressLineNumbers/>
        <w:spacing w:before="0" w:after="200"/>
        <w:ind w:hanging="340" w:left="340"/>
        <w:rPr/>
      </w:pPr>
      <w:r>
        <w:rPr>
          <w:rStyle w:val="FootnoteCharacters"/>
        </w:rPr>
      </w:r>
      <w:r>
        <w:rPr/>
        <w:tab/>
        <w:t xml:space="preserve"> </w:t>
      </w:r>
      <w:r>
        <w:rPr/>
        <w:t>Izzi L., Oricchio G., Vitale L. Basel III Credit Rating Systems: An Applied Guide to Quantitative and Qualitative Models. – Basingstoke: Palgrave Macmillan, 2012.</w:t>
      </w:r>
    </w:p>
  </w:footnote>
  <w:footnote w:id="323">
    <w:p>
      <w:pPr>
        <w:pStyle w:val="FootnoteText"/>
        <w:suppressLineNumbers/>
        <w:spacing w:before="0" w:after="200"/>
        <w:ind w:hanging="340" w:left="340"/>
        <w:rPr/>
      </w:pPr>
      <w:r>
        <w:rPr>
          <w:rStyle w:val="FootnoteCharacters"/>
        </w:rPr>
      </w:r>
      <w:r>
        <w:rPr/>
        <w:tab/>
        <w:t xml:space="preserve"> </w:t>
      </w:r>
      <w:r>
        <w:rPr/>
        <w:t>O‘zbekiston Respublikasi Markaziy banki. Statistik byulleten: 2021-yil. – Toshkent, 2022. – 5.1.8b-jadval; O‘zbekiston Respublikasi Markaziy banki. Statistik byulleten: 2026-yil mart. – Toshkent, 2026. – 5.1.2, 5.1.3, 5.1.4, 5.1.6, 5.1.7, 5.1.8-jadvallar. – https://cbu.uz/uz/statistics/buleten/</w:t>
      </w:r>
    </w:p>
  </w:footnote>
  <w:footnote w:id="324">
    <w:p>
      <w:pPr>
        <w:pStyle w:val="FootnoteText"/>
        <w:suppressLineNumbers/>
        <w:spacing w:before="0" w:after="200"/>
        <w:ind w:hanging="340" w:left="340"/>
        <w:rPr/>
      </w:pPr>
      <w:r>
        <w:rPr>
          <w:rStyle w:val="FootnoteCharacters"/>
        </w:rPr>
      </w:r>
      <w:r>
        <w:rPr/>
        <w:tab/>
        <w:t xml:space="preserve"> </w:t>
      </w:r>
      <w:r>
        <w:rPr/>
        <w:t>Joint Stock Commercial Bank «Uzbek Industrial and Construction Bank» and its subsidiaries. Consolidated Financial Statements for the year ended 31 December 2025 and Independent Auditor’s Report. – Tashkent, 2026. – P. 2–3.</w:t>
      </w:r>
    </w:p>
  </w:footnote>
  <w:footnote w:id="325">
    <w:p>
      <w:pPr>
        <w:pStyle w:val="FootnoteText"/>
        <w:suppressLineNumbers/>
        <w:spacing w:before="0" w:after="200"/>
        <w:ind w:hanging="340" w:left="340"/>
        <w:rPr/>
      </w:pPr>
      <w:r>
        <w:rPr>
          <w:rStyle w:val="FootnoteCharacters"/>
        </w:rPr>
      </w:r>
      <w:r>
        <w:rPr/>
        <w:tab/>
        <w:t xml:space="preserve"> </w:t>
      </w:r>
      <w:r>
        <w:rPr/>
        <w:t>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6">
    <w:p>
      <w:pPr>
        <w:pStyle w:val="FootnoteText"/>
        <w:suppressLineNumbers/>
        <w:spacing w:before="0" w:after="200"/>
        <w:ind w:hanging="340" w:left="340"/>
        <w:rPr/>
      </w:pPr>
      <w:r>
        <w:rPr>
          <w:rStyle w:val="FootnoteCharacters"/>
        </w:rPr>
      </w:r>
      <w:r>
        <w:rPr/>
        <w:tab/>
        <w:t xml:space="preserve"> </w:t>
      </w:r>
      <w:r>
        <w:rPr/>
        <w:t>Joint-Stock Commercial Bank “Business Development Bank”. Consolidated Financial Statements for the year ended 31 December 2025 and Independent Auditors’ Report. – Tashkent: KPMG Audit, 2026. – https://brb.uz/bank-haqida/moliyaviy-korsatkichlar – P. 8–9, 33, 69.</w:t>
      </w:r>
    </w:p>
  </w:footnote>
  <w:footnote w:id="327">
    <w:p>
      <w:pPr>
        <w:pStyle w:val="FootnoteText"/>
        <w:suppressLineNumbers/>
        <w:spacing w:before="0" w:after="200"/>
        <w:ind w:hanging="340" w:left="340"/>
        <w:rPr/>
      </w:pPr>
      <w:r>
        <w:rPr>
          <w:rStyle w:val="FootnoteCharacters"/>
        </w:rPr>
      </w:r>
      <w:r>
        <w:rPr/>
        <w:tab/>
        <w:t xml:space="preserve"> </w:t>
      </w:r>
      <w:r>
        <w:rPr/>
        <w:t>Joint-stock commercial “Xalq Bank” of the Republic of Uzbekistan. Consolidated financial statements and independent auditor’s report for the year ended 31 December 2025. – Tashkent: Ernst &amp; Young, 2026. – https://xb.uz/page/auditorlik-xulosalari-2 – P. 1–2, 12, 56.</w:t>
      </w:r>
    </w:p>
  </w:footnote>
  <w:footnote w:id="328">
    <w:p>
      <w:pPr>
        <w:pStyle w:val="FootnoteText"/>
        <w:suppressLineNumbers/>
        <w:spacing w:before="0" w:after="200"/>
        <w:ind w:hanging="340" w:left="340"/>
        <w:rPr/>
      </w:pPr>
      <w:r>
        <w:rPr>
          <w:rStyle w:val="FootnoteCharacters"/>
        </w:rPr>
      </w:r>
      <w:r>
        <w:rPr/>
        <w:tab/>
        <w:t xml:space="preserve"> </w:t>
      </w:r>
      <w:r>
        <w:rPr/>
        <w:t>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329">
    <w:p>
      <w:pPr>
        <w:pStyle w:val="FootnoteText"/>
        <w:suppressLineNumbers/>
        <w:spacing w:before="0" w:after="200"/>
        <w:ind w:hanging="340" w:left="340"/>
        <w:rPr/>
      </w:pPr>
      <w:r>
        <w:rPr>
          <w:rStyle w:val="FootnoteCharacters"/>
        </w:rPr>
      </w:r>
      <w:r>
        <w:rPr/>
        <w:tab/>
        <w:t xml:space="preserve"> </w:t>
      </w:r>
      <w:r>
        <w:rPr/>
        <w:t>Joint-Stock Commercial “Xalq Bank”. Consolidated financial statements and independent auditor’s report for the year ended 31 December 2022. – Tashkent: Ernst &amp; Young, 2023. – P. 8–10.</w:t>
      </w:r>
    </w:p>
  </w:footnote>
  <w:footnote w:id="330">
    <w:p>
      <w:pPr>
        <w:pStyle w:val="FootnoteText"/>
        <w:suppressLineNumbers/>
        <w:spacing w:before="0" w:after="200"/>
        <w:ind w:hanging="340" w:left="340"/>
        <w:rPr/>
      </w:pPr>
      <w:r>
        <w:rPr>
          <w:rStyle w:val="FootnoteCharacters"/>
        </w:rPr>
      </w:r>
      <w:r>
        <w:rPr/>
        <w:tab/>
        <w:t xml:space="preserve"> </w:t>
      </w:r>
      <w:r>
        <w:rPr/>
        <w:t>Joint Stock Commercial Mortgage Bank “Ipoteka Bank” and its subsidiaries. Consolidated Financial Statements and Independent Auditors’ Report for the year ended 31 December 2023. – Tashkent: Ernst &amp; Young, 2024.</w:t>
      </w:r>
    </w:p>
  </w:footnote>
  <w:footnote w:id="331">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332">
    <w:p>
      <w:pPr>
        <w:pStyle w:val="FootnoteText"/>
        <w:suppressLineNumbers/>
        <w:spacing w:before="0" w:after="200"/>
        <w:ind w:hanging="340" w:left="340"/>
        <w:rPr/>
      </w:pPr>
      <w:r>
        <w:rPr>
          <w:rStyle w:val="FootnoteCharacters"/>
        </w:rPr>
      </w:r>
      <w:r>
        <w:rPr/>
        <w:tab/>
        <w:t xml:space="preserve"> </w:t>
      </w:r>
      <w:r>
        <w:rPr/>
        <w:t>International Monetary Fund. 2019 Financial Soundness Indicators Compilation Guide. – Washington, DC: IMF, 2019.</w:t>
      </w:r>
    </w:p>
  </w:footnote>
  <w:footnote w:id="333">
    <w:p>
      <w:pPr>
        <w:pStyle w:val="FootnoteText"/>
        <w:suppressLineNumbers/>
        <w:spacing w:before="0" w:after="200"/>
        <w:ind w:hanging="340" w:left="340"/>
        <w:rPr/>
      </w:pPr>
      <w:r>
        <w:rPr>
          <w:rStyle w:val="FootnoteCharacters"/>
        </w:rPr>
      </w:r>
      <w:r>
        <w:rPr/>
        <w:tab/>
        <w:t xml:space="preserve"> </w:t>
      </w:r>
      <w:r>
        <w:rPr/>
        <w:t>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34">
    <w:p>
      <w:pPr>
        <w:pStyle w:val="FootnoteText"/>
        <w:suppressLineNumbers/>
        <w:spacing w:before="0" w:after="200"/>
        <w:ind w:hanging="340" w:left="340"/>
        <w:rPr/>
      </w:pPr>
      <w:r>
        <w:rPr>
          <w:rStyle w:val="FootnoteCharacters"/>
        </w:rPr>
      </w:r>
      <w:r>
        <w:rPr/>
        <w:tab/>
        <w:t xml:space="preserve"> </w:t>
      </w:r>
      <w:r>
        <w:rPr/>
        <w:t>«SNS» reyting agentligi. O‘zbekiston tijorat banklarining asosiy ko‘rsatkichlari bazasi (Banks_2025_IV, Banks_2026_II): 36 bank, 2021-yil IV chorak – 2026-yil II chorak.</w:t>
      </w:r>
    </w:p>
  </w:footnote>
  <w:footnote w:id="335">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336">
    <w:p>
      <w:pPr>
        <w:pStyle w:val="FootnoteText"/>
        <w:suppressLineNumbers/>
        <w:spacing w:before="0" w:after="200"/>
        <w:ind w:hanging="340" w:left="340"/>
        <w:rPr/>
      </w:pPr>
      <w:r>
        <w:rPr>
          <w:rStyle w:val="FootnoteCharacters"/>
        </w:rPr>
      </w:r>
      <w:r>
        <w:rPr/>
        <w:tab/>
        <w:t xml:space="preserve"> </w:t>
      </w:r>
      <w:r>
        <w:rPr/>
        <w:t>Joint-stock commercial “Xalq Bank” of the Republic of Uzbekistan. Consolidated financial statements and independent auditor’s report for the year ended 31 December 2025. – Tashkent: Ernst &amp; Young, 2026. – https://xb.uz/page/auditorlik-xulosalari-2 – P. 1–2, 12, 56.</w:t>
      </w:r>
    </w:p>
  </w:footnote>
  <w:footnote w:id="337">
    <w:p>
      <w:pPr>
        <w:pStyle w:val="FootnoteText"/>
        <w:suppressLineNumbers/>
        <w:spacing w:before="0" w:after="200"/>
        <w:ind w:hanging="340" w:left="340"/>
        <w:rPr/>
      </w:pPr>
      <w:r>
        <w:rPr>
          <w:rStyle w:val="FootnoteCharacters"/>
        </w:rPr>
      </w:r>
      <w:r>
        <w:rPr/>
        <w:tab/>
        <w:t xml:space="preserve"> </w:t>
      </w:r>
      <w:r>
        <w:rPr/>
        <w:t>Joint-Stock Commercial Bank “Business Development Bank”. Consolidated Financial Statements for the year ended 31 December 2025 and Independent Auditors’ Report. – Tashkent: KPMG Audit, 2026. – https://brb.uz/bank-haqida/moliyaviy-korsatkichlar – P. 8–9, 33, 69.</w:t>
      </w:r>
    </w:p>
  </w:footnote>
  <w:footnote w:id="338">
    <w:p>
      <w:pPr>
        <w:pStyle w:val="FootnoteText"/>
        <w:suppressLineNumbers/>
        <w:spacing w:before="0" w:after="200"/>
        <w:ind w:hanging="340" w:left="340"/>
        <w:rPr/>
      </w:pPr>
      <w:r>
        <w:rPr>
          <w:rStyle w:val="FootnoteCharacters"/>
        </w:rPr>
      </w:r>
      <w:r>
        <w:rPr/>
        <w:tab/>
        <w:t xml:space="preserve"> </w:t>
      </w:r>
      <w:r>
        <w:rPr/>
        <w:t>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339">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340">
    <w:p>
      <w:pPr>
        <w:pStyle w:val="FootnoteText"/>
        <w:suppressLineNumbers/>
        <w:spacing w:before="0" w:after="200"/>
        <w:ind w:hanging="340" w:left="340"/>
        <w:rPr/>
      </w:pPr>
      <w:r>
        <w:rPr>
          <w:rStyle w:val="FootnoteCharacters"/>
        </w:rPr>
      </w:r>
      <w:r>
        <w:rPr/>
        <w:tab/>
        <w:t xml:space="preserve"> </w:t>
      </w:r>
      <w:r>
        <w:rPr/>
        <w:t>Tadqiqot natijasida muallif tomonidan 3.2.2-jadval ma’lumotlari asosida ishlab chiqildi.</w:t>
      </w:r>
    </w:p>
  </w:footnote>
  <w:footnote w:id="341">
    <w:p>
      <w:pPr>
        <w:pStyle w:val="FootnoteText"/>
        <w:suppressLineNumbers/>
        <w:spacing w:before="0" w:after="200"/>
        <w:ind w:hanging="340" w:left="340"/>
        <w:rPr/>
      </w:pPr>
      <w:r>
        <w:rPr>
          <w:rStyle w:val="FootnoteCharacters"/>
        </w:rPr>
      </w:r>
      <w:r>
        <w:rPr/>
        <w:tab/>
        <w:t xml:space="preserve"> </w:t>
      </w:r>
      <w:r>
        <w:rPr/>
        <w:t>Tadqiqot natijasida muallif tomonidan 3.2.1-rasm ma’lumotlari asosida ishlab chiqildi.</w:t>
      </w:r>
    </w:p>
  </w:footnote>
  <w:footnote w:id="342">
    <w:p>
      <w:pPr>
        <w:pStyle w:val="FootnoteText"/>
        <w:suppressLineNumbers/>
        <w:spacing w:before="0" w:after="200"/>
        <w:ind w:hanging="340" w:left="340"/>
        <w:rPr/>
      </w:pPr>
      <w:r>
        <w:rPr>
          <w:rStyle w:val="FootnoteCharacters"/>
        </w:rPr>
      </w:r>
      <w:r>
        <w:rPr/>
        <w:tab/>
        <w:t xml:space="preserve"> </w:t>
      </w:r>
      <w:r>
        <w:rPr/>
        <w:t>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343">
    <w:p>
      <w:pPr>
        <w:pStyle w:val="FootnoteText"/>
        <w:suppressLineNumbers/>
        <w:spacing w:before="0" w:after="200"/>
        <w:ind w:hanging="340" w:left="340"/>
        <w:rPr/>
      </w:pPr>
      <w:r>
        <w:rPr>
          <w:rStyle w:val="FootnoteCharacters"/>
        </w:rPr>
      </w:r>
      <w:r>
        <w:rPr/>
        <w:tab/>
        <w:t xml:space="preserve"> </w:t>
      </w:r>
      <w:r>
        <w:rPr/>
        <w:t>Langohr H., Langohr P. The Rating Agencies and Their Credit Ratings: What They Are, How They Work and Why They Are Relevant. – Chichester: John Wiley &amp; Sons, 2008.</w:t>
      </w:r>
    </w:p>
  </w:footnote>
  <w:footnote w:id="344">
    <w:p>
      <w:pPr>
        <w:pStyle w:val="FootnoteText"/>
        <w:suppressLineNumbers/>
        <w:spacing w:before="0" w:after="200"/>
        <w:ind w:hanging="340" w:left="340"/>
        <w:rPr/>
      </w:pPr>
      <w:r>
        <w:rPr>
          <w:rStyle w:val="FootnoteCharacters"/>
        </w:rPr>
      </w:r>
      <w:r>
        <w:rPr/>
        <w:tab/>
        <w:t xml:space="preserve"> </w:t>
      </w:r>
      <w:r>
        <w:rPr/>
        <w:t>Izzi L., Oricchio G., Vitale L. Basel III Credit Rating Systems: An Applied Guide to Quantitative and Qualitative Models. – Basingstoke: Palgrave Macmillan, 2012.</w:t>
      </w:r>
    </w:p>
  </w:footnote>
  <w:footnote w:id="345">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 “Business Development Bank”. 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346">
    <w:p>
      <w:pPr>
        <w:pStyle w:val="FootnoteText"/>
        <w:suppressLineNumbers/>
        <w:spacing w:before="0" w:after="200"/>
        <w:ind w:hanging="340" w:left="340"/>
        <w:rPr/>
      </w:pPr>
      <w:r>
        <w:rPr>
          <w:rStyle w:val="FootnoteCharacters"/>
        </w:rPr>
      </w:r>
      <w:r>
        <w:rPr/>
        <w:tab/>
        <w:t xml:space="preserve"> </w:t>
      </w:r>
      <w:r>
        <w:rPr/>
        <w:t>«O‘zsanoatqurilishbank»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7">
    <w:p>
      <w:pPr>
        <w:pStyle w:val="FootnoteText"/>
        <w:suppressLineNumbers/>
        <w:spacing w:before="0" w:after="200"/>
        <w:ind w:hanging="340" w:left="340"/>
        <w:rPr/>
      </w:pPr>
      <w:r>
        <w:rPr>
          <w:rStyle w:val="FootnoteCharacters"/>
        </w:rPr>
      </w:r>
      <w:r>
        <w:rPr/>
        <w:tab/>
        <w:t xml:space="preserve"> </w:t>
      </w:r>
      <w:r>
        <w:rPr/>
        <w:t>«Mikrokreditbank»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8">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49">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«SNS» reyting agentligi. O‘zbekiston tijorat banklarining asosiy ko‘rsatkichlari bazasi (Banks_2025_IV, Banks_2026_II): 36 bank, 2021-yil IV chorak – 2026-yil II chorak.</w:t>
      </w:r>
    </w:p>
  </w:footnote>
  <w:footnote w:id="350">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«SNS» reyting agentligi. O‘zbekiston tijorat banklarining asosiy ko‘rsatkichlari bazasi (Banks_2025_IV, Banks_2026_II): 36 bank, 2021-yil IV chorak – 2026-yil II chorak.</w:t>
      </w:r>
    </w:p>
  </w:footnote>
  <w:footnote w:id="351">
    <w:p>
      <w:pPr>
        <w:pStyle w:val="FootnoteText"/>
        <w:suppressLineNumbers/>
        <w:spacing w:before="0" w:after="200"/>
        <w:ind w:hanging="340" w:left="340"/>
        <w:rPr/>
      </w:pPr>
      <w:r>
        <w:rPr>
          <w:rStyle w:val="FootnoteCharacters"/>
        </w:rPr>
        <w:footnoteRef/>
      </w:r>
      <w:r>
        <w:rPr/>
        <w:tab/>
        <w:t xml:space="preserve"> </w:t>
      </w:r>
      <w:r>
        <w:rPr/>
        <w:t>Шуббар Х.Х., Гиринский А.В. Содержание и принципы устойчивости банковской системы // Вестник РУДН. Серия: Экономика. – 2019. – Т. 27, № 1. – С. 65.</w:t>
      </w:r>
    </w:p>
  </w:footnote>
  <w:footnote w:id="352">
    <w:p>
      <w:pPr>
        <w:pStyle w:val="FootnoteText"/>
        <w:suppressLineNumbers/>
        <w:spacing w:before="0" w:after="200"/>
        <w:ind w:hanging="340" w:left="340"/>
        <w:rPr/>
      </w:pPr>
      <w:r>
        <w:rPr>
          <w:rStyle w:val="FootnoteCharacters"/>
        </w:rPr>
        <w:footnoteRef/>
      </w:r>
      <w:r>
        <w:rPr/>
        <w:tab/>
        <w:t xml:space="preserve"> </w:t>
      </w:r>
      <w:r>
        <w:rPr/>
        <w:t>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353">
    <w:p>
      <w:pPr>
        <w:pStyle w:val="FootnoteText"/>
        <w:suppressLineNumbers/>
        <w:spacing w:before="0" w:after="200"/>
        <w:ind w:hanging="340" w:left="340"/>
        <w:rPr/>
      </w:pPr>
      <w:r>
        <w:rPr>
          <w:rStyle w:val="FootnoteCharacters"/>
        </w:rPr>
        <w:footnoteRef/>
      </w:r>
      <w:r>
        <w:rPr/>
        <w:tab/>
        <w:t xml:space="preserve"> </w:t>
      </w:r>
      <w:r>
        <w:rPr/>
        <w:t>Schinasi G.J. Defining Financial Stability: IMF Working Paper WP/04/187. – Washington, DC: International Monetary Fund, 2004. – 18 p.</w:t>
      </w:r>
    </w:p>
  </w:footnote>
  <w:footnote w:id="354">
    <w:p>
      <w:pPr>
        <w:pStyle w:val="FootnoteText"/>
        <w:suppressLineNumbers/>
        <w:spacing w:before="0" w:after="200"/>
        <w:ind w:hanging="340" w:left="340"/>
        <w:rPr/>
      </w:pPr>
      <w:r>
        <w:rPr>
          <w:rStyle w:val="FootnoteCharacters"/>
        </w:rPr>
        <w:footnoteRef/>
      </w:r>
      <w:r>
        <w:rPr/>
        <w:tab/>
        <w:t xml:space="preserve"> </w:t>
      </w:r>
      <w:r>
        <w:rPr/>
        <w:t>Mishkin F.S. Global Financial Instability: Framework, Events, Issues // Journal of Economic Perspectives. – 1999. – Vol. 13, No. 4. – P. 3–20.</w:t>
      </w:r>
    </w:p>
  </w:footnote>
  <w:footnote w:id="355">
    <w:p>
      <w:pPr>
        <w:pStyle w:val="FootnoteText"/>
        <w:suppressLineNumbers/>
        <w:spacing w:before="0" w:after="200"/>
        <w:ind w:hanging="340" w:left="340"/>
        <w:rPr/>
      </w:pPr>
      <w:r>
        <w:rPr>
          <w:rStyle w:val="FootnoteCharacters"/>
        </w:rPr>
        <w:footnoteRef/>
      </w:r>
      <w:r>
        <w:rPr/>
        <w:tab/>
        <w:t xml:space="preserve"> </w:t>
      </w:r>
      <w:r>
        <w:rPr/>
        <w:t>Hendrickson J.M. Regulation and Instability in U.S. Commercial Banking: A History of Crises. – Basingstoke: Palgrave Macmillan, 2011. – P. 6–7.</w:t>
      </w:r>
    </w:p>
  </w:footnote>
  <w:footnote w:id="356">
    <w:p>
      <w:pPr>
        <w:pStyle w:val="FootnoteText"/>
        <w:suppressLineNumbers/>
        <w:spacing w:before="0" w:after="200"/>
        <w:ind w:hanging="340" w:left="340"/>
        <w:rPr/>
      </w:pPr>
      <w:r>
        <w:rPr>
          <w:rStyle w:val="FootnoteCharacters"/>
        </w:rPr>
        <w:footnoteRef/>
      </w:r>
      <w:r>
        <w:rPr/>
        <w:tab/>
        <w:t xml:space="preserve"> </w:t>
      </w:r>
      <w:r>
        <w:rPr/>
        <w:t>Houben A., Kakes J., Schinasi G. Toward a Framework for Safeguarding Financial Stability: IMF Working Paper WP/04/101. – Washington, DC: International Monetary Fund, 2004. – P. 11.</w:t>
      </w:r>
    </w:p>
  </w:footnote>
  <w:footnote w:id="357">
    <w:p>
      <w:pPr>
        <w:pStyle w:val="FootnoteText"/>
        <w:suppressLineNumbers/>
        <w:spacing w:before="0" w:after="200"/>
        <w:ind w:hanging="340" w:left="340"/>
        <w:rPr/>
      </w:pPr>
      <w:r>
        <w:rPr>
          <w:rStyle w:val="FootnoteCharacters"/>
        </w:rPr>
        <w:footnoteRef/>
      </w:r>
      <w:r>
        <w:rPr/>
        <w:tab/>
        <w:t xml:space="preserve"> </w:t>
      </w:r>
      <w:r>
        <w:rPr/>
        <w:t>European Central Bank. Financial stability and macroprudential policy. – https://www.ecb.europa.eu/paym/financial-stability/html/index.en.html</w:t>
      </w:r>
    </w:p>
  </w:footnote>
  <w:footnote w:id="358">
    <w:p>
      <w:pPr>
        <w:pStyle w:val="FootnoteText"/>
        <w:suppressLineNumbers/>
        <w:spacing w:before="0" w:after="200"/>
        <w:ind w:hanging="340" w:left="340"/>
        <w:rPr/>
      </w:pPr>
      <w:r>
        <w:rPr>
          <w:rStyle w:val="FootnoteCharacters"/>
        </w:rPr>
        <w:footnoteRef/>
      </w:r>
      <w:r>
        <w:rPr/>
        <w:tab/>
        <w:t xml:space="preserve"> </w:t>
      </w:r>
      <w:r>
        <w:rPr/>
        <w:t>Čihák M. How Do Central Banks Write on Financial Stability?: IMF Working Paper WP/06/163. – Washington, DC: International Monetary Fund, 2006. – P. 19.</w:t>
      </w:r>
    </w:p>
  </w:footnote>
  <w:footnote w:id="359">
    <w:p>
      <w:pPr>
        <w:pStyle w:val="FootnoteText"/>
        <w:suppressLineNumbers/>
        <w:spacing w:before="0" w:after="200"/>
        <w:ind w:hanging="340" w:left="340"/>
        <w:rPr/>
      </w:pPr>
      <w:r>
        <w:rPr>
          <w:rStyle w:val="FootnoteCharacters"/>
        </w:rPr>
        <w:footnoteRef/>
      </w:r>
      <w:r>
        <w:rPr/>
        <w:tab/>
        <w:t xml:space="preserve"> </w:t>
      </w:r>
      <w:r>
        <w:rPr/>
        <w:t>Sattarov O.B. O‘zbekiston Respublikasi bank tizimi barqarorligini ta’minlash metodologiyasini takomillashtirish: iqtisodiyot fanlari doktori (DSc) dissertatsiyasi avtoreferati. – Toshkent, 2018. – B. 13.</w:t>
      </w:r>
    </w:p>
  </w:footnote>
  <w:footnote w:id="360">
    <w:p>
      <w:pPr>
        <w:pStyle w:val="FootnoteText"/>
        <w:suppressLineNumbers/>
        <w:spacing w:before="0" w:after="200"/>
        <w:ind w:hanging="340" w:left="340"/>
        <w:rPr/>
      </w:pPr>
      <w:r>
        <w:rPr>
          <w:rStyle w:val="FootnoteCharacters"/>
        </w:rPr>
        <w:footnoteRef/>
      </w:r>
      <w:r>
        <w:rPr/>
        <w:tab/>
        <w:t xml:space="preserve"> </w:t>
      </w:r>
      <w:r>
        <w:rPr/>
        <w:t>Bozorov R.X. Tijorat banklari moliyaviy barqarorligini ta’minlashni takomillashtirish: iqtisodiyot fanlari bo‘yicha falsafa doktori (PhD) dissertatsiyasi avtoreferati. – Toshkent, 2020. – B. 11.</w:t>
      </w:r>
    </w:p>
  </w:footnote>
  <w:footnote w:id="361">
    <w:p>
      <w:pPr>
        <w:pStyle w:val="FootnoteText"/>
        <w:suppressLineNumbers/>
        <w:spacing w:before="0" w:after="200"/>
        <w:ind w:hanging="340" w:left="340"/>
        <w:rPr/>
      </w:pPr>
      <w:r>
        <w:rPr>
          <w:rStyle w:val="FootnoteCharacters"/>
        </w:rPr>
        <w:footnoteRef/>
      </w:r>
      <w:r>
        <w:rPr/>
        <w:tab/>
        <w:t xml:space="preserve"> </w:t>
      </w:r>
      <w:r>
        <w:rPr/>
        <w:t>Sadikov I.G. Iqtisodiyotni transformatsiyalash jarayonida tijorat banklarining moliyaviy barqarorligini ta’minlash yo‘llari: iqtisodiyot fanlari bo‘yicha falsafa doktori (PhD) dissertatsiyasi avtoreferati. – Toshkent, 2025. – B. 11.</w:t>
      </w:r>
    </w:p>
  </w:footnote>
  <w:footnote w:id="362">
    <w:p>
      <w:pPr>
        <w:pStyle w:val="FootnoteText"/>
        <w:suppressLineNumbers/>
        <w:spacing w:before="0" w:after="200"/>
        <w:ind w:hanging="340" w:left="340"/>
        <w:rPr/>
      </w:pPr>
      <w:r>
        <w:rPr>
          <w:rStyle w:val="FootnoteCharacters"/>
        </w:rPr>
        <w:footnoteRef/>
      </w:r>
      <w:r>
        <w:rPr/>
        <w:tab/>
        <w:t xml:space="preserve"> </w:t>
      </w:r>
      <w:r>
        <w:rPr/>
        <w:t>Madaminov B.A. Tijorat banklarida risk-menejment tizimini takomillashtirish asosida moliyaviy barqarorlikni ta’minlash metodologiyasi: iqtisodiyot fanlari doktori (DSc) dissertatsiyasi avtoreferati. – Toshkent, 2026. – B. 12.</w:t>
      </w:r>
    </w:p>
  </w:footnote>
  <w:footnote w:id="363">
    <w:p>
      <w:pPr>
        <w:pStyle w:val="FootnoteText"/>
        <w:suppressLineNumbers/>
        <w:spacing w:before="0" w:after="200"/>
        <w:ind w:hanging="340" w:left="340"/>
        <w:rPr/>
      </w:pPr>
      <w:r>
        <w:rPr>
          <w:rStyle w:val="FootnoteCharacters"/>
        </w:rPr>
        <w:footnoteRef/>
      </w:r>
      <w:r>
        <w:rPr/>
        <w:tab/>
        <w:t xml:space="preserve"> </w:t>
      </w:r>
      <w:r>
        <w:rPr/>
        <w:t>Abdishukurov Sh.Sh. Tijorat banklarining moliyaviy barqarorligini ta’minlash yo‘nalishlari: iqtisodiyot fanlari bo‘yicha falsafa doktori (PhD) dissertatsiyasi avtoreferati. – Toshkent, 2026. – B. 15.</w:t>
      </w:r>
    </w:p>
  </w:footnote>
  <w:footnote w:id="364">
    <w:p>
      <w:pPr>
        <w:pStyle w:val="FootnoteText"/>
        <w:suppressLineNumbers/>
        <w:spacing w:before="0" w:after="200"/>
        <w:ind w:hanging="340" w:left="340"/>
        <w:rPr/>
      </w:pPr>
      <w:r>
        <w:rPr>
          <w:rStyle w:val="FootnoteCharacters"/>
        </w:rPr>
        <w:footnoteRef/>
      </w:r>
      <w:r>
        <w:rPr/>
        <w:tab/>
        <w:t xml:space="preserve"> </w:t>
      </w:r>
      <w:r>
        <w:rPr/>
        <w:t>Sharipova N.H. Tijorat banklari moliyaviy barqarorligini mustahkamlashning konseptual asoslarini takomillashtirish: iqtisodiyot fanlari doktori (DSc) dissertatsiyasi avtoreferati. – Toshkent, 2026. – B. 13–14.</w:t>
      </w:r>
    </w:p>
  </w:footnote>
  <w:footnote w:id="365">
    <w:p>
      <w:pPr>
        <w:pStyle w:val="FootnoteText"/>
        <w:suppressLineNumbers/>
        <w:spacing w:before="0" w:after="200"/>
        <w:ind w:hanging="340" w:left="340"/>
        <w:rPr/>
      </w:pPr>
      <w:r>
        <w:rPr>
          <w:rStyle w:val="FootnoteCharacters"/>
        </w:rPr>
        <w:footnoteRef/>
      </w:r>
      <w:r>
        <w:rPr/>
        <w:tab/>
        <w:t xml:space="preserve"> </w:t>
      </w:r>
      <w:r>
        <w:rPr/>
        <w:t>Crockett A. Why Is Financial Stability a Goal of Public Policy? // Maintaining Financial Stability in a Global Economy. – Kansas City: Federal Reserve Bank of Kansas City, 1997. – P. 7–36.</w:t>
      </w:r>
    </w:p>
  </w:footnote>
  <w:footnote w:id="366">
    <w:p>
      <w:pPr>
        <w:pStyle w:val="FootnoteText"/>
        <w:suppressLineNumbers/>
        <w:spacing w:before="0" w:after="200"/>
        <w:ind w:hanging="340" w:left="340"/>
        <w:rPr/>
      </w:pPr>
      <w:r>
        <w:rPr>
          <w:rStyle w:val="FootnoteCharacters"/>
        </w:rPr>
        <w:footnoteRef/>
      </w:r>
      <w:r>
        <w:rPr/>
      </w:r>
    </w:p>
  </w:footnote>
  <w:footnote w:id="367">
    <w:p>
      <w:pPr>
        <w:pStyle w:val="FootnoteText"/>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17–28. Peláez C.M., Peláez C.A. Regulation of Banks and Finance: Theory and Policy after the Credit Crisis. – Basingstoke: Palgrave Macmillan, 2009. – P. 4, 17.</w:t>
      </w:r>
    </w:p>
    <w:p>
      <w:pPr>
        <w:pStyle w:val="FootnoteText"/>
        <w:suppressLineNumbers/>
        <w:spacing w:before="0" w:after="200"/>
        <w:ind w:hanging="340" w:left="340"/>
        <w:rPr/>
      </w:pPr>
      <w:r>
        <w:rPr/>
      </w:r>
    </w:p>
  </w:footnote>
  <w:footnote w:id="368">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19–23.</w:t>
      </w:r>
    </w:p>
  </w:footnote>
  <w:footnote w:id="369">
    <w:p>
      <w:pPr>
        <w:pStyle w:val="FootnoteText"/>
        <w:suppressLineNumbers/>
        <w:spacing w:before="0" w:after="200"/>
        <w:ind w:hanging="340" w:left="340"/>
        <w:rPr/>
      </w:pPr>
      <w:r>
        <w:rPr>
          <w:rStyle w:val="FootnoteCharacters"/>
        </w:rPr>
        <w:footnoteRef/>
      </w:r>
      <w:r>
        <w:rPr/>
        <w:tab/>
        <w:t xml:space="preserve"> </w:t>
      </w:r>
      <w:r>
        <w:rPr/>
        <w:t>Cargill T.F. The Financial System, Financial Regulation and Central Bank Policy. – Cambridge: Cambridge University Press, 2017. – P. 184–185.</w:t>
      </w:r>
    </w:p>
  </w:footnote>
  <w:footnote w:id="370">
    <w:p>
      <w:pPr>
        <w:pStyle w:val="FootnoteText"/>
        <w:suppressLineNumbers/>
        <w:spacing w:before="0" w:after="200"/>
        <w:ind w:hanging="340" w:left="340"/>
        <w:rPr/>
      </w:pPr>
      <w:r>
        <w:rPr>
          <w:rStyle w:val="FootnoteCharacters"/>
        </w:rPr>
        <w:footnoteRef/>
      </w:r>
      <w:r>
        <w:rPr/>
        <w:tab/>
        <w:t xml:space="preserve"> </w:t>
      </w:r>
      <w:r>
        <w:rPr/>
        <w:t>Peláez C.M., Peláez C.A. Regulation of Banks and Finance: Theory and Policy after the Credit Crisis. – Basingstoke: Palgrave Macmillan, 2009. – P. 61–62.</w:t>
      </w:r>
    </w:p>
  </w:footnote>
  <w:footnote w:id="371">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16, 27.</w:t>
      </w:r>
    </w:p>
  </w:footnote>
  <w:footnote w:id="372">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49–53.</w:t>
      </w:r>
    </w:p>
  </w:footnote>
  <w:footnote w:id="373">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374">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49.</w:t>
      </w:r>
    </w:p>
  </w:footnote>
  <w:footnote w:id="375">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57–61.</w:t>
      </w:r>
    </w:p>
  </w:footnote>
  <w:footnote w:id="376">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45.</w:t>
      </w:r>
    </w:p>
  </w:footnote>
  <w:footnote w:id="377">
    <w:p>
      <w:pPr>
        <w:pStyle w:val="FootnoteText"/>
        <w:suppressLineNumbers/>
        <w:spacing w:before="0" w:after="200"/>
        <w:ind w:hanging="340" w:left="340"/>
        <w:rPr/>
      </w:pPr>
      <w:r>
        <w:rPr>
          <w:rStyle w:val="FootnoteCharacters"/>
        </w:rPr>
        <w:footnoteRef/>
      </w:r>
      <w:r>
        <w:rPr/>
        <w:tab/>
        <w:t xml:space="preserve"> </w:t>
      </w:r>
      <w:r>
        <w:rPr/>
        <w:t>Карминский А.М. Кредитные рейтинги и их моделирование. – М.: Изд. дом НИУ ВШЭ, 2015. – С. 100, 193–195.</w:t>
      </w:r>
    </w:p>
  </w:footnote>
  <w:footnote w:id="378">
    <w:p>
      <w:pPr>
        <w:pStyle w:val="FootnoteText"/>
        <w:suppressLineNumbers/>
        <w:spacing w:before="0" w:after="200"/>
        <w:ind w:hanging="340" w:left="340"/>
        <w:rPr/>
      </w:pPr>
      <w:r>
        <w:rPr>
          <w:rStyle w:val="FootnoteCharacters"/>
        </w:rPr>
        <w:footnoteRef/>
      </w:r>
      <w:r>
        <w:rPr/>
        <w:tab/>
        <w:t xml:space="preserve"> </w:t>
      </w:r>
      <w:r>
        <w:rPr/>
        <w:t>Čihák M. How Do Central Banks Write on Financial Stability?: IMF Working Paper WP/06/163. – Washington, DC: International Monetary Fund, 2006. – P. 19.</w:t>
      </w:r>
    </w:p>
  </w:footnote>
  <w:footnote w:id="379">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62–69.</w:t>
      </w:r>
    </w:p>
  </w:footnote>
  <w:footnote w:id="380">
    <w:p>
      <w:pPr>
        <w:pStyle w:val="FootnoteText"/>
        <w:suppressLineNumbers/>
        <w:spacing w:before="0" w:after="200"/>
        <w:ind w:hanging="340" w:left="340"/>
        <w:rPr/>
      </w:pPr>
      <w:r>
        <w:rPr>
          <w:rStyle w:val="FootnoteCharacters"/>
        </w:rPr>
        <w:footnoteRef/>
      </w:r>
      <w:r>
        <w:rPr/>
      </w:r>
    </w:p>
  </w:footnote>
  <w:footnote w:id="381">
    <w:p>
      <w:pPr>
        <w:pStyle w:val="FootnoteText"/>
        <w:rPr/>
      </w:pPr>
      <w:r>
        <w:rPr>
          <w:rStyle w:val="FootnoteCharacters"/>
        </w:rPr>
        <w:footnoteRef/>
      </w:r>
      <w:r>
        <w:rPr/>
        <w:tab/>
        <w:t xml:space="preserve"> </w:t>
      </w:r>
      <w:r>
        <w:rPr/>
        <w:t>Bozorov R.X. Tijorat banklari moliyaviy barqarorligini ta’minlashni takomillashtirish: iqtisodiyot fanlari bo‘yicha falsafa doktori (PhD) dissertatsiyasi avtoreferati. – Toshkent, 2020. – B. 11. Athanasoglou P.P., Brissimis S.N., Delis M.D. Bank-specific, industry-specific and macroeconomic determinants of bank profitability // Journal of International Financial Markets, Institutions and Money. – 2008. – Vol. 18, No. 2. – P. 121–136.</w:t>
      </w:r>
    </w:p>
    <w:p>
      <w:pPr>
        <w:pStyle w:val="FootnoteText"/>
        <w:suppressLineNumbers/>
        <w:spacing w:before="0" w:after="200"/>
        <w:ind w:hanging="340" w:left="340"/>
        <w:rPr/>
      </w:pPr>
      <w:r>
        <w:rPr/>
      </w:r>
    </w:p>
  </w:footnote>
  <w:footnote w:id="382">
    <w:p>
      <w:pPr>
        <w:pStyle w:val="FootnoteText"/>
        <w:suppressLineNumbers/>
        <w:spacing w:before="0" w:after="200"/>
        <w:ind w:hanging="340" w:left="340"/>
        <w:rPr/>
      </w:pPr>
      <w:r>
        <w:rPr>
          <w:rStyle w:val="FootnoteCharacters"/>
        </w:rPr>
      </w:r>
      <w:r>
        <w:rPr/>
        <w:tab/>
        <w:t xml:space="preserve"> </w:t>
      </w:r>
      <w:r>
        <w:rPr/>
        <w:t>Laeven L., Levine R. Bank governance, regulation and risk taking // Journal of Financial Economics. – 2009. – Vol. 93, No. 2. – P. 259–275.</w:t>
      </w:r>
    </w:p>
  </w:footnote>
  <w:footnote w:id="383">
    <w:p>
      <w:pPr>
        <w:pStyle w:val="FootnoteText"/>
        <w:suppressLineNumbers/>
        <w:spacing w:before="0" w:after="200"/>
        <w:ind w:hanging="340" w:left="340"/>
        <w:rPr/>
      </w:pPr>
      <w:r>
        <w:rPr>
          <w:rStyle w:val="FootnoteCharacters"/>
        </w:rPr>
      </w:r>
      <w:r>
        <w:rPr/>
        <w:tab/>
        <w:t xml:space="preserve"> </w:t>
      </w:r>
      <w:r>
        <w:rPr/>
        <w:t>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84">
    <w:p>
      <w:pPr>
        <w:pStyle w:val="FootnoteText"/>
        <w:suppressLineNumbers/>
        <w:spacing w:before="0" w:after="200"/>
        <w:ind w:hanging="340" w:left="340"/>
        <w:rPr/>
      </w:pPr>
      <w:r>
        <w:rPr>
          <w:rStyle w:val="FootnoteCharacters"/>
        </w:rPr>
      </w:r>
      <w:r>
        <w:rPr/>
        <w:tab/>
        <w:t xml:space="preserve"> </w:t>
      </w:r>
      <w:r>
        <w:rPr/>
        <w:t>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385">
    <w:p>
      <w:pPr>
        <w:pStyle w:val="FootnoteText"/>
        <w:suppressLineNumbers/>
        <w:spacing w:before="0" w:after="200"/>
        <w:ind w:hanging="340" w:left="340"/>
        <w:rPr/>
      </w:pPr>
      <w:r>
        <w:rPr>
          <w:rStyle w:val="FootnoteCharacters"/>
        </w:rPr>
      </w:r>
      <w:r>
        <w:rPr/>
        <w:tab/>
        <w:t xml:space="preserve"> </w:t>
      </w:r>
      <w:r>
        <w:rPr/>
        <w:t>Iannotta G., Nocera G., Sironi A. Ownership structure, risk and performance in the European banking industry // Journal of Banking &amp; Finance. – 2007. – Vol. 31, No. 7. – P. 2127–2149.</w:t>
      </w:r>
    </w:p>
  </w:footnote>
  <w:footnote w:id="386">
    <w:p>
      <w:pPr>
        <w:pStyle w:val="FootnoteText"/>
        <w:suppressLineNumbers/>
        <w:spacing w:before="0" w:after="200"/>
        <w:ind w:hanging="340" w:left="340"/>
        <w:rPr/>
      </w:pPr>
      <w:r>
        <w:rPr>
          <w:rStyle w:val="FootnoteCharacters"/>
        </w:rPr>
      </w:r>
      <w:r>
        <w:rPr/>
        <w:tab/>
        <w:t xml:space="preserve"> </w:t>
      </w:r>
      <w:r>
        <w:rPr/>
        <w:t>Cornett M.M., Guo L., Khaksari S., Tehranian H. The impact of state ownership on performance differences in privately-owned versus state-owned banks: An international comparison // Journal of Financial Intermediation. – 2010. – Vol. 19, No. 1. – P. 74–94.</w:t>
      </w:r>
    </w:p>
  </w:footnote>
  <w:footnote w:id="387">
    <w:p>
      <w:pPr>
        <w:pStyle w:val="FootnoteText"/>
        <w:suppressLineNumbers/>
        <w:spacing w:before="0" w:after="200"/>
        <w:ind w:hanging="340" w:left="340"/>
        <w:rPr/>
      </w:pPr>
      <w:r>
        <w:rPr>
          <w:rStyle w:val="FootnoteCharacters"/>
        </w:rPr>
      </w:r>
      <w:r>
        <w:rPr/>
        <w:tab/>
        <w:t xml:space="preserve"> </w:t>
      </w:r>
      <w:r>
        <w:rPr/>
        <w:t>Foos D., Norden L., Weber M. Loan growth and riskiness of banks // Journal of Banking &amp; Finance. – 2010. – Vol. 34, No. 12. – P. 2929–2940.</w:t>
      </w:r>
    </w:p>
  </w:footnote>
  <w:footnote w:id="388">
    <w:p>
      <w:pPr>
        <w:pStyle w:val="FootnoteText"/>
        <w:suppressLineNumbers/>
        <w:spacing w:before="0" w:after="200"/>
        <w:ind w:hanging="340" w:left="340"/>
        <w:rPr/>
      </w:pPr>
      <w:r>
        <w:rPr>
          <w:rStyle w:val="FootnoteCharacters"/>
        </w:rPr>
      </w:r>
      <w:r>
        <w:rPr/>
        <w:tab/>
        <w:t xml:space="preserve"> </w:t>
      </w:r>
      <w:r>
        <w:rPr/>
        <w:t>Demirgüç-Kunt A., Huizinga H. Bank activity and funding strategies: The impact on risk and returns // Journal of Financial Economics. – 2010. – Vol. 98, No. 3. – P. 626–650.</w:t>
      </w:r>
    </w:p>
  </w:footnote>
  <w:footnote w:id="389">
    <w:p>
      <w:pPr>
        <w:pStyle w:val="FootnoteText"/>
        <w:suppressLineNumbers/>
        <w:spacing w:before="0" w:after="200"/>
        <w:ind w:hanging="340" w:left="340"/>
        <w:rPr/>
      </w:pPr>
      <w:r>
        <w:rPr>
          <w:rStyle w:val="FootnoteCharacters"/>
        </w:rPr>
      </w:r>
      <w:r>
        <w:rPr/>
        <w:tab/>
        <w:t xml:space="preserve"> </w:t>
      </w:r>
      <w:r>
        <w:rPr/>
        <w:t>Louzis D.P., Vouldis A.T., Metaxas V.L. Macroeconomic and bank-specific determinants of non-performing loans in Greece: A comparative study of mortgage, business and consumer loan portfolios // Journal of Banking &amp; Finance. – 2012. – Vol. 36, No. 4. – P. 1012–1027.</w:t>
      </w:r>
    </w:p>
  </w:footnote>
  <w:footnote w:id="390">
    <w:p>
      <w:pPr>
        <w:pStyle w:val="FootnoteText"/>
        <w:suppressLineNumbers/>
        <w:spacing w:before="0" w:after="200"/>
        <w:ind w:hanging="340" w:left="340"/>
        <w:rPr/>
      </w:pPr>
      <w:r>
        <w:rPr>
          <w:rStyle w:val="FootnoteCharacters"/>
        </w:rPr>
      </w:r>
      <w:r>
        <w:rPr/>
        <w:tab/>
        <w:t xml:space="preserve"> </w:t>
      </w:r>
      <w:r>
        <w:rPr/>
        <w:t>Beck R., Jakubík P., Piloiu A. Key Determinants of Non-performing Loans: New Evidence from a Global Sample // Open Economies Review. – 2015. – Vol. 26, No. 3. – P. 525–550.</w:t>
      </w:r>
    </w:p>
  </w:footnote>
  <w:footnote w:id="391">
    <w:p>
      <w:pPr>
        <w:pStyle w:val="FootnoteText"/>
        <w:suppressLineNumbers/>
        <w:spacing w:before="0" w:after="200"/>
        <w:ind w:hanging="340" w:left="340"/>
        <w:rPr/>
      </w:pPr>
      <w:r>
        <w:rPr>
          <w:rStyle w:val="FootnoteCharacters"/>
        </w:rPr>
      </w:r>
      <w:r>
        <w:rPr/>
        <w:tab/>
        <w:t xml:space="preserve"> </w:t>
      </w:r>
      <w:r>
        <w:rPr/>
        <w:t>Nkusu M. Nonperforming Loans and Macrofinancial Vulnerabilities in Advanced Economies: IMF Working Paper WP/11/161. – Washington, DC: International Monetary Fund, 2011.</w:t>
      </w:r>
    </w:p>
  </w:footnote>
  <w:footnote w:id="392">
    <w:p>
      <w:pPr>
        <w:pStyle w:val="FootnoteText"/>
        <w:suppressLineNumbers/>
        <w:spacing w:before="0" w:after="200"/>
        <w:ind w:hanging="340" w:left="340"/>
        <w:rPr/>
      </w:pPr>
      <w:r>
        <w:rPr>
          <w:rStyle w:val="FootnoteCharacters"/>
        </w:rPr>
      </w:r>
      <w:r>
        <w:rPr/>
        <w:tab/>
        <w:t xml:space="preserve"> </w:t>
      </w:r>
      <w:r>
        <w:rPr/>
        <w:t>O‘zbekiston Respublikasi Markaziy banki. Banklar statistikasi: tijorat banklarining asosiy ko‘rsatkichlari va muammoli kreditlari to‘g‘risidagi oylik ma’lumotlar, 2021-yil aprel – 2026-yil yanvar. – https://cbu.uz/uz/statistics/bankstats/</w:t>
      </w:r>
    </w:p>
  </w:footnote>
  <w:footnote w:id="393">
    <w:p>
      <w:pPr>
        <w:pStyle w:val="FootnoteText"/>
        <w:suppressLineNumbers/>
        <w:spacing w:before="0" w:after="200"/>
        <w:ind w:hanging="340" w:left="340"/>
        <w:rPr/>
      </w:pPr>
      <w:r>
        <w:rPr>
          <w:rStyle w:val="FootnoteCharacters"/>
        </w:rPr>
      </w:r>
      <w:r>
        <w:rPr/>
        <w:tab/>
        <w:t xml:space="preserve"> </w:t>
      </w:r>
      <w:r>
        <w:rPr/>
        <w:t>«SNS» reyting agentligi. O‘zbekiston tijorat banklarining asosiy ko‘rsatkichlari bazasi (Banks_2025_IV, Banks_2026_II): 36 bank, 2021-yil IV chorak – 2026-yil II chorak.</w:t>
      </w:r>
    </w:p>
  </w:footnote>
  <w:footnote w:id="394">
    <w:p>
      <w:pPr>
        <w:pStyle w:val="FootnoteText"/>
        <w:suppressLineNumbers/>
        <w:spacing w:before="0" w:after="200"/>
        <w:ind w:hanging="340" w:left="340"/>
        <w:rPr/>
      </w:pPr>
      <w:r>
        <w:rPr>
          <w:rStyle w:val="FootnoteCharacters"/>
        </w:rPr>
      </w:r>
      <w:r>
        <w:rPr/>
        <w:tab/>
        <w:t xml:space="preserve"> </w:t>
      </w:r>
      <w:r>
        <w:rPr/>
        <w:t>O‘zbekiston Respublikasi Markaziy banki. Statistik byulleten: 2026-yil mart. – Toshkent, 2026. – 1.1, 1.2, 3.1, 3.7, 5.1-jadvallar. – https://cbu.uz/uz/statistics/buleten/</w:t>
      </w:r>
    </w:p>
  </w:footnote>
  <w:footnote w:id="395">
    <w:p>
      <w:pPr>
        <w:pStyle w:val="FootnoteText"/>
        <w:suppressLineNumbers/>
        <w:spacing w:before="0" w:after="200"/>
        <w:ind w:hanging="340" w:left="340"/>
        <w:rPr/>
      </w:pPr>
      <w:r>
        <w:rPr>
          <w:rStyle w:val="FootnoteCharacters"/>
        </w:rPr>
      </w:r>
      <w:r>
        <w:rPr/>
        <w:tab/>
        <w:t xml:space="preserve"> </w:t>
      </w:r>
      <w:r>
        <w:rPr/>
        <w:t>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396">
    <w:p>
      <w:pPr>
        <w:pStyle w:val="FootnoteText"/>
        <w:suppressLineNumbers/>
        <w:spacing w:before="0" w:after="200"/>
        <w:ind w:hanging="340" w:left="340"/>
        <w:rPr/>
      </w:pPr>
      <w:r>
        <w:rPr>
          <w:rStyle w:val="FootnoteCharacters"/>
        </w:rPr>
      </w:r>
      <w:r>
        <w:rPr/>
        <w:tab/>
        <w:t xml:space="preserve"> </w:t>
      </w:r>
      <w:r>
        <w:rPr/>
        <w:t>«Ipoteka-bank»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397">
    <w:p>
      <w:pPr>
        <w:pStyle w:val="FootnoteText"/>
        <w:suppressLineNumbers/>
        <w:spacing w:before="0" w:after="200"/>
        <w:ind w:hanging="340" w:left="340"/>
        <w:rPr/>
      </w:pPr>
      <w:r>
        <w:rPr>
          <w:rStyle w:val="FootnoteCharacters"/>
        </w:rPr>
      </w:r>
      <w:r>
        <w:rPr/>
        <w:tab/>
        <w:t xml:space="preserve"> </w:t>
      </w:r>
      <w:r>
        <w:rPr/>
        <w:t>Roy A.D. Safety First and the Holding of Assets // Econometrica. – 1952. – Vol. 20, No. 3. – P. 431–449.</w:t>
      </w:r>
    </w:p>
  </w:footnote>
  <w:footnote w:id="398">
    <w:p>
      <w:pPr>
        <w:pStyle w:val="FootnoteText"/>
        <w:suppressLineNumbers/>
        <w:spacing w:before="0" w:after="200"/>
        <w:ind w:hanging="340" w:left="340"/>
        <w:rPr/>
      </w:pPr>
      <w:r>
        <w:rPr>
          <w:rStyle w:val="FootnoteCharacters"/>
        </w:rPr>
      </w:r>
      <w:r>
        <w:rPr/>
        <w:tab/>
        <w:t xml:space="preserve"> </w:t>
      </w:r>
      <w:r>
        <w:rPr/>
        <w:t>Boyd J.H., Graham S.L. Risk, Regulation, and Bank Holding Company Expansion into Nonbanking // Federal Reserve Bank of Minneapolis Quarterly Review. – 1986. – Vol. 10, No. 2. – P. 2–17.</w:t>
      </w:r>
    </w:p>
  </w:footnote>
  <w:footnote w:id="399">
    <w:p>
      <w:pPr>
        <w:pStyle w:val="FootnoteText"/>
        <w:suppressLineNumbers/>
        <w:spacing w:before="0" w:after="200"/>
        <w:ind w:hanging="340" w:left="340"/>
        <w:rPr/>
      </w:pPr>
      <w:r>
        <w:rPr>
          <w:rStyle w:val="FootnoteCharacters"/>
        </w:rPr>
      </w:r>
      <w:r>
        <w:rPr/>
        <w:tab/>
        <w:t xml:space="preserve"> </w:t>
      </w:r>
      <w:r>
        <w:rPr/>
        <w:t>Lepetit L., Strobel F. Bank insolvency risk and time-varying Z-score measures // Journal of International Financial Markets, Institutions and Money. – 2013. – Vol. 25. – P. 73–87.</w:t>
      </w:r>
    </w:p>
  </w:footnote>
  <w:footnote w:id="400">
    <w:p>
      <w:pPr>
        <w:pStyle w:val="FootnoteText"/>
        <w:suppressLineNumbers/>
        <w:spacing w:before="0" w:after="200"/>
        <w:ind w:hanging="340" w:left="340"/>
        <w:rPr/>
      </w:pPr>
      <w:r>
        <w:rPr>
          <w:rStyle w:val="FootnoteCharacters"/>
        </w:rPr>
      </w:r>
      <w:r>
        <w:rPr/>
        <w:tab/>
        <w:t xml:space="preserve"> </w:t>
      </w:r>
      <w:r>
        <w:rPr/>
        <w:t>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01">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02">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03">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04">
    <w:p>
      <w:pPr>
        <w:pStyle w:val="FootnoteText"/>
        <w:suppressLineNumbers/>
        <w:spacing w:before="0" w:after="200"/>
        <w:ind w:hanging="340" w:left="340"/>
        <w:rPr/>
      </w:pPr>
      <w:r>
        <w:rPr>
          <w:rStyle w:val="FootnoteCharacters"/>
        </w:rPr>
      </w:r>
      <w:r>
        <w:rPr/>
        <w:tab/>
        <w:t xml:space="preserve"> </w:t>
      </w:r>
      <w:r>
        <w:rPr/>
        <w:t>Baltagi B.H. Econometric Analysis of Panel Data. – 6th ed. – Cham: Springer, 2021.</w:t>
      </w:r>
    </w:p>
  </w:footnote>
  <w:footnote w:id="405">
    <w:p>
      <w:pPr>
        <w:pStyle w:val="FootnoteText"/>
        <w:suppressLineNumbers/>
        <w:spacing w:before="0" w:after="200"/>
        <w:ind w:hanging="340" w:left="340"/>
        <w:rPr/>
      </w:pPr>
      <w:r>
        <w:rPr>
          <w:rStyle w:val="FootnoteCharacters"/>
        </w:rPr>
      </w:r>
      <w:r>
        <w:rPr/>
        <w:tab/>
        <w:t xml:space="preserve"> </w:t>
      </w:r>
      <w:r>
        <w:rPr/>
        <w:t>Wooldridge J.M. Econometric Analysis of Cross Section and Panel Data. – 2nd ed. – Cambridge, MA: MIT Press, 2010.</w:t>
      </w:r>
    </w:p>
  </w:footnote>
  <w:footnote w:id="406">
    <w:p>
      <w:pPr>
        <w:pStyle w:val="FootnoteText"/>
        <w:suppressLineNumbers/>
        <w:spacing w:before="0" w:after="200"/>
        <w:ind w:hanging="340" w:left="340"/>
        <w:rPr/>
      </w:pPr>
      <w:r>
        <w:rPr>
          <w:rStyle w:val="FootnoteCharacters"/>
        </w:rPr>
      </w:r>
      <w:r>
        <w:rPr/>
        <w:tab/>
        <w:t xml:space="preserve"> </w:t>
      </w:r>
      <w:r>
        <w:rPr/>
        <w:t>Breusch T.S., Pagan A.R. The Lagrange Multiplier Test and its Applications to Model Specification in Econometrics // Review of Economic Studies. – 1980. – Vol. 47, No. 1. – P. 239–253.</w:t>
      </w:r>
    </w:p>
  </w:footnote>
  <w:footnote w:id="407">
    <w:p>
      <w:pPr>
        <w:pStyle w:val="FootnoteText"/>
        <w:suppressLineNumbers/>
        <w:spacing w:before="0" w:after="200"/>
        <w:ind w:hanging="340" w:left="340"/>
        <w:rPr/>
      </w:pPr>
      <w:r>
        <w:rPr>
          <w:rStyle w:val="FootnoteCharacters"/>
        </w:rPr>
      </w:r>
      <w:r>
        <w:rPr/>
        <w:tab/>
        <w:t xml:space="preserve"> </w:t>
      </w:r>
      <w:r>
        <w:rPr/>
        <w:t>Hausman J.A. Specification Tests in Econometrics // Econometrica. – 1978. – Vol. 46, No. 6. – P. 1251–1271.</w:t>
      </w:r>
    </w:p>
  </w:footnote>
  <w:footnote w:id="408">
    <w:p>
      <w:pPr>
        <w:pStyle w:val="FootnoteText"/>
        <w:suppressLineNumbers/>
        <w:spacing w:before="0" w:after="200"/>
        <w:ind w:hanging="340" w:left="340"/>
        <w:rPr/>
      </w:pPr>
      <w:r>
        <w:rPr>
          <w:rStyle w:val="FootnoteCharacters"/>
        </w:rPr>
      </w:r>
      <w:r>
        <w:rPr/>
        <w:tab/>
        <w:t xml:space="preserve"> </w:t>
      </w:r>
      <w:r>
        <w:rPr/>
        <w:t>Nickell S. Biases in Dynamic Models with Fixed Effects // Econometrica. – 1981. – Vol. 49, No. 6. – P. 1417–1426.</w:t>
      </w:r>
    </w:p>
  </w:footnote>
  <w:footnote w:id="409">
    <w:p>
      <w:pPr>
        <w:pStyle w:val="FootnoteText"/>
        <w:suppressLineNumbers/>
        <w:spacing w:before="0" w:after="200"/>
        <w:ind w:hanging="340" w:left="340"/>
        <w:rPr/>
      </w:pPr>
      <w:r>
        <w:rPr>
          <w:rStyle w:val="FootnoteCharacters"/>
        </w:rPr>
      </w:r>
      <w:r>
        <w:rPr/>
        <w:tab/>
        <w:t xml:space="preserve"> </w:t>
      </w:r>
      <w:r>
        <w:rPr/>
        <w:t>Anderson T.W., Hsiao C. Estimation of Dynamic Models with Error Components // Journal of the American Statistical Association. – 1981. – Vol. 76, No. 375. – P. 598–606.</w:t>
      </w:r>
    </w:p>
  </w:footnote>
  <w:footnote w:id="410">
    <w:p>
      <w:pPr>
        <w:pStyle w:val="FootnoteText"/>
        <w:suppressLineNumbers/>
        <w:spacing w:before="0" w:after="200"/>
        <w:ind w:hanging="340" w:left="340"/>
        <w:rPr/>
      </w:pPr>
      <w:r>
        <w:rPr>
          <w:rStyle w:val="FootnoteCharacters"/>
        </w:rPr>
      </w:r>
      <w:r>
        <w:rPr/>
        <w:tab/>
        <w:t xml:space="preserve"> </w:t>
      </w:r>
      <w:r>
        <w:rPr/>
        <w:t>Arellano M., Bond S. Some Tests of Specification for Panel Data: Monte Carlo Evidence and an Application to Employment Equations // Review of Economic Studies. – 1991. – Vol. 58, No. 2. – P. 277–297.</w:t>
      </w:r>
    </w:p>
  </w:footnote>
  <w:footnote w:id="411">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12">
    <w:p>
      <w:pPr>
        <w:pStyle w:val="FootnoteText"/>
        <w:suppressLineNumbers/>
        <w:spacing w:before="0" w:after="200"/>
        <w:ind w:hanging="340" w:left="340"/>
        <w:rPr/>
      </w:pPr>
      <w:r>
        <w:rPr>
          <w:rStyle w:val="FootnoteCharacters"/>
        </w:rPr>
      </w:r>
      <w:r>
        <w:rPr/>
        <w:tab/>
        <w:t xml:space="preserve"> </w:t>
      </w:r>
      <w:r>
        <w:rPr/>
        <w:t>Demirgüç-Kunt A., Huizinga H. Bank activity and funding strategies: The impact on risk and returns // Journal of Financial Economics. – 2010. – Vol. 98, No. 3. – P. 626–650.</w:t>
      </w:r>
    </w:p>
  </w:footnote>
  <w:footnote w:id="413">
    <w:p>
      <w:pPr>
        <w:pStyle w:val="FootnoteText"/>
        <w:suppressLineNumbers/>
        <w:spacing w:before="0" w:after="200"/>
        <w:ind w:hanging="340" w:left="340"/>
        <w:rPr/>
      </w:pPr>
      <w:r>
        <w:rPr>
          <w:rStyle w:val="FootnoteCharacters"/>
        </w:rPr>
      </w:r>
      <w:r>
        <w:rPr/>
        <w:tab/>
        <w:t xml:space="preserve"> </w:t>
      </w:r>
      <w:r>
        <w:rPr/>
        <w:t>Stock J.H., Yogo M. Testing for Weak Instruments in Linear IV Regression // Identification and Inference for Econometric Models: Essays in Honor of Thomas Rothenberg / ed. by D.W.K. Andrews, J.H. Stock. – Cambridge: Cambridge University Press, 2005. – P. 80–108.</w:t>
      </w:r>
    </w:p>
  </w:footnote>
  <w:footnote w:id="414">
    <w:p>
      <w:pPr>
        <w:pStyle w:val="FootnoteText"/>
        <w:suppressLineNumbers/>
        <w:spacing w:before="0" w:after="200"/>
        <w:ind w:hanging="340" w:left="340"/>
        <w:rPr/>
      </w:pPr>
      <w:r>
        <w:rPr>
          <w:rStyle w:val="FootnoteCharacters"/>
        </w:rPr>
      </w:r>
      <w:r>
        <w:rPr/>
        <w:tab/>
        <w:t xml:space="preserve"> </w:t>
      </w:r>
      <w:r>
        <w:rPr/>
        <w:t>Athanasoglou P.P., Brissimis S.N., Delis M.D. Bank-specific, industry-specific and macroeconomic determinants of bank profitability // Journal of International Financial Markets, Institutions and Money. – 2008. – Vol. 18, No. 2. – P. 121–136.</w:t>
      </w:r>
    </w:p>
  </w:footnote>
  <w:footnote w:id="415">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16">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17">
    <w:p>
      <w:pPr>
        <w:pStyle w:val="FootnoteText"/>
        <w:suppressLineNumbers/>
        <w:spacing w:before="0" w:after="200"/>
        <w:ind w:hanging="340" w:left="340"/>
        <w:rPr/>
      </w:pPr>
      <w:r>
        <w:rPr>
          <w:rStyle w:val="FootnoteCharacters"/>
        </w:rPr>
      </w:r>
      <w:r>
        <w:rPr/>
        <w:tab/>
        <w:t xml:space="preserve"> </w:t>
      </w:r>
      <w:r>
        <w:rPr/>
        <w:t>Foos D., Norden L., Weber M. Loan growth and riskiness of banks // Journal of Banking &amp; Finance. – 2010. – Vol. 34, No. 12. – P. 2929–2940.</w:t>
      </w:r>
    </w:p>
  </w:footnote>
  <w:footnote w:id="418">
    <w:p>
      <w:pPr>
        <w:pStyle w:val="FootnoteText"/>
        <w:suppressLineNumbers/>
        <w:spacing w:before="0" w:after="200"/>
        <w:ind w:hanging="340" w:left="340"/>
        <w:rPr/>
      </w:pPr>
      <w:r>
        <w:rPr>
          <w:rStyle w:val="FootnoteCharacters"/>
        </w:rPr>
      </w:r>
      <w:r>
        <w:rPr/>
        <w:tab/>
        <w:t xml:space="preserve"> </w:t>
      </w:r>
      <w:r>
        <w:rPr/>
        <w:t>Tadqiqot natijasida muallif tomonidan 3.3.2-jadvalda ko‘rsatilgan manbalar ma’lumotlari asosida hisoblandi.</w:t>
      </w:r>
    </w:p>
  </w:footnote>
  <w:footnote w:id="419">
    <w:p>
      <w:pPr>
        <w:pStyle w:val="FootnoteText"/>
        <w:suppressLineNumbers/>
        <w:spacing w:before="0" w:after="200"/>
        <w:ind w:hanging="340" w:left="340"/>
        <w:rPr/>
      </w:pPr>
      <w:r>
        <w:rPr>
          <w:rStyle w:val="FootnoteCharacters"/>
        </w:rPr>
      </w:r>
      <w:r>
        <w:rPr/>
        <w:tab/>
        <w:t xml:space="preserve"> </w:t>
      </w:r>
      <w:r>
        <w:rPr/>
        <w:t>Beck R., Jakubík P., Piloiu A. Key Determinants of Non-performing Loans: New Evidence from a Global Sample // Open Economies Review. – 2015. – Vol. 26, No. 3. – P. 525–550.</w:t>
      </w:r>
    </w:p>
  </w:footnote>
  <w:footnote w:id="420">
    <w:p>
      <w:pPr>
        <w:pStyle w:val="FootnoteText"/>
        <w:suppressLineNumbers/>
        <w:spacing w:before="0" w:after="200"/>
        <w:ind w:hanging="340" w:left="340"/>
        <w:rPr/>
      </w:pPr>
      <w:r>
        <w:rPr>
          <w:rStyle w:val="FootnoteCharacters"/>
        </w:rPr>
      </w:r>
      <w:r>
        <w:rPr/>
        <w:tab/>
        <w:t xml:space="preserve"> </w:t>
      </w:r>
      <w:r>
        <w:rPr/>
        <w:t>Foos D., Norden L., Weber M. Loan growth and riskiness of banks // Journal of Banking &amp; Finance. – 2010. – Vol. 34, No. 12. – P. 2929–2940.</w:t>
      </w:r>
    </w:p>
  </w:footnote>
  <w:footnote w:id="421">
    <w:p>
      <w:pPr>
        <w:pStyle w:val="FootnoteText"/>
        <w:suppressLineNumbers/>
        <w:spacing w:before="0" w:after="200"/>
        <w:ind w:hanging="340" w:left="340"/>
        <w:rPr/>
      </w:pPr>
      <w:r>
        <w:rPr>
          <w:rStyle w:val="FootnoteCharacters"/>
        </w:rPr>
      </w:r>
      <w:r>
        <w:rPr/>
        <w:tab/>
        <w:t xml:space="preserve"> </w:t>
      </w:r>
      <w:r>
        <w:rPr/>
        <w:t>Tadqiqot natijasida muallif tomonidan 3.3.3–3.3.6-jadvallar ma’lumotlari asosida ishlab chiqildi.</w:t>
      </w:r>
    </w:p>
  </w:footnote>
  <w:footnote w:id="422">
    <w:p>
      <w:pPr>
        <w:pStyle w:val="FootnoteText"/>
        <w:suppressLineNumbers/>
        <w:spacing w:before="0" w:after="200"/>
        <w:ind w:hanging="340" w:left="340"/>
        <w:rPr/>
      </w:pPr>
      <w:r>
        <w:rPr>
          <w:rStyle w:val="FootnoteCharacters"/>
        </w:rPr>
        <w:footnoteRef/>
      </w:r>
      <w:r>
        <w:rPr/>
        <w:tab/>
        <w:t xml:space="preserve"> </w:t>
      </w:r>
      <w:r>
        <w:rPr/>
        <w:t>Карминский А.М. Кредитные рейтинги и их моделирование. – М.: Изд. дом НИУ ВШЭ, 2015. – С. 20.</w:t>
      </w:r>
    </w:p>
  </w:footnote>
  <w:footnote w:id="423">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56–57.</w:t>
      </w:r>
    </w:p>
  </w:footnote>
  <w:footnote w:id="424">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54–57.</w:t>
      </w:r>
    </w:p>
  </w:footnote>
  <w:footnote w:id="425">
    <w:p>
      <w:pPr>
        <w:pStyle w:val="FootnoteText"/>
        <w:suppressLineNumbers/>
        <w:spacing w:before="0" w:after="200"/>
        <w:ind w:hanging="340" w:left="340"/>
        <w:rPr/>
      </w:pPr>
      <w:r>
        <w:rPr>
          <w:rStyle w:val="FootnoteCharacters"/>
        </w:rPr>
        <w:footnoteRef/>
      </w:r>
      <w:r>
        <w:rPr/>
        <w:tab/>
        <w:t xml:space="preserve"> </w:t>
      </w:r>
      <w:r>
        <w:rPr/>
        <w:t>Modina M. Credit Rating and Bank–Firm Relationships: New Models to Better Evaluate SMEs. – Basingstoke: Palgrave Macmillan, 2015. – P. 33.</w:t>
      </w:r>
    </w:p>
  </w:footnote>
  <w:footnote w:id="426">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427">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48.</w:t>
      </w:r>
    </w:p>
  </w:footnote>
  <w:footnote w:id="428">
    <w:p>
      <w:pPr>
        <w:pStyle w:val="FootnoteText"/>
        <w:suppressLineNumbers/>
        <w:spacing w:before="0" w:after="200"/>
        <w:ind w:hanging="340" w:left="340"/>
        <w:rPr/>
      </w:pPr>
      <w:r>
        <w:rPr>
          <w:rStyle w:val="FootnoteCharacters"/>
        </w:rPr>
        <w:footnoteRef/>
      </w:r>
      <w:r>
        <w:rPr/>
        <w:tab/>
        <w:t xml:space="preserve"> </w:t>
      </w:r>
      <w:r>
        <w:rPr/>
        <w:t>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429">
    <w:p>
      <w:pPr>
        <w:pStyle w:val="FootnoteText"/>
        <w:suppressLineNumbers/>
        <w:spacing w:before="0" w:after="200"/>
        <w:ind w:hanging="340" w:left="340"/>
        <w:rPr/>
      </w:pPr>
      <w:r>
        <w:rPr>
          <w:rStyle w:val="FootnoteCharacters"/>
        </w:rPr>
        <w:footnoteRef/>
      </w:r>
      <w:r>
        <w:rPr/>
        <w:tab/>
        <w:t xml:space="preserve"> </w:t>
      </w:r>
      <w:r>
        <w:rPr/>
        <w:t>Chiaramonte L., Poli F. Predicting European Bank Distress: Evidence from the Recent Financial Crisis // Governance, Regulation and Bank Stability / ed. by T. Lindblom, S. Sjögren, M. Willesson. – Basingstoke: Palgrave Macmillan, 2014. – P. 83, 92–93.</w:t>
      </w:r>
    </w:p>
  </w:footnote>
  <w:footnote w:id="430">
    <w:p>
      <w:pPr>
        <w:pStyle w:val="FootnoteText"/>
        <w:suppressLineNumbers/>
        <w:spacing w:before="0" w:after="200"/>
        <w:ind w:hanging="340" w:left="340"/>
        <w:rPr/>
      </w:pPr>
      <w:r>
        <w:rPr>
          <w:rStyle w:val="FootnoteCharacters"/>
        </w:rPr>
        <w:footnoteRef/>
      </w:r>
      <w:r>
        <w:rPr/>
        <w:tab/>
        <w:t xml:space="preserve"> </w:t>
      </w:r>
      <w:r>
        <w:rPr/>
        <w:t>Карминский А.М. Кредитные рейтинги и их моделирование. – М.: Изд. дом НИУ ВШЭ, 2015. – С. 208.</w:t>
      </w:r>
    </w:p>
  </w:footnote>
  <w:footnote w:id="431">
    <w:p>
      <w:pPr>
        <w:pStyle w:val="FootnoteText"/>
        <w:suppressLineNumbers/>
        <w:spacing w:before="0" w:after="200"/>
        <w:ind w:hanging="340" w:left="340"/>
        <w:rPr/>
      </w:pPr>
      <w:r>
        <w:rPr>
          <w:rStyle w:val="FootnoteCharacters"/>
        </w:rPr>
        <w:footnoteRef/>
      </w:r>
      <w:r>
        <w:rPr/>
        <w:tab/>
        <w:t xml:space="preserve"> </w:t>
      </w:r>
      <w:r>
        <w:rPr/>
        <w:t>Chiaramonte L., Poli F. Predicting European Bank Distress: Evidence from the Recent Financial Crisis // Governance, Regulation and Bank Stability / ed. by T. Lindblom, S. Sjögren, M. Willesson. – Basingstoke: Palgrave Macmillan, 2014. – P. 77–80.</w:t>
      </w:r>
    </w:p>
  </w:footnote>
  <w:footnote w:id="432">
    <w:p>
      <w:pPr>
        <w:pStyle w:val="FootnoteText"/>
        <w:suppressLineNumbers/>
        <w:spacing w:before="0" w:after="200"/>
        <w:ind w:hanging="340" w:left="340"/>
        <w:rPr/>
      </w:pPr>
      <w:r>
        <w:rPr>
          <w:rStyle w:val="FootnoteCharacters"/>
        </w:rPr>
        <w:footnoteRef/>
      </w:r>
      <w:r>
        <w:rPr/>
        <w:tab/>
        <w:t xml:space="preserve"> </w:t>
      </w:r>
      <w:r>
        <w:rPr/>
        <w:t>Оценка финансовой устойчивости кредитной организации: учебник / под ред. О.И. Лаврушина, И.Д. Мамоновой. – М.: КНОРУС, 2011. – С. 68.</w:t>
      </w:r>
    </w:p>
  </w:footnote>
  <w:footnote w:id="433">
    <w:p>
      <w:pPr>
        <w:pStyle w:val="FootnoteText"/>
        <w:suppressLineNumbers/>
        <w:spacing w:before="0" w:after="200"/>
        <w:ind w:hanging="340" w:left="340"/>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50–51.</w:t>
      </w:r>
    </w:p>
  </w:footnote>
  <w:footnote w:id="434">
    <w:p>
      <w:pPr>
        <w:pStyle w:val="FootnoteText"/>
        <w:suppressLineNumbers/>
        <w:spacing w:before="0" w:after="200"/>
        <w:ind w:hanging="340" w:left="340"/>
        <w:rPr/>
      </w:pPr>
      <w:r>
        <w:rPr>
          <w:rStyle w:val="FootnoteCharacters"/>
        </w:rPr>
        <w:footnoteRef/>
      </w:r>
      <w:r>
        <w:rPr/>
        <w:tab/>
        <w:t xml:space="preserve"> </w:t>
      </w:r>
      <w:r>
        <w:rPr/>
        <w:t>Шаталова Е.П. Банковские рейтинги в системе риск-менеджмента: процедуры мониторинга кредитных рейтингов: учебное пособие. – 2020. – С. 23.</w:t>
      </w:r>
    </w:p>
  </w:footnote>
  <w:footnote w:id="435">
    <w:p>
      <w:pPr>
        <w:pStyle w:val="FootnoteText"/>
        <w:suppressLineNumbers/>
        <w:spacing w:before="0" w:after="200"/>
        <w:ind w:hanging="340" w:left="340"/>
        <w:rPr/>
      </w:pPr>
      <w:r>
        <w:rPr>
          <w:rStyle w:val="FootnoteCharacters"/>
        </w:rPr>
        <w:footnoteRef/>
      </w:r>
      <w:r>
        <w:rPr/>
        <w:tab/>
        <w:t xml:space="preserve"> </w:t>
      </w:r>
      <w:r>
        <w:rPr/>
        <w:t>Izzi L., Oricchio G., Vitale L. Basel III Credit Rating Systems: An Applied Guide to Quantitative and Qualitative Models. – Basingstoke: Palgrave Macmillan, 2012. – P. 76, 84–85.</w:t>
      </w:r>
    </w:p>
  </w:footnote>
  <w:footnote w:id="436">
    <w:p>
      <w:pPr>
        <w:pStyle w:val="FootnoteText"/>
        <w:suppressLineNumbers/>
        <w:spacing w:before="0" w:after="200"/>
        <w:ind w:hanging="340" w:left="340"/>
        <w:rPr/>
      </w:pPr>
      <w:r>
        <w:rPr>
          <w:rStyle w:val="FootnoteCharacters"/>
        </w:rPr>
        <w:footnoteRef/>
      </w:r>
      <w:r>
        <w:rPr/>
        <w:tab/>
        <w:t xml:space="preserve"> </w:t>
      </w:r>
      <w:r>
        <w:rPr/>
        <w:t>Карминский А.М. Кредитные рейтинги и их моделирование. – М.: Изд. дом НИУ ВШЭ, 2015. – С. 193.</w:t>
      </w:r>
    </w:p>
  </w:footnote>
  <w:footnote w:id="437">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438">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55–59.</w:t>
      </w:r>
    </w:p>
  </w:footnote>
  <w:footnote w:id="439">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65–67, 77–83.</w:t>
      </w:r>
    </w:p>
  </w:footnote>
  <w:footnote w:id="440">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69–72.</w:t>
      </w:r>
    </w:p>
  </w:footnote>
  <w:footnote w:id="441">
    <w:p>
      <w:pPr>
        <w:pStyle w:val="FootnoteText"/>
        <w:suppressLineNumbers/>
        <w:spacing w:before="0" w:after="200"/>
        <w:ind w:hanging="340" w:left="340"/>
        <w:rPr/>
      </w:pPr>
      <w:r>
        <w:rPr>
          <w:rStyle w:val="FootnoteCharacters"/>
        </w:rPr>
        <w:footnoteRef/>
      </w:r>
      <w:r>
        <w:rPr/>
        <w:tab/>
        <w:t xml:space="preserve"> </w:t>
      </w:r>
      <w:r>
        <w:rPr/>
        <w:t>Tarullo D.K. Banking on Basel: The Future of International Financial Regulation. – Washington, DC: Peterson Institute for International Economics, 2008. – P. 162–165.</w:t>
      </w:r>
    </w:p>
  </w:footnote>
  <w:footnote w:id="442">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3.</w:t>
      </w:r>
    </w:p>
  </w:footnote>
  <w:footnote w:id="443">
    <w:p>
      <w:pPr>
        <w:pStyle w:val="FootnoteText"/>
        <w:suppressLineNumbers/>
        <w:spacing w:before="0" w:after="200"/>
        <w:ind w:hanging="340" w:left="340"/>
        <w:rPr/>
      </w:pPr>
      <w:r>
        <w:rPr>
          <w:rStyle w:val="FootnoteCharacters"/>
        </w:rPr>
        <w:footnoteRef/>
      </w:r>
      <w:r>
        <w:rPr/>
        <w:tab/>
        <w:t xml:space="preserve"> </w:t>
      </w:r>
      <w:r>
        <w:rPr/>
        <w:t>Modina M. Credit Rating and Bank–Firm Relationships: New Models to Better Evaluate SMEs. – Basingstoke: Palgrave Macmillan, 2015. – P. 45.</w:t>
      </w:r>
    </w:p>
  </w:footnote>
  <w:footnote w:id="444">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6–7, 15.</w:t>
      </w:r>
    </w:p>
  </w:footnote>
  <w:footnote w:id="445">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446">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9–10.</w:t>
      </w:r>
    </w:p>
  </w:footnote>
  <w:footnote w:id="447">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20–22.</w:t>
      </w:r>
    </w:p>
  </w:footnote>
  <w:footnote w:id="448">
    <w:p>
      <w:pPr>
        <w:pStyle w:val="FootnoteText"/>
        <w:suppressLineNumbers/>
        <w:spacing w:before="0" w:after="200"/>
        <w:ind w:hanging="340" w:left="340"/>
        <w:rPr/>
      </w:pPr>
      <w:r>
        <w:rPr>
          <w:rStyle w:val="FootnoteCharacters"/>
        </w:rPr>
        <w:footnoteRef/>
      </w:r>
      <w:r>
        <w:rPr/>
        <w:tab/>
        <w:t xml:space="preserve"> </w:t>
      </w:r>
      <w:r>
        <w:rPr/>
        <w:t>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449">
    <w:p>
      <w:pPr>
        <w:pStyle w:val="FootnoteText"/>
        <w:suppressLineNumbers/>
        <w:spacing w:before="0" w:after="200"/>
        <w:ind w:hanging="340" w:left="340"/>
        <w:rPr/>
      </w:pPr>
      <w:r>
        <w:rPr>
          <w:rStyle w:val="FootnoteCharacters"/>
        </w:rPr>
        <w:footnoteRef/>
      </w:r>
      <w:r>
        <w:rPr/>
        <w:tab/>
        <w:t xml:space="preserve"> </w:t>
      </w:r>
      <w:r>
        <w:rPr/>
        <w:t>Регулирование банковской сферы: учебник / под ред. О.Н. Афанасьевой, С.Е. Дубовой. – М.: КНОРУС. – С. 68–70.</w:t>
      </w:r>
    </w:p>
  </w:footnote>
  <w:footnote w:id="450">
    <w:p>
      <w:pPr>
        <w:pStyle w:val="FootnoteText"/>
        <w:suppressLineNumbers/>
        <w:spacing w:before="0" w:after="200"/>
        <w:ind w:hanging="340" w:left="340"/>
        <w:rPr/>
      </w:pPr>
      <w:r>
        <w:rPr>
          <w:rStyle w:val="FootnoteCharacters"/>
        </w:rPr>
        <w:footnoteRef/>
      </w:r>
      <w:r>
        <w:rPr/>
        <w:tab/>
        <w:t xml:space="preserve"> </w:t>
      </w:r>
      <w:r>
        <w:rPr/>
        <w:t>Tian W. Regulatory Capital Requirement in Basel III // Commercial Banking Risk Management: Regulation in the Wake of the Financial Crisis / ed. by W. Tian. – New York: Palgrave Macmillan, 2017. – P. 15.</w:t>
      </w:r>
    </w:p>
  </w:footnote>
  <w:footnote w:id="451">
    <w:p>
      <w:pPr>
        <w:pStyle w:val="FootnoteText"/>
        <w:suppressLineNumbers/>
        <w:spacing w:before="0" w:after="200"/>
        <w:ind w:hanging="340" w:left="340"/>
        <w:rPr/>
      </w:pPr>
      <w:r>
        <w:rPr>
          <w:rStyle w:val="FootnoteCharacters"/>
        </w:rPr>
        <w:footnoteRef/>
      </w:r>
      <w:r>
        <w:rPr/>
        <w:tab/>
        <w:t xml:space="preserve"> </w:t>
      </w:r>
      <w:r>
        <w:rPr/>
        <w:t>Basel Committee on Banking Supervision. Basel III: The Liquidity Coverage Ratio and liquidity risk monitoring tools. – Basel: BIS, January 2013.</w:t>
      </w:r>
    </w:p>
  </w:footnote>
  <w:footnote w:id="452">
    <w:p>
      <w:pPr>
        <w:pStyle w:val="FootnoteText"/>
        <w:suppressLineNumbers/>
        <w:spacing w:before="0" w:after="200"/>
        <w:ind w:hanging="340" w:left="340"/>
        <w:rPr/>
      </w:pPr>
      <w:r>
        <w:rPr>
          <w:rStyle w:val="FootnoteCharacters"/>
        </w:rPr>
        <w:footnoteRef/>
      </w:r>
      <w:r>
        <w:rPr/>
        <w:tab/>
        <w:t xml:space="preserve"> </w:t>
      </w:r>
      <w:r>
        <w:rPr/>
        <w:t>Basel Committee on Banking Supervision. Basel III: The Net Stable Funding Ratio. – Basel: BIS, October 2014.</w:t>
      </w:r>
    </w:p>
  </w:footnote>
  <w:footnote w:id="453">
    <w:p>
      <w:pPr>
        <w:pStyle w:val="FootnoteText"/>
        <w:suppressLineNumbers/>
        <w:spacing w:before="0" w:after="200"/>
        <w:ind w:hanging="340" w:left="340"/>
        <w:rPr/>
      </w:pPr>
      <w:r>
        <w:rPr>
          <w:rStyle w:val="FootnoteCharacters"/>
        </w:rPr>
        <w:footnoteRef/>
      </w:r>
      <w:r>
        <w:rPr/>
      </w:r>
    </w:p>
  </w:footnote>
  <w:footnote w:id="454">
    <w:p>
      <w:pPr>
        <w:pStyle w:val="FootnoteText"/>
        <w:rPr/>
      </w:pPr>
      <w:r>
        <w:rPr>
          <w:rStyle w:val="FootnoteCharacters"/>
        </w:rPr>
        <w:footnoteRef/>
      </w:r>
      <w:r>
        <w:rPr/>
        <w:tab/>
        <w:t xml:space="preserve"> </w:t>
      </w:r>
      <w:r>
        <w:rPr/>
        <w:t>Устойчивость банковской системы и развитие банковской политики: монография / под ред. О.И. Лаврушина. – М.: КНОРУС, 2014. – С. 50–51.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p>
      <w:pPr>
        <w:pStyle w:val="FootnoteText"/>
        <w:suppressLineNumbers/>
        <w:spacing w:before="0" w:after="200"/>
        <w:ind w:hanging="340" w:left="340"/>
        <w:rPr/>
      </w:pPr>
      <w:r>
        <w:rPr/>
      </w:r>
    </w:p>
  </w:footnote>
  <w:footnote w:id="455">
    <w:p>
      <w:pPr>
        <w:pStyle w:val="FootnoteText"/>
        <w:suppressLineNumbers/>
        <w:spacing w:before="0" w:after="200"/>
        <w:ind w:hanging="340" w:left="340"/>
        <w:rPr/>
      </w:pPr>
      <w:r>
        <w:rPr>
          <w:rStyle w:val="FootnoteCharacters"/>
        </w:rPr>
        <w:footnoteRef/>
      </w:r>
      <w:r>
        <w:rPr/>
        <w:tab/>
        <w:t xml:space="preserve"> </w:t>
      </w:r>
      <w:r>
        <w:rPr/>
        <w:t>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456">
    <w:p>
      <w:pPr>
        <w:pStyle w:val="FootnoteText"/>
        <w:suppressLineNumbers/>
        <w:spacing w:before="0" w:after="200"/>
        <w:ind w:hanging="340" w:left="340"/>
        <w:rPr/>
      </w:pPr>
      <w:r>
        <w:rPr>
          <w:rStyle w:val="FootnoteCharacters"/>
        </w:rPr>
        <w:footnoteRef/>
      </w:r>
      <w:r>
        <w:rPr/>
        <w:tab/>
        <w:t xml:space="preserve"> </w:t>
      </w:r>
      <w:r>
        <w:rPr/>
        <w:t>Banklar kapitalining monandligiga qo‘yiladigan talablar to‘g‘risidagi nizom (O‘zbekiston Respublikasi Markaziy banki Boshqaruvining 02.10.2025 dagi 21/6-son qarori, ro‘yxat raqami 3697, 28.10.2025) // https://lex.uz/docs/7793613</w:t>
      </w:r>
    </w:p>
  </w:footnote>
  <w:footnote w:id="457">
    <w:p>
      <w:pPr>
        <w:pStyle w:val="FootnoteText"/>
        <w:suppressLineNumbers/>
        <w:spacing w:before="0" w:after="200"/>
        <w:ind w:hanging="340" w:left="340"/>
        <w:rPr/>
      </w:pPr>
      <w:r>
        <w:rPr>
          <w:rStyle w:val="FootnoteCharacters"/>
        </w:rPr>
        <w:footnoteRef/>
      </w:r>
      <w:r>
        <w:rPr/>
        <w:tab/>
        <w:t xml:space="preserve"> </w:t>
      </w:r>
      <w:r>
        <w:rPr/>
        <w:t>Muallif ishlanmasi.</w:t>
      </w:r>
    </w:p>
  </w:footnote>
  <w:footnote w:id="458">
    <w:p>
      <w:pPr>
        <w:pStyle w:val="FootnoteText"/>
        <w:suppressLineNumbers/>
        <w:spacing w:before="0" w:after="200"/>
        <w:ind w:hanging="340" w:left="340"/>
        <w:rPr/>
      </w:pPr>
      <w:r>
        <w:rPr>
          <w:rStyle w:val="FootnoteCharacters"/>
        </w:rPr>
        <w:footnoteRef/>
      </w:r>
      <w:r>
        <w:rPr/>
        <w:tab/>
        <w:t xml:space="preserve"> </w:t>
      </w:r>
      <w:r>
        <w:rPr/>
        <w:t>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459">
    <w:p>
      <w:pPr>
        <w:pStyle w:val="FootnoteText"/>
        <w:suppressLineNumbers/>
        <w:spacing w:before="0" w:after="200"/>
        <w:ind w:hanging="340" w:left="340"/>
        <w:rPr/>
      </w:pPr>
      <w:r>
        <w:rPr>
          <w:rStyle w:val="FootnoteCharacters"/>
        </w:rPr>
        <w:footnoteRef/>
      </w:r>
      <w:r>
        <w:rPr/>
        <w:tab/>
        <w:t xml:space="preserve"> </w:t>
      </w:r>
      <w:r>
        <w:rPr/>
        <w:t>Бердияров Б.Т. Ko‘rsatilgan asar. – Б. 27.</w:t>
      </w:r>
    </w:p>
  </w:footnote>
  <w:footnote w:id="460">
    <w:p>
      <w:pPr>
        <w:pStyle w:val="FootnoteText"/>
        <w:suppressLineNumbers/>
        <w:spacing w:before="0" w:after="200"/>
        <w:ind w:hanging="340" w:left="340"/>
        <w:rPr/>
      </w:pPr>
      <w:r>
        <w:rPr>
          <w:rStyle w:val="FootnoteCharacters"/>
        </w:rPr>
        <w:footnoteRef/>
      </w:r>
      <w:r>
        <w:rPr/>
        <w:tab/>
        <w:t xml:space="preserve"> </w:t>
      </w:r>
      <w:r>
        <w:rPr/>
        <w:t>Karaliyev T.M., Sayfiddinov I.F. Ko‘rsatilgan asar. – B. 208.</w:t>
      </w:r>
    </w:p>
  </w:footnote>
  <w:footnote w:id="461">
    <w:p>
      <w:pPr>
        <w:pStyle w:val="FootnoteText"/>
        <w:suppressLineNumbers/>
        <w:spacing w:before="0" w:after="200"/>
        <w:ind w:hanging="340" w:left="340"/>
        <w:rPr/>
      </w:pPr>
      <w:r>
        <w:rPr>
          <w:rStyle w:val="FootnoteCharacters"/>
        </w:rPr>
        <w:footnoteRef/>
      </w: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rsid w:val="00fc693f"/>
    <w:pPr>
      <w:widowControl/>
      <w:bidi w:val="0"/>
      <w:spacing w:lineRule="auto" w:line="276" w:before="0" w:after="200"/>
      <w:jc w:val="left"/>
    </w:pPr>
    <w:rPr>
      <w:rFonts w:ascii="Times New Roman" w:hAnsi="Times New Roman" w:eastAsia="Times New Roman" w:cs="" w:cstheme="minorBidi"/>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jc w:val="center"/>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jc w:val="center"/>
      <w:outlineLvl w:val="1"/>
    </w:pPr>
    <w:rPr>
      <w:rFonts w:ascii="Calibri" w:hAnsi="Calibri" w:eastAsia="ＭＳ ゴシック" w:cs="" w:asciiTheme="majorHAnsi" w:cstheme="majorBidi" w:eastAsiaTheme="majorEastAsia" w:hAnsiTheme="majorHAnsi"/>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VerbatimChar" w:customStyle="1">
    <w:name w:val="Verbatim Char"/>
    <w:basedOn w:val="BodyTextChar"/>
    <w:qFormat/>
    <w:rPr>
      <w:rFonts w:ascii="Times New Roman" w:hAnsi="Times New Roman"/>
      <w:sz w:val="22"/>
    </w:rPr>
  </w:style>
  <w:style w:type="character" w:styleId="SectionNumber" w:customStyle="1">
    <w:name w:val="Section Number"/>
    <w:basedOn w:val="BodyTextChar"/>
    <w:qFormat/>
    <w:rPr>
      <w:rFonts w:ascii="Times New Roman" w:hAnsi="Times New Roman"/>
    </w:rPr>
  </w:style>
  <w:style w:type="character" w:styleId="KeywordTok" w:customStyle="1">
    <w:name w:val="KeywordTok"/>
    <w:basedOn w:val="VerbatimChar"/>
    <w:qFormat/>
    <w:rPr>
      <w:rFonts w:ascii="Times New Roman" w:hAnsi="Times New Roman"/>
      <w:b/>
    </w:rPr>
  </w:style>
  <w:style w:type="character" w:styleId="DataTypeTok" w:customStyle="1">
    <w:name w:val="DataTypeTok"/>
    <w:basedOn w:val="VerbatimChar"/>
    <w:qFormat/>
    <w:rPr>
      <w:rFonts w:ascii="Times New Roman" w:hAnsi="Times New Roman"/>
    </w:rPr>
  </w:style>
  <w:style w:type="character" w:styleId="DecValTok" w:customStyle="1">
    <w:name w:val="DecValTok"/>
    <w:basedOn w:val="VerbatimChar"/>
    <w:qFormat/>
    <w:rPr>
      <w:rFonts w:ascii="Times New Roman" w:hAnsi="Times New Roman"/>
    </w:rPr>
  </w:style>
  <w:style w:type="character" w:styleId="BaseNTok" w:customStyle="1">
    <w:name w:val="BaseNTok"/>
    <w:basedOn w:val="VerbatimChar"/>
    <w:qFormat/>
    <w:rPr>
      <w:rFonts w:ascii="Times New Roman" w:hAnsi="Times New Roman"/>
    </w:rPr>
  </w:style>
  <w:style w:type="character" w:styleId="FloatTok" w:customStyle="1">
    <w:name w:val="FloatTok"/>
    <w:basedOn w:val="VerbatimChar"/>
    <w:qFormat/>
    <w:rPr>
      <w:rFonts w:ascii="Times New Roman" w:hAnsi="Times New Roman"/>
    </w:rPr>
  </w:style>
  <w:style w:type="character" w:styleId="ConstantTok" w:customStyle="1">
    <w:name w:val="ConstantTok"/>
    <w:basedOn w:val="VerbatimChar"/>
    <w:qFormat/>
    <w:rPr>
      <w:rFonts w:ascii="Times New Roman" w:hAnsi="Times New Roman"/>
    </w:rPr>
  </w:style>
  <w:style w:type="character" w:styleId="CharTok" w:customStyle="1">
    <w:name w:val="CharTok"/>
    <w:basedOn w:val="VerbatimChar"/>
    <w:qFormat/>
    <w:rPr>
      <w:rFonts w:ascii="Times New Roman" w:hAnsi="Times New Roman"/>
    </w:rPr>
  </w:style>
  <w:style w:type="character" w:styleId="SpecialCharTok" w:customStyle="1">
    <w:name w:val="SpecialCharTok"/>
    <w:basedOn w:val="VerbatimChar"/>
    <w:qFormat/>
    <w:rPr>
      <w:rFonts w:ascii="Times New Roman" w:hAnsi="Times New Roman"/>
    </w:rPr>
  </w:style>
  <w:style w:type="character" w:styleId="StringTok" w:customStyle="1">
    <w:name w:val="StringTok"/>
    <w:basedOn w:val="VerbatimChar"/>
    <w:qFormat/>
    <w:rPr>
      <w:rFonts w:ascii="Times New Roman" w:hAnsi="Times New Roman"/>
    </w:rPr>
  </w:style>
  <w:style w:type="character" w:styleId="VerbatimStringTok" w:customStyle="1">
    <w:name w:val="VerbatimStringTok"/>
    <w:basedOn w:val="VerbatimChar"/>
    <w:qFormat/>
    <w:rPr>
      <w:rFonts w:ascii="Times New Roman" w:hAnsi="Times New Roman"/>
    </w:rPr>
  </w:style>
  <w:style w:type="character" w:styleId="SpecialStringTok" w:customStyle="1">
    <w:name w:val="SpecialStringTok"/>
    <w:basedOn w:val="VerbatimChar"/>
    <w:qFormat/>
    <w:rPr>
      <w:rFonts w:ascii="Times New Roman" w:hAnsi="Times New Roman"/>
    </w:rPr>
  </w:style>
  <w:style w:type="character" w:styleId="ImportTok" w:customStyle="1">
    <w:name w:val="ImportTok"/>
    <w:basedOn w:val="VerbatimChar"/>
    <w:qFormat/>
    <w:rPr>
      <w:rFonts w:ascii="Times New Roman" w:hAnsi="Times New Roman"/>
      <w:b/>
    </w:rPr>
  </w:style>
  <w:style w:type="character" w:styleId="CommentTok" w:customStyle="1">
    <w:name w:val="CommentTok"/>
    <w:basedOn w:val="VerbatimChar"/>
    <w:qFormat/>
    <w:rPr>
      <w:rFonts w:ascii="Times New Roman" w:hAnsi="Times New Roman"/>
      <w:i/>
    </w:rPr>
  </w:style>
  <w:style w:type="character" w:styleId="DocumentationTok" w:customStyle="1">
    <w:name w:val="DocumentationTok"/>
    <w:basedOn w:val="VerbatimChar"/>
    <w:qFormat/>
    <w:rPr>
      <w:rFonts w:ascii="Times New Roman" w:hAnsi="Times New Roman"/>
      <w:i/>
    </w:rPr>
  </w:style>
  <w:style w:type="character" w:styleId="AnnotationTok" w:customStyle="1">
    <w:name w:val="AnnotationTok"/>
    <w:basedOn w:val="VerbatimChar"/>
    <w:qFormat/>
    <w:rPr>
      <w:rFonts w:ascii="Times New Roman" w:hAnsi="Times New Roman"/>
      <w:b/>
      <w:i/>
    </w:rPr>
  </w:style>
  <w:style w:type="character" w:styleId="CommentVarTok" w:customStyle="1">
    <w:name w:val="CommentVarTok"/>
    <w:basedOn w:val="VerbatimChar"/>
    <w:qFormat/>
    <w:rPr>
      <w:rFonts w:ascii="Times New Roman" w:hAnsi="Times New Roman"/>
      <w:b/>
      <w:i/>
    </w:rPr>
  </w:style>
  <w:style w:type="character" w:styleId="OtherTok" w:customStyle="1">
    <w:name w:val="OtherTok"/>
    <w:basedOn w:val="VerbatimChar"/>
    <w:qFormat/>
    <w:rPr>
      <w:rFonts w:ascii="Times New Roman" w:hAnsi="Times New Roman"/>
    </w:rPr>
  </w:style>
  <w:style w:type="character" w:styleId="FunctionTok" w:customStyle="1">
    <w:name w:val="FunctionTok"/>
    <w:basedOn w:val="VerbatimChar"/>
    <w:qFormat/>
    <w:rPr>
      <w:rFonts w:ascii="Times New Roman" w:hAnsi="Times New Roman"/>
    </w:rPr>
  </w:style>
  <w:style w:type="character" w:styleId="VariableTok" w:customStyle="1">
    <w:name w:val="VariableTok"/>
    <w:basedOn w:val="VerbatimChar"/>
    <w:qFormat/>
    <w:rPr>
      <w:rFonts w:ascii="Times New Roman" w:hAnsi="Times New Roman"/>
    </w:rPr>
  </w:style>
  <w:style w:type="character" w:styleId="ControlFlowTok" w:customStyle="1">
    <w:name w:val="ControlFlowTok"/>
    <w:basedOn w:val="VerbatimChar"/>
    <w:qFormat/>
    <w:rPr>
      <w:rFonts w:ascii="Times New Roman" w:hAnsi="Times New Roman"/>
      <w:b/>
    </w:rPr>
  </w:style>
  <w:style w:type="character" w:styleId="OperatorTok" w:customStyle="1">
    <w:name w:val="OperatorTok"/>
    <w:basedOn w:val="VerbatimChar"/>
    <w:qFormat/>
    <w:rPr>
      <w:rFonts w:ascii="Times New Roman" w:hAnsi="Times New Roman"/>
    </w:rPr>
  </w:style>
  <w:style w:type="character" w:styleId="BuiltInTok" w:customStyle="1">
    <w:name w:val="BuiltInTok"/>
    <w:basedOn w:val="VerbatimChar"/>
    <w:qFormat/>
    <w:rPr>
      <w:rFonts w:ascii="Times New Roman" w:hAnsi="Times New Roman"/>
    </w:rPr>
  </w:style>
  <w:style w:type="character" w:styleId="ExtensionTok" w:customStyle="1">
    <w:name w:val="ExtensionTok"/>
    <w:basedOn w:val="VerbatimChar"/>
    <w:qFormat/>
    <w:rPr>
      <w:rFonts w:ascii="Times New Roman" w:hAnsi="Times New Roman"/>
    </w:rPr>
  </w:style>
  <w:style w:type="character" w:styleId="PreprocessorTok" w:customStyle="1">
    <w:name w:val="PreprocessorTok"/>
    <w:basedOn w:val="VerbatimChar"/>
    <w:qFormat/>
    <w:rPr>
      <w:rFonts w:ascii="Times New Roman" w:hAnsi="Times New Roman"/>
    </w:rPr>
  </w:style>
  <w:style w:type="character" w:styleId="AttributeTok" w:customStyle="1">
    <w:name w:val="AttributeTok"/>
    <w:basedOn w:val="VerbatimChar"/>
    <w:qFormat/>
    <w:rPr>
      <w:rFonts w:ascii="Times New Roman" w:hAnsi="Times New Roman"/>
    </w:rPr>
  </w:style>
  <w:style w:type="character" w:styleId="RegionMarkerTok" w:customStyle="1">
    <w:name w:val="RegionMarkerTok"/>
    <w:basedOn w:val="VerbatimChar"/>
    <w:qFormat/>
    <w:rPr>
      <w:rFonts w:ascii="Times New Roman" w:hAnsi="Times New Roman"/>
    </w:rPr>
  </w:style>
  <w:style w:type="character" w:styleId="InformationTok" w:customStyle="1">
    <w:name w:val="InformationTok"/>
    <w:basedOn w:val="VerbatimChar"/>
    <w:qFormat/>
    <w:rPr>
      <w:rFonts w:ascii="Times New Roman" w:hAnsi="Times New Roman"/>
      <w:b/>
      <w:i/>
    </w:rPr>
  </w:style>
  <w:style w:type="character" w:styleId="WarningTok" w:customStyle="1">
    <w:name w:val="WarningTok"/>
    <w:basedOn w:val="VerbatimChar"/>
    <w:qFormat/>
    <w:rPr>
      <w:rFonts w:ascii="Times New Roman" w:hAnsi="Times New Roman"/>
      <w:b/>
      <w:i/>
    </w:rPr>
  </w:style>
  <w:style w:type="character" w:styleId="AlertTok" w:customStyle="1">
    <w:name w:val="AlertTok"/>
    <w:basedOn w:val="VerbatimChar"/>
    <w:qFormat/>
    <w:rPr>
      <w:rFonts w:ascii="Times New Roman" w:hAnsi="Times New Roman"/>
      <w:b/>
    </w:rPr>
  </w:style>
  <w:style w:type="character" w:styleId="ErrorTok" w:customStyle="1">
    <w:name w:val="ErrorTok"/>
    <w:basedOn w:val="VerbatimChar"/>
    <w:qFormat/>
    <w:rPr>
      <w:rFonts w:ascii="Times New Roman" w:hAnsi="Times New Roman"/>
      <w:b/>
    </w:rPr>
  </w:style>
  <w:style w:type="character" w:styleId="NormalTok" w:customStyle="1">
    <w:name w:val="NormalTok"/>
    <w:basedOn w:val="VerbatimChar"/>
    <w:qFormat/>
    <w:rPr>
      <w:rFonts w:ascii="Times New Roman" w:hAnsi="Times New Roman"/>
    </w:rPr>
  </w:style>
  <w:style w:type="character" w:styleId="FootnoteCharacters">
    <w:name w:val="Footnote Characters"/>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rstParagraph" w:customStyle="1">
    <w:name w:val="First Paragraph"/>
    <w:basedOn w:val="BodyText"/>
    <w:next w:val="BodyText"/>
    <w:qFormat/>
    <w:pPr/>
    <w:rPr>
      <w:rFonts w:ascii="Times New Roman" w:hAnsi="Times New Roman"/>
    </w:rPr>
  </w:style>
  <w:style w:type="paragraph" w:styleId="Compact" w:customStyle="1">
    <w:name w:val="Compact"/>
    <w:basedOn w:val="BodyText"/>
    <w:qFormat/>
    <w:pPr>
      <w:spacing w:before="36" w:after="36"/>
    </w:pPr>
    <w:rPr>
      <w:rFonts w:ascii="Times New Roman" w:hAnsi="Times New Roman"/>
    </w:rPr>
  </w:style>
  <w:style w:type="paragraph" w:styleId="Author" w:customStyle="1">
    <w:name w:val="Author"/>
    <w:next w:val="BodyText"/>
    <w:qFormat/>
    <w:pPr>
      <w:keepNext w:val="true"/>
      <w:keepLines/>
      <w:widowControl/>
      <w:bidi w:val="0"/>
      <w:spacing w:before="0" w:after="200" w:lineRule="auto" w:line="276"/>
      <w:jc w:val="center"/>
    </w:pPr>
    <w:rPr>
      <w:rFonts w:ascii="Times New Roman" w:hAnsi="Times New Roman" w:eastAsia="ＭＳ 明朝" w:cs="" w:cstheme="minorBidi" w:eastAsiaTheme="minorEastAsia"/>
      <w:color w:val="auto"/>
      <w:kern w:val="0"/>
      <w:sz w:val="22"/>
      <w:szCs w:val="22"/>
      <w:lang w:val="en-US" w:eastAsia="en-US" w:bidi="ar-SA"/>
    </w:rPr>
  </w:style>
  <w:style w:type="paragraph" w:styleId="Date">
    <w:name w:val="Date"/>
    <w:next w:val="BodyText"/>
    <w:qFormat/>
    <w:pPr>
      <w:keepNext w:val="true"/>
      <w:keepLines/>
      <w:widowControl/>
      <w:bidi w:val="0"/>
      <w:spacing w:before="0" w:after="200" w:lineRule="auto" w:line="276"/>
      <w:jc w:val="center"/>
    </w:pPr>
    <w:rPr>
      <w:rFonts w:ascii="Times New Roman" w:hAnsi="Times New Roman" w:eastAsia="ＭＳ 明朝" w:cs="" w:cstheme="minorBidi" w:eastAsiaTheme="minorEastAsia"/>
      <w:color w:val="auto"/>
      <w:kern w:val="0"/>
      <w:sz w:val="22"/>
      <w:szCs w:val="22"/>
      <w:lang w:val="en-US" w:eastAsia="en-US" w:bidi="ar-SA"/>
    </w:rPr>
  </w:style>
  <w:style w:type="paragraph" w:styleId="AbstractTitle" w:customStyle="1">
    <w:name w:val="Abstract Title"/>
    <w:basedOn w:val="Normal"/>
    <w:next w:val="Abstract"/>
    <w:qFormat/>
    <w:pPr>
      <w:keepNext w:val="true"/>
      <w:keepLines/>
      <w:spacing w:before="300" w:after="0"/>
      <w:jc w:val="center"/>
    </w:pPr>
    <w:rPr>
      <w:rFonts w:ascii="Times New Roman" w:hAnsi="Times New Roman"/>
      <w:b/>
      <w:sz w:val="20"/>
      <w:szCs w:val="20"/>
    </w:rPr>
  </w:style>
  <w:style w:type="paragraph" w:styleId="Abstract" w:customStyle="1">
    <w:name w:val="Abstract"/>
    <w:basedOn w:val="Normal"/>
    <w:next w:val="BodyText"/>
    <w:qFormat/>
    <w:pPr>
      <w:keepNext w:val="true"/>
      <w:keepLines/>
      <w:spacing w:before="100" w:after="300"/>
    </w:pPr>
    <w:rPr>
      <w:rFonts w:ascii="Times New Roman" w:hAnsi="Times New Roman"/>
      <w:sz w:val="20"/>
      <w:szCs w:val="20"/>
    </w:rPr>
  </w:style>
  <w:style w:type="paragraph" w:styleId="Bibliography">
    <w:name w:val="Bibliography"/>
    <w:basedOn w:val="Normal"/>
    <w:qFormat/>
    <w:pPr/>
    <w:rPr>
      <w:rFonts w:ascii="Times New Roman" w:hAnsi="Times New Roman"/>
    </w:rPr>
  </w:style>
  <w:style w:type="paragraph" w:styleId="BlockText">
    <w:name w:val="Block Text"/>
    <w:basedOn w:val="BodyText"/>
    <w:next w:val="BodyText"/>
    <w:uiPriority w:val="9"/>
    <w:unhideWhenUsed/>
    <w:qFormat/>
    <w:pPr>
      <w:spacing w:before="100" w:after="100"/>
      <w:ind w:hanging="0" w:left="480" w:right="480"/>
    </w:pPr>
    <w:rPr>
      <w:rFonts w:ascii="Times New Roman" w:hAnsi="Times New Roman"/>
    </w:rPr>
  </w:style>
  <w:style w:type="paragraph" w:styleId="DefinitionTerm" w:customStyle="1">
    <w:name w:val="Definition Term"/>
    <w:basedOn w:val="Normal"/>
    <w:next w:val="Definition"/>
    <w:qFormat/>
    <w:pPr>
      <w:keepNext w:val="true"/>
      <w:keepLines/>
      <w:spacing w:before="0" w:after="0"/>
    </w:pPr>
    <w:rPr>
      <w:rFonts w:ascii="Times New Roman" w:hAnsi="Times New Roman"/>
      <w:b/>
    </w:rPr>
  </w:style>
  <w:style w:type="paragraph" w:styleId="Definition" w:customStyle="1">
    <w:name w:val="Definition"/>
    <w:basedOn w:val="Normal"/>
    <w:qFormat/>
    <w:pPr/>
    <w:rPr>
      <w:rFonts w:ascii="Times New Roman" w:hAnsi="Times New Roman"/>
    </w:rPr>
  </w:style>
  <w:style w:type="paragraph" w:styleId="TableCaption" w:customStyle="1">
    <w:name w:val="Table Caption"/>
    <w:basedOn w:val="Caption"/>
    <w:qFormat/>
    <w:pPr>
      <w:keepNext w:val="true"/>
    </w:pPr>
    <w:rPr>
      <w:rFonts w:ascii="Times New Roman" w:hAnsi="Times New Roman"/>
    </w:rPr>
  </w:style>
  <w:style w:type="paragraph" w:styleId="ImageCaption" w:customStyle="1">
    <w:name w:val="Image Caption"/>
    <w:basedOn w:val="Caption"/>
    <w:qFormat/>
    <w:pPr/>
    <w:rPr>
      <w:rFonts w:ascii="Times New Roman" w:hAnsi="Times New Roman"/>
    </w:rPr>
  </w:style>
  <w:style w:type="paragraph" w:styleId="CaptionedFigure" w:customStyle="1">
    <w:name w:val="Captioned Figure"/>
    <w:basedOn w:val="Figure"/>
    <w:qFormat/>
    <w:pPr>
      <w:keepNext w:val="true"/>
    </w:pPr>
    <w:rPr>
      <w:rFonts w:ascii="Times New Roman" w:hAnsi="Times New Roman"/>
    </w:rPr>
  </w:style>
  <w:style w:type="paragraph" w:styleId="Figure">
    <w:name w:val="Figure"/>
    <w:basedOn w:val="Caption"/>
    <w:qFormat/>
    <w:pPr/>
    <w:rPr/>
  </w:style>
  <w:style w:type="paragraph" w:styleId="SourceCode" w:customStyle="1">
    <w:name w:val="Source Code"/>
    <w:basedOn w:val="Normal"/>
    <w:link w:val="VerbatimChar"/>
    <w:qFormat/>
    <w:pPr/>
    <w:rPr>
      <w:rFonts w:ascii="Times New Roman" w:hAnsi="Times New Roman"/>
    </w:rPr>
  </w:style>
  <w:style w:type="paragraph" w:styleId="FootnoteText">
    <w:name w:val="Footnote Text"/>
    <w:basedOn w:val="Normal"/>
    <w:pPr>
      <w:suppressLineNumbers/>
      <w:ind w:hanging="340" w:left="340"/>
    </w:pPr>
    <w:rPr>
      <w:sz w:val="20"/>
      <w:szCs w:val="20"/>
    </w:rPr>
  </w:style>
  <w:style w:type="paragraph" w:styleId="FrameContents">
    <w:name w:val="Frame Contents"/>
    <w:basedOn w:val="Normal"/>
    <w:qFormat/>
    <w:pPr/>
    <w:rPr/>
  </w:style>
  <w:style w:type="paragraph" w:styleId="TOC1">
    <w:name w:val="TOC 1"/>
    <w:basedOn w:val="Index"/>
    <w:pPr>
      <w:tabs>
        <w:tab w:val="clear" w:pos="720"/>
        <w:tab w:val="right" w:pos="9689" w:leader="dot"/>
      </w:tabs>
      <w:spacing w:before="0" w:after="34"/>
      <w:ind w:hanging="0" w:left="0"/>
    </w:pPr>
    <w:rPr>
      <w:rFonts w:ascii="Times New Roman" w:hAnsi="Times New Roman"/>
      <w:sz w:val="26"/>
    </w:rPr>
  </w:style>
  <w:style w:type="paragraph" w:styleId="TOC2">
    <w:name w:val="TOC 2"/>
    <w:basedOn w:val="Index"/>
    <w:pPr>
      <w:tabs>
        <w:tab w:val="clear" w:pos="720"/>
        <w:tab w:val="right" w:pos="9406" w:leader="dot"/>
      </w:tabs>
      <w:spacing w:before="0" w:after="34"/>
      <w:ind w:hanging="0" w:left="283"/>
    </w:pPr>
    <w:rPr>
      <w:rFonts w:ascii="Times New Roman" w:hAnsi="Times New Roman"/>
      <w:sz w:val="26"/>
    </w:rPr>
  </w:style>
  <w:style w:type="numbering" w:styleId="NoList" w:default="1">
    <w:name w:val="No List"/>
    <w:uiPriority w:val="99"/>
    <w:semiHidden/>
    <w:unhideWhenUsed/>
    <w:qFormat/>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hart" Target="charts/chart1.xml"/><Relationship Id="rId3" Type="http://schemas.openxmlformats.org/officeDocument/2006/relationships/chart" Target="charts/chart2.xml"/><Relationship Id="rId4" Type="http://schemas.openxmlformats.org/officeDocument/2006/relationships/chart" Target="charts/chart3.xml"/><Relationship Id="rId5" Type="http://schemas.openxmlformats.org/officeDocument/2006/relationships/chart" Target="charts/chart4.xml"/><Relationship Id="rId6" Type="http://schemas.openxmlformats.org/officeDocument/2006/relationships/chart" Target="charts/chart5.xml"/><Relationship Id="rId7" Type="http://schemas.openxmlformats.org/officeDocument/2006/relationships/chart" Target="charts/chart6.xml"/><Relationship Id="rId8" Type="http://schemas.openxmlformats.org/officeDocument/2006/relationships/chart" Target="charts/chart7.xml"/><Relationship Id="rId9" Type="http://schemas.openxmlformats.org/officeDocument/2006/relationships/chart" Target="charts/chart8.xml"/><Relationship Id="rId10" Type="http://schemas.openxmlformats.org/officeDocument/2006/relationships/chart" Target="charts/chart9.xml"/><Relationship Id="rId11" Type="http://schemas.openxmlformats.org/officeDocument/2006/relationships/chart" Target="charts/chart10.xml"/><Relationship Id="rId12" Type="http://schemas.openxmlformats.org/officeDocument/2006/relationships/chart" Target="charts/chart11.xml"/><Relationship Id="rId13" Type="http://schemas.openxmlformats.org/officeDocument/2006/relationships/chart" Target="charts/chart12.xml"/><Relationship Id="rId14" Type="http://schemas.openxmlformats.org/officeDocument/2006/relationships/chart" Target="charts/chart13.xml"/><Relationship Id="rId15" Type="http://schemas.openxmlformats.org/officeDocument/2006/relationships/chart" Target="charts/chart14.xml"/><Relationship Id="rId16" Type="http://schemas.openxmlformats.org/officeDocument/2006/relationships/chart" Target="charts/chart15.xml"/><Relationship Id="rId17" Type="http://schemas.openxmlformats.org/officeDocument/2006/relationships/chart" Target="charts/chart16.xml"/><Relationship Id="rId18" Type="http://schemas.openxmlformats.org/officeDocument/2006/relationships/chart" Target="charts/chart17.xml"/><Relationship Id="rId19" Type="http://schemas.openxmlformats.org/officeDocument/2006/relationships/chart" Target="charts/chart18.xml"/><Relationship Id="rId20" Type="http://schemas.openxmlformats.org/officeDocument/2006/relationships/chart" Target="charts/chart19.xml"/><Relationship Id="rId21" Type="http://schemas.openxmlformats.org/officeDocument/2006/relationships/chart" Target="charts/chart20.xml"/><Relationship Id="rId22" Type="http://schemas.openxmlformats.org/officeDocument/2006/relationships/chart" Target="charts/chart21.xml"/><Relationship Id="rId23" Type="http://schemas.openxmlformats.org/officeDocument/2006/relationships/chart" Target="charts/chart22.xml"/><Relationship Id="rId24" Type="http://schemas.openxmlformats.org/officeDocument/2006/relationships/chart" Target="charts/chart23.xml"/><Relationship Id="rId25" Type="http://schemas.openxmlformats.org/officeDocument/2006/relationships/chart" Target="charts/chart24.xml"/><Relationship Id="rId26" Type="http://schemas.openxmlformats.org/officeDocument/2006/relationships/chart" Target="charts/chart25.xml"/><Relationship Id="rId27" Type="http://schemas.openxmlformats.org/officeDocument/2006/relationships/chart" Target="charts/chart26.xml"/><Relationship Id="rId28" Type="http://schemas.openxmlformats.org/officeDocument/2006/relationships/chart" Target="charts/chart27.xml"/><Relationship Id="rId29" Type="http://schemas.openxmlformats.org/officeDocument/2006/relationships/chart" Target="charts/chart28.xml"/><Relationship Id="rId30" Type="http://schemas.openxmlformats.org/officeDocument/2006/relationships/chart" Target="charts/chart29.xml"/><Relationship Id="rId31" Type="http://schemas.openxmlformats.org/officeDocument/2006/relationships/chart" Target="charts/chart30.xml"/><Relationship Id="rId32" Type="http://schemas.openxmlformats.org/officeDocument/2006/relationships/chart" Target="charts/chart31.xml"/><Relationship Id="rId33" Type="http://schemas.openxmlformats.org/officeDocument/2006/relationships/chart" Target="charts/chart32.xml"/><Relationship Id="rId34" Type="http://schemas.openxmlformats.org/officeDocument/2006/relationships/chart" Target="charts/chart33.xml"/><Relationship Id="rId35" Type="http://schemas.openxmlformats.org/officeDocument/2006/relationships/chart" Target="charts/chart34.xml"/><Relationship Id="rId36" Type="http://schemas.openxmlformats.org/officeDocument/2006/relationships/footer" Target="footer1.xml"/><Relationship Id="rId37" Type="http://schemas.openxmlformats.org/officeDocument/2006/relationships/footnotes" Target="footnotes.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charts/_rels/chart1.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2.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3.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4.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5.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6.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7.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8.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9.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10.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11.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12.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13.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14.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15.xml.rels><?xml version="1.0" encoding="UTF-8"?>
<Relationships xmlns="http://schemas.openxmlformats.org/package/2006/relationships"><Relationship Id="rId1" Type="http://schemas.openxmlformats.org/officeDocument/2006/relationships/package" Target="../embeddings/Microsoft_Excel_Worksheet6.xlsx"/>
</Relationships>
</file>

<file path=word/charts/_rels/chart16.xml.rels><?xml version="1.0" encoding="UTF-8"?>
<Relationships xmlns="http://schemas.openxmlformats.org/package/2006/relationships"><Relationship Id="rId1" Type="http://schemas.openxmlformats.org/officeDocument/2006/relationships/package" Target="../embeddings/Microsoft_Excel_Worksheet8.xlsx"/>
</Relationships>
</file>

<file path=word/charts/_rels/chart17.xml.rels><?xml version="1.0" encoding="UTF-8"?>
<Relationships xmlns="http://schemas.openxmlformats.org/package/2006/relationships"><Relationship Id="rId1" Type="http://schemas.openxmlformats.org/officeDocument/2006/relationships/package" Target="../embeddings/Microsoft_Excel_Worksheet7.xlsx"/>
</Relationships>
</file>

<file path=word/charts/_rels/chart18.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19.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20.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21.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22.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23.xml.rels><?xml version="1.0" encoding="UTF-8"?>
<Relationships xmlns="http://schemas.openxmlformats.org/package/2006/relationships"><Relationship Id="rId1" Type="http://schemas.openxmlformats.org/officeDocument/2006/relationships/package" Target="../embeddings/Microsoft_Excel_Worksheet6.xlsx"/>
</Relationships>
</file>

<file path=word/charts/_rels/chart24.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25.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26.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27.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28.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29.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_rels/chart30.xml.rels><?xml version="1.0" encoding="UTF-8"?>
<Relationships xmlns="http://schemas.openxmlformats.org/package/2006/relationships"><Relationship Id="rId1" Type="http://schemas.openxmlformats.org/officeDocument/2006/relationships/package" Target="../embeddings/Microsoft_Excel_Worksheet4.xlsx"/>
</Relationships>
</file>

<file path=word/charts/_rels/chart31.xml.rels><?xml version="1.0" encoding="UTF-8"?>
<Relationships xmlns="http://schemas.openxmlformats.org/package/2006/relationships"><Relationship Id="rId1" Type="http://schemas.openxmlformats.org/officeDocument/2006/relationships/package" Target="../embeddings/Microsoft_Excel_Worksheet5.xlsx"/>
</Relationships>
</file>

<file path=word/charts/_rels/chart32.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_rels/chart33.xml.rels><?xml version="1.0" encoding="UTF-8"?>
<Relationships xmlns="http://schemas.openxmlformats.org/package/2006/relationships"><Relationship Id="rId1" Type="http://schemas.openxmlformats.org/officeDocument/2006/relationships/package" Target="../embeddings/Microsoft_Excel_Worksheet2.xlsx"/>
</Relationships>
</file>

<file path=word/charts/_rels/chart34.xml.rels><?xml version="1.0" encoding="UTF-8"?>
<Relationships xmlns="http://schemas.openxmlformats.org/package/2006/relationships"><Relationship Id="rId1" Type="http://schemas.openxmlformats.org/officeDocument/2006/relationships/package" Target="../embeddings/Microsoft_Excel_Worksheet3.xlsx"/>
</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Muammoli banklar ulushi</c:v>
                </c:pt>
              </c:strCache>
            </c:strRef>
          </c:tx>
          <c:spPr>
            <a:solidFill>
              <a:srgbClr val="2a78d6"/>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Aktivlar sifatining
yomonligi</c:v>
                </c:pt>
                <c:pt idx="1">
                  <c:v>Rejalashtirish va
boshqaruv zaifligi</c:v>
                </c:pt>
                <c:pt idx="2">
                  <c:v>Ichki auditning
yo‘qligi</c:v>
                </c:pt>
                <c:pt idx="3">
                  <c:v>Firibgarlik</c:v>
                </c:pt>
              </c:strCache>
            </c:strRef>
          </c:cat>
          <c:val>
            <c:numRef>
              <c:f>0</c:f>
              <c:numCache>
                <c:formatCode>General</c:formatCode>
                <c:ptCount val="4"/>
                <c:pt idx="0">
                  <c:v>98</c:v>
                </c:pt>
                <c:pt idx="1">
                  <c:v>90</c:v>
                </c:pt>
                <c:pt idx="2">
                  <c:v>25</c:v>
                </c:pt>
                <c:pt idx="3">
                  <c:v>11</c:v>
                </c:pt>
              </c:numCache>
            </c:numRef>
          </c:val>
        </c:ser>
        <c:gapWidth val="60"/>
        <c:overlap val="0"/>
        <c:axId val="53175737"/>
        <c:axId val="17191747"/>
      </c:barChart>
      <c:catAx>
        <c:axId val="5317573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7191747"/>
        <c:crosses val="autoZero"/>
        <c:auto val="1"/>
        <c:lblAlgn val="ctr"/>
        <c:lblOffset val="100"/>
        <c:noMultiLvlLbl val="0"/>
      </c:catAx>
      <c:valAx>
        <c:axId val="17191747"/>
        <c:scaling>
          <c:orientation val="minMax"/>
          <c:max val="1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Muammoli banklar sonidagi ulushi,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3175737"/>
        <c:crosses val="autoZero"/>
        <c:crossBetween val="between"/>
        <c:majorUnit val="20"/>
      </c:valAx>
      <c:spPr>
        <a:noFill/>
        <a:ln w="0">
          <a:noFill/>
        </a:ln>
      </c:spPr>
    </c:plotArea>
    <c:plotVisOnly val="1"/>
    <c:dispBlanksAs val="gap"/>
  </c:chart>
  <c:spPr>
    <a:solidFill>
      <a:srgbClr val="ffffff"/>
    </a:solidFill>
    <a:ln w="9360">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Muammoli banklar to‘g‘ri aniqlangan</c:v>
                </c:pt>
              </c:strCache>
            </c:strRef>
          </c:tx>
          <c:spPr>
            <a:solidFill>
              <a:srgbClr val="eb6834"/>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
                <c:pt idx="0">
                  <c:v>Faqat Z-score</c:v>
                </c:pt>
                <c:pt idx="1">
                  <c:v>To‘liq model</c:v>
                </c:pt>
                <c:pt idx="2">
                  <c:v>To‘liq model
(inqiroz davri)</c:v>
                </c:pt>
              </c:strCache>
            </c:strRef>
          </c:cat>
          <c:val>
            <c:numRef>
              <c:f>0</c:f>
              <c:numCache>
                <c:formatCode>General</c:formatCode>
                <c:ptCount val="3"/>
                <c:pt idx="0">
                  <c:v>75</c:v>
                </c:pt>
                <c:pt idx="1">
                  <c:v>81</c:v>
                </c:pt>
                <c:pt idx="2">
                  <c:v>91</c:v>
                </c:pt>
              </c:numCache>
            </c:numRef>
          </c:val>
        </c:ser>
        <c:ser>
          <c:idx val="1"/>
          <c:order val="1"/>
          <c:tx>
            <c:strRef>
              <c:f>label 1</c:f>
              <c:strCache>
                <c:ptCount val="1"/>
                <c:pt idx="0">
                  <c:v>Sog‘lom banklar to‘g‘ri aniqlangan</c:v>
                </c:pt>
              </c:strCache>
            </c:strRef>
          </c:tx>
          <c:spPr>
            <a:solidFill>
              <a:srgbClr val="2a78d6"/>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
                <c:pt idx="0">
                  <c:v>Faqat Z-score</c:v>
                </c:pt>
                <c:pt idx="1">
                  <c:v>To‘liq model</c:v>
                </c:pt>
                <c:pt idx="2">
                  <c:v>To‘liq model
(inqiroz davri)</c:v>
                </c:pt>
              </c:strCache>
            </c:strRef>
          </c:cat>
          <c:val>
            <c:numRef>
              <c:f>1</c:f>
              <c:numCache>
                <c:formatCode>General</c:formatCode>
                <c:ptCount val="3"/>
                <c:pt idx="0">
                  <c:v>81</c:v>
                </c:pt>
                <c:pt idx="1">
                  <c:v>87</c:v>
                </c:pt>
                <c:pt idx="2">
                  <c:v>83</c:v>
                </c:pt>
              </c:numCache>
            </c:numRef>
          </c:val>
        </c:ser>
        <c:gapWidth val="70"/>
        <c:overlap val="0"/>
        <c:axId val="65347232"/>
        <c:axId val="17658871"/>
      </c:barChart>
      <c:catAx>
        <c:axId val="65347232"/>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7658871"/>
        <c:crosses val="autoZero"/>
        <c:auto val="1"/>
        <c:lblAlgn val="ctr"/>
        <c:lblOffset val="100"/>
        <c:noMultiLvlLbl val="0"/>
      </c:catAx>
      <c:valAx>
        <c:axId val="17658871"/>
        <c:scaling>
          <c:orientation val="minMax"/>
          <c:max val="1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To‘g‘ri tasniflash ulushi,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5347232"/>
        <c:crosses val="autoZero"/>
        <c:crossBetween val="between"/>
        <c:majorUnit val="2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stacked"/>
        <c:varyColors val="0"/>
        <c:ser>
          <c:idx val="0"/>
          <c:order val="0"/>
          <c:tx>
            <c:strRef>
              <c:f>label 0</c:f>
              <c:strCache>
                <c:ptCount val="1"/>
                <c:pt idx="0">
                  <c:v>Asosiy kapital (CET1)</c:v>
                </c:pt>
              </c:strCache>
            </c:strRef>
          </c:tx>
          <c:spPr>
            <a:solidFill>
              <a:srgbClr val="1f4e79"/>
            </a:solidFill>
            <a:ln w="6480">
              <a:solidFill>
                <a:srgbClr val="ffffff"/>
              </a:solidFill>
              <a:round/>
            </a:ln>
          </c:spPr>
          <c:invertIfNegative val="0"/>
          <c:dLbls>
            <c:numFmt formatCode="General" sourceLinked="0"/>
            <c:txPr>
              <a:bodyPr wrap="square"/>
              <a:lstStyle/>
              <a:p>
                <a:pPr>
                  <a:defRPr b="1" sz="1050" spc="-1" strike="noStrike">
                    <a:solidFill>
                      <a:srgbClr val="ffffff"/>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0</c:f>
              <c:numCache>
                <c:formatCode>General</c:formatCode>
                <c:ptCount val="2"/>
                <c:pt idx="0">
                  <c:v>2</c:v>
                </c:pt>
                <c:pt idx="1">
                  <c:v>4.5</c:v>
                </c:pt>
              </c:numCache>
            </c:numRef>
          </c:val>
        </c:ser>
        <c:ser>
          <c:idx val="1"/>
          <c:order val="1"/>
          <c:tx>
            <c:strRef>
              <c:f>label 1</c:f>
              <c:strCache>
                <c:ptCount val="1"/>
                <c:pt idx="0">
                  <c:v>Qo‘shimcha birinchi darajali kapital</c:v>
                </c:pt>
              </c:strCache>
            </c:strRef>
          </c:tx>
          <c:spPr>
            <a:solidFill>
              <a:srgbClr val="9dc3e6"/>
            </a:solidFill>
            <a:ln w="6480">
              <a:solidFill>
                <a:srgbClr val="ffffff"/>
              </a:solidFill>
              <a:round/>
            </a:ln>
          </c:spPr>
          <c:invertIfNegative val="0"/>
          <c:dLbls>
            <c:numFmt formatCode="General"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1</c:f>
              <c:numCache>
                <c:formatCode>General</c:formatCode>
                <c:ptCount val="2"/>
                <c:pt idx="0">
                  <c:v>2</c:v>
                </c:pt>
                <c:pt idx="1">
                  <c:v>1.5</c:v>
                </c:pt>
              </c:numCache>
            </c:numRef>
          </c:val>
        </c:ser>
        <c:ser>
          <c:idx val="2"/>
          <c:order val="2"/>
          <c:tx>
            <c:strRef>
              <c:f>label 2</c:f>
              <c:strCache>
                <c:ptCount val="1"/>
                <c:pt idx="0">
                  <c:v>Ikkinchi darajali kapital</c:v>
                </c:pt>
              </c:strCache>
            </c:strRef>
          </c:tx>
          <c:spPr>
            <a:solidFill>
              <a:srgbClr val="a5a5a5"/>
            </a:solidFill>
            <a:ln w="6480">
              <a:solidFill>
                <a:srgbClr val="ffffff"/>
              </a:solidFill>
              <a:round/>
            </a:ln>
          </c:spPr>
          <c:invertIfNegative val="0"/>
          <c:dLbls>
            <c:numFmt formatCode="General"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2</c:f>
              <c:numCache>
                <c:formatCode>General</c:formatCode>
                <c:ptCount val="2"/>
                <c:pt idx="0">
                  <c:v>4</c:v>
                </c:pt>
                <c:pt idx="1">
                  <c:v>2</c:v>
                </c:pt>
              </c:numCache>
            </c:numRef>
          </c:val>
        </c:ser>
        <c:ser>
          <c:idx val="3"/>
          <c:order val="3"/>
          <c:tx>
            <c:strRef>
              <c:f>label 3</c:f>
              <c:strCache>
                <c:ptCount val="1"/>
                <c:pt idx="0">
                  <c:v>Konservatsiya buferi</c:v>
                </c:pt>
              </c:strCache>
            </c:strRef>
          </c:tx>
          <c:spPr>
            <a:solidFill>
              <a:srgbClr val="eb6834"/>
            </a:solidFill>
            <a:ln w="6480">
              <a:solidFill>
                <a:srgbClr val="ffffff"/>
              </a:solidFill>
              <a:round/>
            </a:ln>
          </c:spPr>
          <c:invertIfNegative val="0"/>
          <c:dLbls>
            <c:numFmt formatCode="General"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3</c:f>
              <c:numCache>
                <c:formatCode>General</c:formatCode>
                <c:ptCount val="2"/>
                <c:pt idx="1">
                  <c:v>2.5</c:v>
                </c:pt>
              </c:numCache>
            </c:numRef>
          </c:val>
        </c:ser>
        <c:ser>
          <c:idx val="4"/>
          <c:order val="4"/>
          <c:tx>
            <c:strRef>
              <c:f>label 4</c:f>
              <c:strCache>
                <c:ptCount val="1"/>
                <c:pt idx="0">
                  <c:v>Kontrsiklik bufer (0–2,5%)</c:v>
                </c:pt>
              </c:strCache>
            </c:strRef>
          </c:tx>
          <c:spPr>
            <a:solidFill>
              <a:srgbClr val="ffc000"/>
            </a:solidFill>
            <a:ln w="6480">
              <a:solidFill>
                <a:srgbClr val="ffffff"/>
              </a:solidFill>
              <a:round/>
            </a:ln>
          </c:spPr>
          <c:invertIfNegative val="0"/>
          <c:dLbls>
            <c:numFmt formatCode="General"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Bazel II</c:v>
                </c:pt>
                <c:pt idx="1">
                  <c:v>Bazel III</c:v>
                </c:pt>
              </c:strCache>
            </c:strRef>
          </c:cat>
          <c:val>
            <c:numRef>
              <c:f>4</c:f>
              <c:numCache>
                <c:formatCode>General</c:formatCode>
                <c:ptCount val="2"/>
                <c:pt idx="1">
                  <c:v>2.5</c:v>
                </c:pt>
              </c:numCache>
            </c:numRef>
          </c:val>
        </c:ser>
        <c:gapWidth val="90"/>
        <c:overlap val="100"/>
        <c:axId val="97158674"/>
        <c:axId val="61473506"/>
      </c:barChart>
      <c:catAx>
        <c:axId val="97158674"/>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1473506"/>
        <c:crosses val="autoZero"/>
        <c:auto val="1"/>
        <c:lblAlgn val="ctr"/>
        <c:lblOffset val="100"/>
        <c:noMultiLvlLbl val="0"/>
      </c:catAx>
      <c:valAx>
        <c:axId val="61473506"/>
        <c:scaling>
          <c:orientation val="minMax"/>
          <c:max val="1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Risk bo‘yicha tortilgan aktivlarga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7158674"/>
        <c:crosses val="autoZero"/>
        <c:crossBetween val="between"/>
        <c:majorUnit val="2"/>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Taqsimlanmaydigan foyda ulushi</c:v>
                </c:pt>
              </c:strCache>
            </c:strRef>
          </c:tx>
          <c:spPr>
            <a:solidFill>
              <a:srgbClr val="2a78d6"/>
            </a:solidFill>
            <a:ln w="34920">
              <a:solidFill>
                <a:srgbClr val="2a78d6"/>
              </a:solidFill>
              <a:round/>
            </a:ln>
          </c:spPr>
          <c:marker>
            <c:symbol val="none"/>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0</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label 2</c:f>
              <c:strCache>
                <c:ptCount val="1"/>
                <c:pt idx="0">
                  <c:v>Pog‘ona chegaralari</c:v>
                </c:pt>
              </c:strCache>
            </c:strRef>
          </c:tx>
          <c:spPr>
            <a:solidFill>
              <a:srgbClr val="eb6834"/>
            </a:solidFill>
            <a:ln w="28440">
              <a:noFill/>
            </a:ln>
          </c:spPr>
          <c:marker>
            <c:symbol val="circle"/>
            <c:size val="7"/>
            <c:spPr>
              <a:solidFill>
                <a:srgbClr val="eb6834"/>
              </a:solidFill>
            </c:spPr>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10"/>
                <c:pt idx="0">
                  <c:v>4.5</c:v>
                </c:pt>
                <c:pt idx="1">
                  <c:v>5.125</c:v>
                </c:pt>
                <c:pt idx="2">
                  <c:v>5.75</c:v>
                </c:pt>
                <c:pt idx="3">
                  <c:v>6.375</c:v>
                </c:pt>
                <c:pt idx="4">
                  <c:v>7</c:v>
                </c:pt>
              </c:numCache>
            </c:numRef>
          </c:xVal>
          <c:yVal>
            <c:numRef>
              <c:f>2</c:f>
              <c:numCache>
                <c:formatCode>General</c:formatCode>
                <c:ptCount val="10"/>
                <c:pt idx="0">
                  <c:v>100</c:v>
                </c:pt>
                <c:pt idx="1">
                  <c:v>80</c:v>
                </c:pt>
                <c:pt idx="2">
                  <c:v>60</c:v>
                </c:pt>
                <c:pt idx="3">
                  <c:v>40</c:v>
                </c:pt>
                <c:pt idx="4">
                  <c:v>0</c:v>
                </c:pt>
              </c:numCache>
            </c:numRef>
          </c:yVal>
          <c:smooth val="0"/>
        </c:ser>
        <c:axId val="16648246"/>
        <c:axId val="34621096"/>
      </c:scatterChart>
      <c:valAx>
        <c:axId val="16648246"/>
        <c:scaling>
          <c:orientation val="minMax"/>
          <c:max val="7.625"/>
          <c:min val="4.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Asosiy kapital (CET1) yetarliligi, %</a:t>
                </a:r>
              </a:p>
            </c:rich>
          </c:tx>
          <c:overlay val="0"/>
          <c:spPr>
            <a:noFill/>
            <a:ln w="0">
              <a:noFill/>
            </a:ln>
          </c:spPr>
        </c:title>
        <c:numFmt formatCode="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4621096"/>
        <c:crosses val="autoZero"/>
        <c:crossBetween val="midCat"/>
        <c:majorUnit val="0.625"/>
      </c:valAx>
      <c:valAx>
        <c:axId val="34621096"/>
        <c:scaling>
          <c:orientation val="minMax"/>
          <c:max val="11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Taqsimlanmasdan qoldiriladigan foyda ulushi,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6648246"/>
        <c:crosses val="autoZero"/>
        <c:crossBetween val="midCat"/>
        <c:majorUnit val="2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5.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UBSS tizimi</c:v>
                </c:pt>
              </c:strCache>
            </c:strRef>
          </c:tx>
          <c:spPr>
            <a:solidFill>
              <a:srgbClr val="a5a5a5"/>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
                <c:pt idx="0">
                  <c:v>To‘g‘ri bashorat</c:v>
                </c:pt>
                <c:pt idx="1">
                  <c:v>Birinchi tur xatosi</c:v>
                </c:pt>
                <c:pt idx="2">
                  <c:v>Ikkinchi tur xatosi</c:v>
                </c:pt>
              </c:strCache>
            </c:strRef>
          </c:cat>
          <c:val>
            <c:numRef>
              <c:f>0</c:f>
              <c:numCache>
                <c:formatCode>General</c:formatCode>
                <c:ptCount val="3"/>
                <c:pt idx="0">
                  <c:v>50</c:v>
                </c:pt>
                <c:pt idx="1">
                  <c:v>32.7</c:v>
                </c:pt>
                <c:pt idx="2">
                  <c:v>12.2</c:v>
                </c:pt>
              </c:numCache>
            </c:numRef>
          </c:val>
        </c:ser>
        <c:ser>
          <c:idx val="1"/>
          <c:order val="1"/>
          <c:tx>
            <c:strRef>
              <c:f>label 1</c:f>
              <c:strCache>
                <c:ptCount val="1"/>
                <c:pt idx="0">
                  <c:v>FIMS modeli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3"/>
                <c:pt idx="0">
                  <c:v>To‘g‘ri bashorat</c:v>
                </c:pt>
                <c:pt idx="1">
                  <c:v>Birinchi tur xatosi</c:v>
                </c:pt>
                <c:pt idx="2">
                  <c:v>Ikkinchi tur xatosi</c:v>
                </c:pt>
              </c:strCache>
            </c:strRef>
          </c:cat>
          <c:val>
            <c:numRef>
              <c:f>1</c:f>
              <c:numCache>
                <c:formatCode>General</c:formatCode>
                <c:ptCount val="3"/>
                <c:pt idx="0">
                  <c:v>74.6</c:v>
                </c:pt>
                <c:pt idx="1">
                  <c:v>17</c:v>
                </c:pt>
                <c:pt idx="2">
                  <c:v>7.4</c:v>
                </c:pt>
              </c:numCache>
            </c:numRef>
          </c:val>
        </c:ser>
        <c:gapWidth val="70"/>
        <c:overlap val="0"/>
        <c:axId val="38615976"/>
        <c:axId val="91182217"/>
      </c:barChart>
      <c:catAx>
        <c:axId val="38615976"/>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1182217"/>
        <c:crosses val="autoZero"/>
        <c:auto val="1"/>
        <c:lblAlgn val="ctr"/>
        <c:lblOffset val="100"/>
        <c:noMultiLvlLbl val="0"/>
      </c:catAx>
      <c:valAx>
        <c:axId val="91182217"/>
        <c:scaling>
          <c:orientation val="minMax"/>
          <c:max val="8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Kuzatuvlar ulushi,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8615976"/>
        <c:crosses val="autoZero"/>
        <c:crossBetween val="between"/>
        <c:majorUnit val="2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6.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Bazel qo‘mitasi</c:v>
                </c:pt>
              </c:strCache>
            </c:strRef>
          </c:tx>
          <c:spPr>
            <a:solidFill>
              <a:srgbClr val="2a78d6">
                <a:alpha val="35000"/>
              </a:srgbClr>
            </a:solidFill>
            <a:ln w="76320">
              <a:solidFill>
                <a:srgbClr val="2a78d6">
                  <a:alpha val="35000"/>
                </a:srgbClr>
              </a:solidFill>
              <a:round/>
            </a:ln>
          </c:spPr>
          <c:marker>
            <c:symbol val="none"/>
          </c:marker>
          <c:dPt>
            <c:idx val="5"/>
            <c:marker>
              <c:symbol val="none"/>
            </c:marker>
          </c:dPt>
          <c:dPt>
            <c:idx val="6"/>
            <c:marker>
              <c:symbol val="none"/>
            </c:marker>
          </c:dPt>
          <c:dPt>
            <c:idx val="7"/>
            <c:marker>
              <c:symbol val="none"/>
            </c:marker>
          </c:dPt>
          <c:dPt>
            <c:idx val="8"/>
            <c:marker>
              <c:symbol val="none"/>
            </c:marker>
          </c:dPt>
          <c:dPt>
            <c:idx val="9"/>
            <c:marker>
              <c:symbol val="none"/>
            </c:marker>
          </c:dPt>
          <c:dPt>
            <c:idx val="10"/>
            <c:marker>
              <c:symbol val="none"/>
            </c:marker>
          </c:dPt>
          <c:dPt>
            <c:idx val="11"/>
            <c:marker>
              <c:symbol val="none"/>
            </c:marker>
          </c:dPt>
          <c:dLbls>
            <c:numFmt formatCode="General" sourceLinked="0"/>
            <c:dLbl>
              <c:idx val="5"/>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6"/>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7"/>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8"/>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9"/>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10"/>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dLbl>
              <c:idx val="11"/>
              <c:txPr>
                <a:bodyPr wrap="square"/>
                <a:lstStyle/>
                <a:p>
                  <a:pPr>
                    <a:defRPr b="1" sz="1000" spc="-1" strike="noStrike">
                      <a:solidFill>
                        <a:srgbClr val="1f4e79"/>
                      </a:solidFill>
                      <a:latin typeface="Times New Roman"/>
                    </a:defRPr>
                  </a:pPr>
                </a:p>
              </c:txPr>
              <c:dLblPos val="b"/>
              <c:showLegendKey val="0"/>
              <c:showVal val="0"/>
              <c:showCatName val="0"/>
              <c:showSerName val="0"/>
              <c:showPercent val="0"/>
              <c:separator>; </c:separator>
            </c:dLbl>
            <c:txPr>
              <a:bodyPr wrap="square"/>
              <a:lstStyle/>
              <a:p>
                <a:pPr>
                  <a:defRPr b="1" sz="1000" spc="-1" strike="noStrike">
                    <a:solidFill>
                      <a:srgbClr val="1f4e79"/>
                    </a:solidFill>
                    <a:latin typeface="Times New Roman"/>
                  </a:defRPr>
                </a:pPr>
              </a:p>
            </c:txPr>
            <c:dLblPos val="b"/>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0</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label 2</c:f>
              <c:strCache>
                <c:ptCount val="1"/>
                <c:pt idx="0">
                  <c:v>O‘zbekiston</c:v>
                </c:pt>
              </c:strCache>
            </c:strRef>
          </c:tx>
          <c:spPr>
            <a:solidFill>
              <a:srgbClr val="70ad47"/>
            </a:solidFill>
            <a:ln w="22320">
              <a:solidFill>
                <a:srgbClr val="70ad47"/>
              </a:solidFill>
              <a:round/>
            </a:ln>
          </c:spPr>
          <c:marker>
            <c:symbol val="triangle"/>
            <c:size val="7"/>
            <c:spPr>
              <a:solidFill>
                <a:srgbClr val="70ad47"/>
              </a:solidFill>
            </c:spPr>
          </c:marker>
          <c:dPt>
            <c:idx val="0"/>
            <c:marker>
              <c:symbol val="triangle"/>
              <c:size val="7"/>
              <c:spPr>
                <a:solidFill>
                  <a:srgbClr val="70ad47"/>
                </a:solidFill>
              </c:spPr>
            </c:marker>
          </c:dPt>
          <c:dPt>
            <c:idx val="4"/>
            <c:marker>
              <c:symbol val="triangle"/>
              <c:size val="7"/>
              <c:spPr>
                <a:solidFill>
                  <a:srgbClr val="70ad47"/>
                </a:solidFill>
              </c:spPr>
            </c:marker>
          </c:dPt>
          <c:dPt>
            <c:idx val="5"/>
            <c:marker>
              <c:symbol val="triangle"/>
              <c:size val="7"/>
              <c:spPr>
                <a:solidFill>
                  <a:srgbClr val="70ad47"/>
                </a:solidFill>
              </c:spPr>
            </c:marker>
          </c:dPt>
          <c:dPt>
            <c:idx val="6"/>
            <c:marker>
              <c:symbol val="triangle"/>
              <c:size val="7"/>
              <c:spPr>
                <a:solidFill>
                  <a:srgbClr val="70ad47"/>
                </a:solidFill>
              </c:spPr>
            </c:marker>
          </c:dPt>
          <c:dPt>
            <c:idx val="7"/>
            <c:marker>
              <c:symbol val="triangle"/>
              <c:size val="7"/>
              <c:spPr>
                <a:solidFill>
                  <a:srgbClr val="70ad47"/>
                </a:solidFill>
              </c:spPr>
            </c:marker>
          </c:dPt>
          <c:dPt>
            <c:idx val="8"/>
            <c:marker>
              <c:symbol val="triangle"/>
              <c:size val="7"/>
              <c:spPr>
                <a:solidFill>
                  <a:srgbClr val="70ad47"/>
                </a:solidFill>
              </c:spPr>
            </c:marker>
          </c:dPt>
          <c:dPt>
            <c:idx val="9"/>
            <c:marker>
              <c:symbol val="triangle"/>
              <c:size val="7"/>
              <c:spPr>
                <a:solidFill>
                  <a:srgbClr val="70ad47"/>
                </a:solidFill>
              </c:spPr>
            </c:marker>
          </c:dPt>
          <c:dPt>
            <c:idx val="10"/>
            <c:marker>
              <c:symbol val="triangle"/>
              <c:size val="7"/>
              <c:spPr>
                <a:solidFill>
                  <a:srgbClr val="70ad47"/>
                </a:solidFill>
              </c:spPr>
            </c:marker>
          </c:dPt>
          <c:dPt>
            <c:idx val="11"/>
            <c:marker>
              <c:symbol val="triangle"/>
              <c:size val="7"/>
              <c:spPr>
                <a:solidFill>
                  <a:srgbClr val="70ad47"/>
                </a:solidFill>
              </c:spPr>
            </c:marker>
          </c:dPt>
          <c:dLbls>
            <c:numFmt formatCode="General" sourceLinked="0"/>
            <c:dLbl>
              <c:idx val="0"/>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4"/>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5"/>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6"/>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7"/>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8"/>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9"/>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10"/>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11"/>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70ad47"/>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2</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label 4</c:f>
              <c:strCache>
                <c:ptCount val="1"/>
                <c:pt idx="0">
                  <c:v>Rossiya: rasmiy talab (2016–2019-yillarda Bazel jadvali bilan bir xil)</c:v>
                </c:pt>
              </c:strCache>
            </c:strRef>
          </c:tx>
          <c:spPr>
            <a:solidFill>
              <a:srgbClr val="eb6834"/>
            </a:solidFill>
            <a:ln w="25560">
              <a:solidFill>
                <a:srgbClr val="eb6834"/>
              </a:solidFill>
              <a:prstDash val="dash"/>
              <a:round/>
            </a:ln>
          </c:spPr>
          <c:marker>
            <c:symbol val="square"/>
            <c:size val="7"/>
            <c:spPr>
              <a:solidFill>
                <a:srgbClr val="eb6834"/>
              </a:solidFill>
            </c:spPr>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5</c:f>
              <c:numCache>
                <c:formatCode>General</c:formatCode>
                <c:ptCount val="12"/>
                <c:pt idx="0">
                  <c:v>2016</c:v>
                </c:pt>
                <c:pt idx="1">
                  <c:v>2017</c:v>
                </c:pt>
                <c:pt idx="2">
                  <c:v>2018</c:v>
                </c:pt>
                <c:pt idx="3">
                  <c:v>2019</c:v>
                </c:pt>
                <c:pt idx="4">
                  <c:v>2020</c:v>
                </c:pt>
                <c:pt idx="5">
                  <c:v>2021</c:v>
                </c:pt>
              </c:numCache>
            </c:numRef>
          </c:xVal>
          <c:yVal>
            <c:numRef>
              <c:f>4</c:f>
              <c:numCache>
                <c:formatCode>General</c:formatCode>
                <c:ptCount val="12"/>
                <c:pt idx="0">
                  <c:v>70</c:v>
                </c:pt>
                <c:pt idx="1">
                  <c:v>80</c:v>
                </c:pt>
                <c:pt idx="2">
                  <c:v>90</c:v>
                </c:pt>
                <c:pt idx="3">
                  <c:v>100</c:v>
                </c:pt>
                <c:pt idx="4">
                  <c:v>100</c:v>
                </c:pt>
                <c:pt idx="5">
                  <c:v>100</c:v>
                </c:pt>
              </c:numCache>
            </c:numRef>
          </c:yVal>
          <c:smooth val="0"/>
        </c:ser>
        <c:ser>
          <c:idx val="3"/>
          <c:order val="3"/>
          <c:tx>
            <c:strRef>
              <c:f>label 6</c:f>
              <c:strCache>
                <c:ptCount val="1"/>
                <c:pt idx="0">
                  <c:v>Rossiya 2</c:v>
                </c:pt>
              </c:strCache>
            </c:strRef>
          </c:tx>
          <c:spPr>
            <a:solidFill>
              <a:srgbClr val="eb6834"/>
            </a:solidFill>
            <a:ln w="25560">
              <a:solidFill>
                <a:srgbClr val="eb6834"/>
              </a:solidFill>
              <a:prstDash val="dash"/>
              <a:round/>
            </a:ln>
          </c:spPr>
          <c:marker>
            <c:symbol val="square"/>
            <c:size val="7"/>
            <c:spPr>
              <a:solidFill>
                <a:srgbClr val="eb6834"/>
              </a:solidFill>
            </c:spPr>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7</c:f>
              <c:numCache>
                <c:formatCode>General</c:formatCode>
                <c:ptCount val="12"/>
                <c:pt idx="0">
                  <c:v>2024</c:v>
                </c:pt>
                <c:pt idx="1">
                  <c:v>2025</c:v>
                </c:pt>
                <c:pt idx="2">
                  <c:v>2026</c:v>
                </c:pt>
              </c:numCache>
            </c:numRef>
          </c:xVal>
          <c:yVal>
            <c:numRef>
              <c:f>6</c:f>
              <c:numCache>
                <c:formatCode>General</c:formatCode>
                <c:ptCount val="12"/>
                <c:pt idx="0">
                  <c:v>100</c:v>
                </c:pt>
                <c:pt idx="1">
                  <c:v>100</c:v>
                </c:pt>
                <c:pt idx="2">
                  <c:v>100</c:v>
                </c:pt>
              </c:numCache>
            </c:numRef>
          </c:yVal>
          <c:smooth val="0"/>
        </c:ser>
        <c:ser>
          <c:idx val="4"/>
          <c:order val="4"/>
          <c:tx>
            <c:strRef>
              <c:f>label 8</c:f>
              <c:strCache>
                <c:ptCount val="1"/>
                <c:pt idx="0">
                  <c:v>Rossiya: o‘z mablag‘lari hisobidan (2022–2023-yillardagi yengillikdan keyin)</c:v>
                </c:pt>
              </c:strCache>
            </c:strRef>
          </c:tx>
          <c:spPr>
            <a:solidFill>
              <a:srgbClr val="c00000"/>
            </a:solidFill>
            <a:ln w="19080">
              <a:solidFill>
                <a:srgbClr val="c00000"/>
              </a:solidFill>
              <a:prstDash val="sysDot"/>
              <a:round/>
            </a:ln>
          </c:spPr>
          <c:marker>
            <c:symbol val="diamond"/>
            <c:size val="7"/>
            <c:spPr>
              <a:solidFill>
                <a:srgbClr val="c00000"/>
              </a:solidFill>
            </c:spPr>
          </c:marker>
          <c:dLbls>
            <c:numFmt formatCode="General" sourceLinked="0"/>
            <c:txPr>
              <a:bodyPr wrap="square"/>
              <a:lstStyle/>
              <a:p>
                <a:pPr>
                  <a:defRPr b="1" sz="1000" spc="-1" strike="noStrike">
                    <a:solidFill>
                      <a:srgbClr val="c00000"/>
                    </a:solidFill>
                    <a:latin typeface="Times New Roman"/>
                  </a:defRPr>
                </a:pPr>
              </a:p>
            </c:txPr>
            <c:dLblPos val="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9</c:f>
              <c:numCache>
                <c:formatCode>General</c:formatCode>
                <c:ptCount val="12"/>
                <c:pt idx="0">
                  <c:v>2024.17</c:v>
                </c:pt>
                <c:pt idx="1">
                  <c:v>2024.5</c:v>
                </c:pt>
                <c:pt idx="2">
                  <c:v>2025.5</c:v>
                </c:pt>
                <c:pt idx="3">
                  <c:v>2026</c:v>
                </c:pt>
              </c:numCache>
            </c:numRef>
          </c:xVal>
          <c:yVal>
            <c:numRef>
              <c:f>8</c:f>
              <c:numCache>
                <c:formatCode>General</c:formatCode>
                <c:ptCount val="12"/>
                <c:pt idx="0">
                  <c:v>40</c:v>
                </c:pt>
                <c:pt idx="1">
                  <c:v>50</c:v>
                </c:pt>
                <c:pt idx="2">
                  <c:v>60</c:v>
                </c:pt>
                <c:pt idx="3">
                  <c:v>80</c:v>
                </c:pt>
              </c:numCache>
            </c:numRef>
          </c:yVal>
          <c:smooth val="0"/>
        </c:ser>
        <c:axId val="16088341"/>
        <c:axId val="90542911"/>
      </c:scatterChart>
      <c:valAx>
        <c:axId val="16088341"/>
        <c:scaling>
          <c:orientation val="minMax"/>
          <c:max val="2027"/>
          <c:min val="2014"/>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0542911"/>
        <c:crosses val="autoZero"/>
        <c:crossBetween val="midCat"/>
        <c:majorUnit val="1"/>
      </c:valAx>
      <c:valAx>
        <c:axId val="90542911"/>
        <c:scaling>
          <c:orientation val="minMax"/>
          <c:max val="110"/>
          <c:min val="3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Minimal talab,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6088341"/>
        <c:crosses val="autoZero"/>
        <c:crossBetween val="midCat"/>
        <c:majorUnit val="10"/>
      </c:valAx>
      <c:spPr>
        <a:noFill/>
        <a:ln w="0">
          <a:noFill/>
        </a:ln>
      </c:spPr>
    </c:plotArea>
    <c:legend>
      <c:legendPos val="b"/>
      <c:legendEntry>
        <c:idx val="3"/>
        <c:delete val="1"/>
      </c:legendEntry>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7.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stacked"/>
        <c:varyColors val="0"/>
        <c:ser>
          <c:idx val="0"/>
          <c:order val="0"/>
          <c:tx>
            <c:strRef>
              <c:f>label 0</c:f>
              <c:strCache>
                <c:ptCount val="1"/>
                <c:pt idx="0">
                  <c:v>Muammoli kreditlar</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ffffff"/>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0</c:f>
              <c:numCache>
                <c:formatCode>General</c:formatCode>
                <c:ptCount val="6"/>
                <c:pt idx="0">
                  <c:v>1.59</c:v>
                </c:pt>
                <c:pt idx="1">
                  <c:v>1.5</c:v>
                </c:pt>
                <c:pt idx="2">
                  <c:v>1.52</c:v>
                </c:pt>
              </c:numCache>
            </c:numRef>
          </c:val>
        </c:ser>
        <c:ser>
          <c:idx val="1"/>
          <c:order val="1"/>
          <c:tx>
            <c:strRef>
              <c:f>label 1</c:f>
              <c:strCache>
                <c:ptCount val="1"/>
                <c:pt idx="0">
                  <c:v>Alohida e’tibor talab qiluvchi kreditlar</c:v>
                </c:pt>
              </c:strCache>
            </c:strRef>
          </c:tx>
          <c:spPr>
            <a:solidFill>
              <a:srgbClr val="ffc000"/>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1</c:f>
              <c:numCache>
                <c:formatCode>General</c:formatCode>
                <c:ptCount val="6"/>
                <c:pt idx="0">
                  <c:v>2.2</c:v>
                </c:pt>
                <c:pt idx="1">
                  <c:v>2.22</c:v>
                </c:pt>
                <c:pt idx="2">
                  <c:v>2.2</c:v>
                </c:pt>
              </c:numCache>
            </c:numRef>
          </c:val>
        </c:ser>
        <c:ser>
          <c:idx val="2"/>
          <c:order val="2"/>
          <c:tx>
            <c:strRef>
              <c:f>label 2</c:f>
              <c:strCache>
                <c:ptCount val="1"/>
                <c:pt idx="0">
                  <c:v>Muqobil baholar</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2</c:f>
              <c:numCache>
                <c:formatCode>General</c:formatCode>
                <c:ptCount val="6"/>
                <c:pt idx="3">
                  <c:v>3</c:v>
                </c:pt>
                <c:pt idx="4">
                  <c:v>4.6</c:v>
                </c:pt>
                <c:pt idx="5">
                  <c:v>15.5</c:v>
                </c:pt>
              </c:numCache>
            </c:numRef>
          </c:val>
        </c:ser>
        <c:gapWidth val="50"/>
        <c:overlap val="100"/>
        <c:axId val="49357401"/>
        <c:axId val="7877610"/>
      </c:barChart>
      <c:catAx>
        <c:axId val="49357401"/>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877610"/>
        <c:crosses val="autoZero"/>
        <c:auto val="1"/>
        <c:lblAlgn val="ctr"/>
        <c:lblOffset val="100"/>
        <c:noMultiLvlLbl val="0"/>
      </c:catAx>
      <c:valAx>
        <c:axId val="7877610"/>
        <c:scaling>
          <c:orientation val="minMax"/>
          <c:max val="16"/>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9357401"/>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8.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Jami kapital monandligi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2023-y. oxiri</c:v>
                </c:pt>
                <c:pt idx="1">
                  <c:v>2024-y. oxiri</c:v>
                </c:pt>
                <c:pt idx="2">
                  <c:v>2025-y. I yarim</c:v>
                </c:pt>
                <c:pt idx="3">
                  <c:v>2025-y. oxiri</c:v>
                </c:pt>
                <c:pt idx="4">
                  <c:v>2026-y. 1-iyul</c:v>
                </c:pt>
              </c:strCache>
            </c:strRef>
          </c:cat>
          <c:val>
            <c:numRef>
              <c:f>0</c:f>
              <c:numCache>
                <c:formatCode>General</c:formatCode>
                <c:ptCount val="5"/>
                <c:pt idx="0">
                  <c:v>17.5</c:v>
                </c:pt>
                <c:pt idx="1">
                  <c:v>17</c:v>
                </c:pt>
                <c:pt idx="2">
                  <c:v>17.4</c:v>
                </c:pt>
                <c:pt idx="3">
                  <c:v>18.3</c:v>
                </c:pt>
                <c:pt idx="4">
                  <c:v>18.5</c:v>
                </c:pt>
              </c:numCache>
            </c:numRef>
          </c:val>
        </c:ser>
        <c:ser>
          <c:idx val="1"/>
          <c:order val="1"/>
          <c:tx>
            <c:strRef>
              <c:f>label 1</c:f>
              <c:strCache>
                <c:ptCount val="1"/>
                <c:pt idx="0">
                  <c:v>Asosiy kapital (CET1) monandligi</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2023-y. oxiri</c:v>
                </c:pt>
                <c:pt idx="1">
                  <c:v>2024-y. oxiri</c:v>
                </c:pt>
                <c:pt idx="2">
                  <c:v>2025-y. I yarim</c:v>
                </c:pt>
                <c:pt idx="3">
                  <c:v>2025-y. oxiri</c:v>
                </c:pt>
                <c:pt idx="4">
                  <c:v>2026-y. 1-iyul</c:v>
                </c:pt>
              </c:strCache>
            </c:strRef>
          </c:cat>
          <c:val>
            <c:numRef>
              <c:f>1</c:f>
              <c:numCache>
                <c:formatCode>General</c:formatCode>
                <c:ptCount val="5"/>
                <c:pt idx="2">
                  <c:v>14.6</c:v>
                </c:pt>
                <c:pt idx="3">
                  <c:v>14.7</c:v>
                </c:pt>
                <c:pt idx="4">
                  <c:v>15</c:v>
                </c:pt>
              </c:numCache>
            </c:numRef>
          </c:val>
        </c:ser>
        <c:gapWidth val="80"/>
        <c:overlap val="0"/>
        <c:axId val="96005320"/>
        <c:axId val="15096648"/>
      </c:barChart>
      <c:catAx>
        <c:axId val="96005320"/>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5096648"/>
        <c:crosses val="autoZero"/>
        <c:auto val="1"/>
        <c:lblAlgn val="ctr"/>
        <c:lblOffset val="100"/>
        <c:noMultiLvlLbl val="0"/>
      </c:catAx>
      <c:valAx>
        <c:axId val="15096648"/>
        <c:scaling>
          <c:orientation val="minMax"/>
          <c:max val="22"/>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Risk bo‘yicha tortilgan aktivlarga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6005320"/>
        <c:crosses val="autoZero"/>
        <c:crossBetween val="between"/>
        <c:majorUnit val="2"/>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9.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Amaldagi daraja (2025-y. oxiri)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Asosiy kapital (CET1)</c:v>
                </c:pt>
                <c:pt idx="1">
                  <c:v>Jami kapital</c:v>
                </c:pt>
              </c:strCache>
            </c:strRef>
          </c:cat>
          <c:val>
            <c:numRef>
              <c:f>0</c:f>
              <c:numCache>
                <c:formatCode>General</c:formatCode>
                <c:ptCount val="2"/>
                <c:pt idx="0">
                  <c:v>14.7</c:v>
                </c:pt>
                <c:pt idx="1">
                  <c:v>18.3</c:v>
                </c:pt>
              </c:numCache>
            </c:numRef>
          </c:val>
        </c:ser>
        <c:ser>
          <c:idx val="1"/>
          <c:order val="1"/>
          <c:tx>
            <c:strRef>
              <c:f>label 1</c:f>
              <c:strCache>
                <c:ptCount val="1"/>
                <c:pt idx="0">
                  <c:v>Salbiy ssenariy: 2028-y. I yarmi (2025-y. I yarim sharhi)</c:v>
                </c:pt>
              </c:strCache>
            </c:strRef>
          </c:tx>
          <c:spPr>
            <a:solidFill>
              <a:srgbClr val="ffc00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Asosiy kapital (CET1)</c:v>
                </c:pt>
                <c:pt idx="1">
                  <c:v>Jami kapital</c:v>
                </c:pt>
              </c:strCache>
            </c:strRef>
          </c:cat>
          <c:val>
            <c:numRef>
              <c:f>1</c:f>
              <c:numCache>
                <c:formatCode>General</c:formatCode>
                <c:ptCount val="2"/>
                <c:pt idx="0">
                  <c:v>6.1</c:v>
                </c:pt>
                <c:pt idx="1">
                  <c:v>8.4</c:v>
                </c:pt>
              </c:numCache>
            </c:numRef>
          </c:val>
        </c:ser>
        <c:ser>
          <c:idx val="2"/>
          <c:order val="2"/>
          <c:tx>
            <c:strRef>
              <c:f>label 2</c:f>
              <c:strCache>
                <c:ptCount val="1"/>
                <c:pt idx="0">
                  <c:v>Salbiy ssenariy: 2028-y. oxiri (2025-y. sharhi)</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Asosiy kapital (CET1)</c:v>
                </c:pt>
                <c:pt idx="1">
                  <c:v>Jami kapital</c:v>
                </c:pt>
              </c:strCache>
            </c:strRef>
          </c:cat>
          <c:val>
            <c:numRef>
              <c:f>2</c:f>
              <c:numCache>
                <c:formatCode>General</c:formatCode>
                <c:ptCount val="2"/>
                <c:pt idx="0">
                  <c:v>5.6</c:v>
                </c:pt>
                <c:pt idx="1">
                  <c:v>6.8</c:v>
                </c:pt>
              </c:numCache>
            </c:numRef>
          </c:val>
        </c:ser>
        <c:ser>
          <c:idx val="3"/>
          <c:order val="3"/>
          <c:tx>
            <c:strRef>
              <c:f>label 3</c:f>
              <c:strCache>
                <c:ptCount val="1"/>
                <c:pt idx="0">
                  <c:v>Regulyativ minimum</c:v>
                </c:pt>
              </c:strCache>
            </c:strRef>
          </c:tx>
          <c:spPr>
            <a:solidFill>
              <a:srgbClr val="a5a5a5"/>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Asosiy kapital (CET1)</c:v>
                </c:pt>
                <c:pt idx="1">
                  <c:v>Jami kapital</c:v>
                </c:pt>
              </c:strCache>
            </c:strRef>
          </c:cat>
          <c:val>
            <c:numRef>
              <c:f>3</c:f>
              <c:numCache>
                <c:formatCode>General</c:formatCode>
                <c:ptCount val="2"/>
                <c:pt idx="0">
                  <c:v>8</c:v>
                </c:pt>
                <c:pt idx="1">
                  <c:v>13</c:v>
                </c:pt>
              </c:numCache>
            </c:numRef>
          </c:val>
        </c:ser>
        <c:gapWidth val="60"/>
        <c:overlap val="0"/>
        <c:axId val="75521191"/>
        <c:axId val="68491318"/>
      </c:barChart>
      <c:catAx>
        <c:axId val="75521191"/>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8491318"/>
        <c:crosses val="autoZero"/>
        <c:auto val="1"/>
        <c:lblAlgn val="ctr"/>
        <c:lblOffset val="100"/>
        <c:noMultiLvlLbl val="0"/>
      </c:catAx>
      <c:valAx>
        <c:axId val="68491318"/>
        <c:scaling>
          <c:orientation val="minMax"/>
          <c:max val="2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Risk bo‘yicha tortilgan aktivlarga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5521191"/>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0.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Aktivlardagi ulushi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81.5</c:v>
                </c:pt>
                <c:pt idx="1">
                  <c:v>78.2</c:v>
                </c:pt>
                <c:pt idx="2">
                  <c:v>67.7</c:v>
                </c:pt>
                <c:pt idx="3">
                  <c:v>65.4</c:v>
                </c:pt>
                <c:pt idx="4">
                  <c:v>63.5</c:v>
                </c:pt>
              </c:numCache>
            </c:numRef>
          </c:val>
        </c:ser>
        <c:ser>
          <c:idx val="1"/>
          <c:order val="1"/>
          <c:tx>
            <c:strRef>
              <c:f>label 1</c:f>
              <c:strCache>
                <c:ptCount val="1"/>
                <c:pt idx="0">
                  <c:v>Kreditlardagi ulushi</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85.8</c:v>
                </c:pt>
                <c:pt idx="1">
                  <c:v>83.2</c:v>
                </c:pt>
                <c:pt idx="2">
                  <c:v>70.7</c:v>
                </c:pt>
                <c:pt idx="3">
                  <c:v>68.8</c:v>
                </c:pt>
                <c:pt idx="4">
                  <c:v>67</c:v>
                </c:pt>
              </c:numCache>
            </c:numRef>
          </c:val>
        </c:ser>
        <c:ser>
          <c:idx val="2"/>
          <c:order val="2"/>
          <c:tx>
            <c:strRef>
              <c:f>label 2</c:f>
              <c:strCache>
                <c:ptCount val="1"/>
                <c:pt idx="0">
                  <c:v>Depozitlardagi ulushi</c:v>
                </c:pt>
              </c:strCache>
            </c:strRef>
          </c:tx>
          <c:spPr>
            <a:solidFill>
              <a:srgbClr val="70ad47"/>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66.7</c:v>
                </c:pt>
                <c:pt idx="1">
                  <c:v>62.5</c:v>
                </c:pt>
                <c:pt idx="2">
                  <c:v>51.5</c:v>
                </c:pt>
                <c:pt idx="3">
                  <c:v>50.1</c:v>
                </c:pt>
                <c:pt idx="4">
                  <c:v>51</c:v>
                </c:pt>
              </c:numCache>
            </c:numRef>
          </c:val>
        </c:ser>
        <c:gapWidth val="60"/>
        <c:overlap val="0"/>
        <c:axId val="35319877"/>
        <c:axId val="70307936"/>
      </c:barChart>
      <c:catAx>
        <c:axId val="3531987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0307936"/>
        <c:crosses val="autoZero"/>
        <c:auto val="1"/>
        <c:lblAlgn val="ctr"/>
        <c:lblOffset val="100"/>
        <c:noMultiLvlLbl val="0"/>
      </c:catAx>
      <c:valAx>
        <c:axId val="70307936"/>
        <c:scaling>
          <c:orientation val="minMax"/>
          <c:max val="1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Bank tizimi jami ko‘rsatkichiga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5319877"/>
        <c:crosses val="autoZero"/>
        <c:crossBetween val="between"/>
        <c:majorUnit val="2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Regulyativ kapital monandligi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17.5</c:v>
                </c:pt>
                <c:pt idx="1">
                  <c:v>17.8</c:v>
                </c:pt>
                <c:pt idx="2">
                  <c:v>17.5</c:v>
                </c:pt>
                <c:pt idx="3">
                  <c:v>17.4</c:v>
                </c:pt>
                <c:pt idx="4">
                  <c:v>18.3</c:v>
                </c:pt>
              </c:numCache>
            </c:numRef>
          </c:val>
        </c:ser>
        <c:ser>
          <c:idx val="1"/>
          <c:order val="1"/>
          <c:tx>
            <c:strRef>
              <c:f>label 1</c:f>
              <c:strCache>
                <c:ptCount val="1"/>
                <c:pt idx="0">
                  <c:v>Asosiy kapital (CET1) monandligi</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14.6</c:v>
                </c:pt>
                <c:pt idx="1">
                  <c:v>14.4</c:v>
                </c:pt>
                <c:pt idx="2">
                  <c:v>14.1</c:v>
                </c:pt>
                <c:pt idx="3">
                  <c:v>14.3</c:v>
                </c:pt>
                <c:pt idx="4">
                  <c:v>14.7</c:v>
                </c:pt>
              </c:numCache>
            </c:numRef>
          </c:val>
        </c:ser>
        <c:gapWidth val="80"/>
        <c:overlap val="0"/>
        <c:axId val="43323332"/>
        <c:axId val="47955111"/>
      </c:barChart>
      <c:catAx>
        <c:axId val="43323332"/>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7955111"/>
        <c:crosses val="autoZero"/>
        <c:auto val="1"/>
        <c:lblAlgn val="ctr"/>
        <c:lblOffset val="100"/>
        <c:noMultiLvlLbl val="0"/>
      </c:catAx>
      <c:valAx>
        <c:axId val="47955111"/>
        <c:scaling>
          <c:orientation val="minMax"/>
          <c:max val="22"/>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3323332"/>
        <c:crosses val="autoZero"/>
        <c:crossBetween val="between"/>
        <c:majorUnit val="2"/>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Muammoli kreditlar, jami</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5.2</c:v>
                </c:pt>
                <c:pt idx="1">
                  <c:v>3.6</c:v>
                </c:pt>
                <c:pt idx="2">
                  <c:v>3.5</c:v>
                </c:pt>
                <c:pt idx="3">
                  <c:v>4</c:v>
                </c:pt>
                <c:pt idx="4">
                  <c:v>3</c:v>
                </c:pt>
              </c:numCache>
            </c:numRef>
          </c:val>
        </c:ser>
        <c:ser>
          <c:idx val="1"/>
          <c:order val="1"/>
          <c:tx>
            <c:strRef>
              <c:f>label 1</c:f>
              <c:strCache>
                <c:ptCount val="1"/>
                <c:pt idx="0">
                  <c:v>Muammoli kreditlar, davlat banklari</c:v>
                </c:pt>
              </c:strCache>
            </c:strRef>
          </c:tx>
          <c:spPr>
            <a:solidFill>
              <a:srgbClr val="9dc3e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5.4</c:v>
                </c:pt>
                <c:pt idx="1">
                  <c:v>3.9</c:v>
                </c:pt>
                <c:pt idx="2">
                  <c:v>4</c:v>
                </c:pt>
                <c:pt idx="3">
                  <c:v>3.9</c:v>
                </c:pt>
                <c:pt idx="4">
                  <c:v>3.2</c:v>
                </c:pt>
              </c:numCache>
            </c:numRef>
          </c:val>
        </c:ser>
        <c:ser>
          <c:idx val="2"/>
          <c:order val="2"/>
          <c:tx>
            <c:strRef>
              <c:f>label 2</c:f>
              <c:strCache>
                <c:ptCount val="1"/>
                <c:pt idx="0">
                  <c:v>Muammoli kreditlar, boshqa banklar</c:v>
                </c:pt>
              </c:strCache>
            </c:strRef>
          </c:tx>
          <c:spPr>
            <a:solidFill>
              <a:srgbClr val="ffc00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4.1</c:v>
                </c:pt>
                <c:pt idx="1">
                  <c:v>2.1</c:v>
                </c:pt>
                <c:pt idx="2">
                  <c:v>2.4</c:v>
                </c:pt>
                <c:pt idx="3">
                  <c:v>4.1</c:v>
                </c:pt>
                <c:pt idx="4">
                  <c:v>2.6</c:v>
                </c:pt>
              </c:numCache>
            </c:numRef>
          </c:val>
        </c:ser>
        <c:ser>
          <c:idx val="3"/>
          <c:order val="3"/>
          <c:tx>
            <c:strRef>
              <c:f>label 3</c:f>
              <c:strCache>
                <c:ptCount val="1"/>
                <c:pt idx="0">
                  <c:v>Substandart va muammoli kreditlar</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3</c:f>
              <c:numCache>
                <c:formatCode>General</c:formatCode>
                <c:ptCount val="5"/>
                <c:pt idx="0">
                  <c:v>12.5</c:v>
                </c:pt>
                <c:pt idx="1">
                  <c:v>15.9</c:v>
                </c:pt>
                <c:pt idx="2">
                  <c:v>19.5</c:v>
                </c:pt>
                <c:pt idx="3">
                  <c:v>21</c:v>
                </c:pt>
                <c:pt idx="4">
                  <c:v>15</c:v>
                </c:pt>
              </c:numCache>
            </c:numRef>
          </c:val>
        </c:ser>
        <c:gapWidth val="50"/>
        <c:overlap val="0"/>
        <c:axId val="22776665"/>
        <c:axId val="46514599"/>
      </c:barChart>
      <c:catAx>
        <c:axId val="22776665"/>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6514599"/>
        <c:crosses val="autoZero"/>
        <c:auto val="1"/>
        <c:lblAlgn val="ctr"/>
        <c:lblOffset val="100"/>
        <c:noMultiLvlLbl val="0"/>
      </c:catAx>
      <c:valAx>
        <c:axId val="46514599"/>
        <c:scaling>
          <c:orientation val="minMax"/>
          <c:max val="2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2776665"/>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3.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ROA</c:v>
                </c:pt>
              </c:strCache>
            </c:strRef>
          </c:tx>
          <c:spPr>
            <a:solidFill>
              <a:srgbClr val="2a78d6"/>
            </a:solidFill>
            <a:ln w="28440">
              <a:solidFill>
                <a:srgbClr val="2a78d6"/>
              </a:solidFill>
              <a:round/>
            </a:ln>
          </c:spPr>
          <c:marker>
            <c:symbol val="circle"/>
            <c:size val="7"/>
            <c:spPr>
              <a:solidFill>
                <a:srgbClr val="2a78d6"/>
              </a:solidFill>
            </c:spPr>
          </c:marker>
          <c:dLbls>
            <c:numFmt formatCode="General" sourceLinked="0"/>
            <c:txPr>
              <a:bodyPr wrap="square"/>
              <a:lstStyle/>
              <a:p>
                <a:pPr>
                  <a:defRPr b="1" sz="1000" spc="-1" strike="noStrike">
                    <a:solidFill>
                      <a:srgbClr val="2a78d6"/>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1.4</c:v>
                </c:pt>
                <c:pt idx="1">
                  <c:v>2.5</c:v>
                </c:pt>
                <c:pt idx="2">
                  <c:v>2.6</c:v>
                </c:pt>
                <c:pt idx="3">
                  <c:v>1.4</c:v>
                </c:pt>
                <c:pt idx="4">
                  <c:v>2.2</c:v>
                </c:pt>
              </c:numCache>
            </c:numRef>
          </c:yVal>
          <c:smooth val="0"/>
        </c:ser>
        <c:ser>
          <c:idx val="1"/>
          <c:order val="1"/>
          <c:tx>
            <c:strRef>
              <c:f>label 2</c:f>
              <c:strCache>
                <c:ptCount val="1"/>
                <c:pt idx="0">
                  <c:v>ROE</c:v>
                </c:pt>
              </c:strCache>
            </c:strRef>
          </c:tx>
          <c:spPr>
            <a:solidFill>
              <a:srgbClr val="eb6834"/>
            </a:solidFill>
            <a:ln w="28440">
              <a:solidFill>
                <a:srgbClr val="eb6834"/>
              </a:solidFill>
              <a:round/>
            </a:ln>
          </c:spPr>
          <c:marker>
            <c:symbol val="square"/>
            <c:size val="7"/>
            <c:spPr>
              <a:solidFill>
                <a:srgbClr val="eb6834"/>
              </a:solidFill>
            </c:spPr>
          </c:marker>
          <c:dLbls>
            <c:numFmt formatCode="General" sourceLinked="0"/>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6.1</c:v>
                </c:pt>
                <c:pt idx="1">
                  <c:v>13.3</c:v>
                </c:pt>
                <c:pt idx="2">
                  <c:v>14.2</c:v>
                </c:pt>
                <c:pt idx="3">
                  <c:v>6.6</c:v>
                </c:pt>
                <c:pt idx="4">
                  <c:v>12.4</c:v>
                </c:pt>
              </c:numCache>
            </c:numRef>
          </c:yVal>
          <c:smooth val="0"/>
        </c:ser>
        <c:axId val="34562272"/>
        <c:axId val="68900294"/>
      </c:scatterChart>
      <c:valAx>
        <c:axId val="34562272"/>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8900294"/>
        <c:crosses val="autoZero"/>
        <c:crossBetween val="midCat"/>
        <c:majorUnit val="1"/>
      </c:valAx>
      <c:valAx>
        <c:axId val="68900294"/>
        <c:scaling>
          <c:orientation val="minMax"/>
          <c:max val="16"/>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4562272"/>
        <c:crosses val="autoZero"/>
        <c:crossBetween val="midCat"/>
        <c:majorUnit val="2"/>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4.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«O‘zsanoatqurilishbank»</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15.8</c:v>
                </c:pt>
                <c:pt idx="1">
                  <c:v>15.3</c:v>
                </c:pt>
                <c:pt idx="2">
                  <c:v>16.1</c:v>
                </c:pt>
                <c:pt idx="3">
                  <c:v>15.6</c:v>
                </c:pt>
                <c:pt idx="4">
                  <c:v>17</c:v>
                </c:pt>
              </c:numCache>
            </c:numRef>
          </c:val>
        </c:ser>
        <c:ser>
          <c:idx val="1"/>
          <c:order val="1"/>
          <c:tx>
            <c:strRef>
              <c:f>label 1</c:f>
              <c:strCache>
                <c:ptCount val="1"/>
                <c:pt idx="0">
                  <c:v>«Mikrokreditbank»</c:v>
                </c:pt>
              </c:strCache>
            </c:strRef>
          </c:tx>
          <c:spPr>
            <a:solidFill>
              <a:srgbClr val="70ad47"/>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13.8</c:v>
                </c:pt>
                <c:pt idx="1">
                  <c:v>20.7</c:v>
                </c:pt>
                <c:pt idx="2">
                  <c:v>18.6</c:v>
                </c:pt>
                <c:pt idx="3">
                  <c:v>15.4</c:v>
                </c:pt>
                <c:pt idx="4">
                  <c:v>18.5</c:v>
                </c:pt>
              </c:numCache>
            </c:numRef>
          </c:val>
        </c:ser>
        <c:ser>
          <c:idx val="2"/>
          <c:order val="2"/>
          <c:tx>
            <c:strRef>
              <c:f>label 2</c:f>
              <c:strCache>
                <c:ptCount val="1"/>
                <c:pt idx="0">
                  <c:v>Regulyativ minimum</c:v>
                </c:pt>
              </c:strCache>
            </c:strRef>
          </c:tx>
          <c:spPr>
            <a:solidFill>
              <a:srgbClr val="a5a5a5"/>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13</c:v>
                </c:pt>
                <c:pt idx="1">
                  <c:v>13</c:v>
                </c:pt>
                <c:pt idx="2">
                  <c:v>13</c:v>
                </c:pt>
                <c:pt idx="3">
                  <c:v>13</c:v>
                </c:pt>
                <c:pt idx="4">
                  <c:v>13</c:v>
                </c:pt>
              </c:numCache>
            </c:numRef>
          </c:val>
        </c:ser>
        <c:gapWidth val="70"/>
        <c:overlap val="0"/>
        <c:axId val="56796460"/>
        <c:axId val="50940228"/>
      </c:barChart>
      <c:catAx>
        <c:axId val="56796460"/>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0940228"/>
        <c:crosses val="autoZero"/>
        <c:auto val="1"/>
        <c:lblAlgn val="ctr"/>
        <c:lblOffset val="100"/>
        <c:noMultiLvlLbl val="0"/>
      </c:catAx>
      <c:valAx>
        <c:axId val="50940228"/>
        <c:scaling>
          <c:orientation val="minMax"/>
          <c:max val="2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6796460"/>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5.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SQB: muammoli kreditlar</c:v>
                </c:pt>
              </c:strCache>
            </c:strRef>
          </c:tx>
          <c:spPr>
            <a:solidFill>
              <a:srgbClr val="1f4e79"/>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3.8</c:v>
                </c:pt>
                <c:pt idx="1">
                  <c:v>2.8</c:v>
                </c:pt>
                <c:pt idx="2">
                  <c:v>2.2</c:v>
                </c:pt>
                <c:pt idx="3">
                  <c:v>2.8</c:v>
                </c:pt>
                <c:pt idx="4">
                  <c:v>2.5</c:v>
                </c:pt>
              </c:numCache>
            </c:numRef>
          </c:val>
        </c:ser>
        <c:ser>
          <c:idx val="1"/>
          <c:order val="1"/>
          <c:tx>
            <c:strRef>
              <c:f>label 1</c:f>
              <c:strCache>
                <c:ptCount val="1"/>
                <c:pt idx="0">
                  <c:v>SQB: substandart kreditlar</c:v>
                </c:pt>
              </c:strCache>
            </c:strRef>
          </c:tx>
          <c:spPr>
            <a:solidFill>
              <a:srgbClr val="9dc3e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6.2</c:v>
                </c:pt>
                <c:pt idx="1">
                  <c:v>5.3</c:v>
                </c:pt>
                <c:pt idx="2">
                  <c:v>11</c:v>
                </c:pt>
                <c:pt idx="3">
                  <c:v>14.8</c:v>
                </c:pt>
                <c:pt idx="4">
                  <c:v>18.4</c:v>
                </c:pt>
              </c:numCache>
            </c:numRef>
          </c:val>
        </c:ser>
        <c:ser>
          <c:idx val="2"/>
          <c:order val="2"/>
          <c:tx>
            <c:strRef>
              <c:f>label 2</c:f>
              <c:strCache>
                <c:ptCount val="1"/>
                <c:pt idx="0">
                  <c:v>MK: muammoli kreditlar</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5.9</c:v>
                </c:pt>
                <c:pt idx="1">
                  <c:v>4.8</c:v>
                </c:pt>
                <c:pt idx="2">
                  <c:v>6</c:v>
                </c:pt>
                <c:pt idx="3">
                  <c:v>4.6</c:v>
                </c:pt>
                <c:pt idx="4">
                  <c:v>4.4</c:v>
                </c:pt>
              </c:numCache>
            </c:numRef>
          </c:val>
        </c:ser>
        <c:ser>
          <c:idx val="3"/>
          <c:order val="3"/>
          <c:tx>
            <c:strRef>
              <c:f>label 3</c:f>
              <c:strCache>
                <c:ptCount val="1"/>
                <c:pt idx="0">
                  <c:v>MK: substandart kreditlar</c:v>
                </c:pt>
              </c:strCache>
            </c:strRef>
          </c:tx>
          <c:spPr>
            <a:solidFill>
              <a:srgbClr val="ffc00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3</c:f>
              <c:numCache>
                <c:formatCode>General</c:formatCode>
                <c:ptCount val="5"/>
                <c:pt idx="0">
                  <c:v>9.1</c:v>
                </c:pt>
                <c:pt idx="1">
                  <c:v>19.3</c:v>
                </c:pt>
                <c:pt idx="2">
                  <c:v>24.5</c:v>
                </c:pt>
                <c:pt idx="3">
                  <c:v>21.3</c:v>
                </c:pt>
                <c:pt idx="4">
                  <c:v>9</c:v>
                </c:pt>
              </c:numCache>
            </c:numRef>
          </c:val>
        </c:ser>
        <c:gapWidth val="50"/>
        <c:overlap val="0"/>
        <c:axId val="47260574"/>
        <c:axId val="25847053"/>
      </c:barChart>
      <c:catAx>
        <c:axId val="47260574"/>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5847053"/>
        <c:crosses val="autoZero"/>
        <c:auto val="1"/>
        <c:lblAlgn val="ctr"/>
        <c:lblOffset val="100"/>
        <c:noMultiLvlLbl val="0"/>
      </c:catAx>
      <c:valAx>
        <c:axId val="25847053"/>
        <c:scaling>
          <c:orientation val="minMax"/>
          <c:max val="28"/>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7260574"/>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6.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SQB: rasmiy muammoli kreditlar</c:v>
                </c:pt>
              </c:strCache>
            </c:strRef>
          </c:tx>
          <c:spPr>
            <a:solidFill>
              <a:srgbClr val="9dc3e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3.8</c:v>
                </c:pt>
                <c:pt idx="1">
                  <c:v>2.8</c:v>
                </c:pt>
                <c:pt idx="2">
                  <c:v>2.2</c:v>
                </c:pt>
                <c:pt idx="3">
                  <c:v>2.8</c:v>
                </c:pt>
                <c:pt idx="4">
                  <c:v>2.5</c:v>
                </c:pt>
              </c:numCache>
            </c:numRef>
          </c:val>
        </c:ser>
        <c:ser>
          <c:idx val="1"/>
          <c:order val="1"/>
          <c:tx>
            <c:strRef>
              <c:f>label 1</c:f>
              <c:strCache>
                <c:ptCount val="1"/>
                <c:pt idx="0">
                  <c:v>SQB: MHXS 9 bo‘yicha 3-bosqich</c:v>
                </c:pt>
              </c:strCache>
            </c:strRef>
          </c:tx>
          <c:spPr>
            <a:solidFill>
              <a:srgbClr val="1f4e79"/>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6.2</c:v>
                </c:pt>
                <c:pt idx="1">
                  <c:v>7.4</c:v>
                </c:pt>
                <c:pt idx="2">
                  <c:v>4.8</c:v>
                </c:pt>
                <c:pt idx="3">
                  <c:v>5.9</c:v>
                </c:pt>
                <c:pt idx="4">
                  <c:v>7.5</c:v>
                </c:pt>
              </c:numCache>
            </c:numRef>
          </c:val>
        </c:ser>
        <c:ser>
          <c:idx val="2"/>
          <c:order val="2"/>
          <c:tx>
            <c:strRef>
              <c:f>label 2</c:f>
              <c:strCache>
                <c:ptCount val="1"/>
                <c:pt idx="0">
                  <c:v>MKB: rasmiy muammoli kreditlar</c:v>
                </c:pt>
              </c:strCache>
            </c:strRef>
          </c:tx>
          <c:spPr>
            <a:solidFill>
              <a:srgbClr val="a9d18e"/>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2</c:f>
              <c:numCache>
                <c:formatCode>General</c:formatCode>
                <c:ptCount val="5"/>
                <c:pt idx="0">
                  <c:v>5.9</c:v>
                </c:pt>
                <c:pt idx="1">
                  <c:v>4.8</c:v>
                </c:pt>
                <c:pt idx="2">
                  <c:v>6</c:v>
                </c:pt>
                <c:pt idx="3">
                  <c:v>4.6</c:v>
                </c:pt>
                <c:pt idx="4">
                  <c:v>4.4</c:v>
                </c:pt>
              </c:numCache>
            </c:numRef>
          </c:val>
        </c:ser>
        <c:ser>
          <c:idx val="3"/>
          <c:order val="3"/>
          <c:tx>
            <c:strRef>
              <c:f>label 3</c:f>
              <c:strCache>
                <c:ptCount val="1"/>
                <c:pt idx="0">
                  <c:v>MKB: MHXS 9 bo‘yicha 3-bosqich</c:v>
                </c:pt>
              </c:strCache>
            </c:strRef>
          </c:tx>
          <c:spPr>
            <a:solidFill>
              <a:srgbClr val="38761d"/>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3</c:f>
              <c:numCache>
                <c:formatCode>General</c:formatCode>
                <c:ptCount val="5"/>
                <c:pt idx="0">
                  <c:v>17.4</c:v>
                </c:pt>
                <c:pt idx="1">
                  <c:v>13.5</c:v>
                </c:pt>
                <c:pt idx="2">
                  <c:v>16.6</c:v>
                </c:pt>
                <c:pt idx="3">
                  <c:v>15.2</c:v>
                </c:pt>
                <c:pt idx="4">
                  <c:v>12.3</c:v>
                </c:pt>
              </c:numCache>
            </c:numRef>
          </c:val>
        </c:ser>
        <c:gapWidth val="50"/>
        <c:overlap val="0"/>
        <c:axId val="68154665"/>
        <c:axId val="29993816"/>
      </c:barChart>
      <c:catAx>
        <c:axId val="68154665"/>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9993816"/>
        <c:crosses val="autoZero"/>
        <c:auto val="1"/>
        <c:lblAlgn val="ctr"/>
        <c:lblOffset val="100"/>
        <c:noMultiLvlLbl val="0"/>
      </c:catAx>
      <c:valAx>
        <c:axId val="29993816"/>
        <c:scaling>
          <c:orientation val="minMax"/>
          <c:max val="2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8154665"/>
        <c:crosses val="autoZero"/>
        <c:crossBetween val="between"/>
        <c:majorUnit val="4"/>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7.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«O‘zsanoatqurilishbank»</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13.9</c:v>
                </c:pt>
                <c:pt idx="1">
                  <c:v>7.6</c:v>
                </c:pt>
                <c:pt idx="2">
                  <c:v>11</c:v>
                </c:pt>
                <c:pt idx="3">
                  <c:v>13.9</c:v>
                </c:pt>
                <c:pt idx="4">
                  <c:v>17.2</c:v>
                </c:pt>
              </c:numCache>
            </c:numRef>
          </c:val>
        </c:ser>
        <c:ser>
          <c:idx val="1"/>
          <c:order val="1"/>
          <c:tx>
            <c:strRef>
              <c:f>label 1</c:f>
              <c:strCache>
                <c:ptCount val="1"/>
                <c:pt idx="0">
                  <c:v>«Mikrokreditbank»</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1.9</c:v>
                </c:pt>
                <c:pt idx="1">
                  <c:v>0.7</c:v>
                </c:pt>
                <c:pt idx="2">
                  <c:v>1.1</c:v>
                </c:pt>
                <c:pt idx="3">
                  <c:v>-45.5</c:v>
                </c:pt>
                <c:pt idx="4">
                  <c:v>3.5</c:v>
                </c:pt>
              </c:numCache>
            </c:numRef>
          </c:val>
        </c:ser>
        <c:gapWidth val="70"/>
        <c:overlap val="0"/>
        <c:axId val="75001779"/>
        <c:axId val="64972629"/>
      </c:barChart>
      <c:catAx>
        <c:axId val="75001779"/>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4972629"/>
        <c:crosses val="autoZero"/>
        <c:auto val="1"/>
        <c:lblAlgn val="ctr"/>
        <c:lblOffset val="100"/>
        <c:noMultiLvlLbl val="0"/>
      </c:catAx>
      <c:valAx>
        <c:axId val="64972629"/>
        <c:scaling>
          <c:orientation val="minMax"/>
          <c:max val="20"/>
          <c:min val="-5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5001779"/>
        <c:crosses val="autoZero"/>
        <c:crossBetween val="between"/>
        <c:majorUnit val="1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8.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Milliy hisobot</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998.2</c:v>
                </c:pt>
                <c:pt idx="1">
                  <c:v>588.9</c:v>
                </c:pt>
                <c:pt idx="2">
                  <c:v>911.7</c:v>
                </c:pt>
                <c:pt idx="3">
                  <c:v>1303.2</c:v>
                </c:pt>
                <c:pt idx="4">
                  <c:v>1880.1</c:v>
                </c:pt>
              </c:numCache>
            </c:numRef>
          </c:val>
        </c:ser>
        <c:ser>
          <c:idx val="1"/>
          <c:order val="1"/>
          <c:tx>
            <c:strRef>
              <c:f>label 1</c:f>
              <c:strCache>
                <c:ptCount val="1"/>
                <c:pt idx="0">
                  <c:v>MHXS</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857</c:v>
                </c:pt>
                <c:pt idx="1">
                  <c:v>633.7</c:v>
                </c:pt>
                <c:pt idx="2">
                  <c:v>856.2</c:v>
                </c:pt>
                <c:pt idx="3">
                  <c:v>1115</c:v>
                </c:pt>
                <c:pt idx="4">
                  <c:v>1543.8</c:v>
                </c:pt>
              </c:numCache>
            </c:numRef>
          </c:val>
        </c:ser>
        <c:gapWidth val="80"/>
        <c:overlap val="0"/>
        <c:axId val="34680002"/>
        <c:axId val="75390418"/>
      </c:barChart>
      <c:catAx>
        <c:axId val="34680002"/>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5390418"/>
        <c:crosses val="autoZero"/>
        <c:auto val="1"/>
        <c:lblAlgn val="ctr"/>
        <c:lblOffset val="100"/>
        <c:noMultiLvlLbl val="0"/>
      </c:catAx>
      <c:valAx>
        <c:axId val="75390418"/>
        <c:scaling>
          <c:orientation val="minMax"/>
          <c:max val="20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mlrd so‘m</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4680002"/>
        <c:crosses val="autoZero"/>
        <c:crossBetween val="between"/>
        <c:majorUnit val="50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19.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Milliy hisobot</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3.6</c:v>
                </c:pt>
                <c:pt idx="1">
                  <c:v>2.7</c:v>
                </c:pt>
                <c:pt idx="2">
                  <c:v>2.9</c:v>
                </c:pt>
                <c:pt idx="3">
                  <c:v>3.4</c:v>
                </c:pt>
                <c:pt idx="4">
                  <c:v>4.5</c:v>
                </c:pt>
              </c:numCache>
            </c:numRef>
          </c:val>
        </c:ser>
        <c:ser>
          <c:idx val="1"/>
          <c:order val="1"/>
          <c:tx>
            <c:strRef>
              <c:f>label 1</c:f>
              <c:strCache>
                <c:ptCount val="1"/>
                <c:pt idx="0">
                  <c:v>MHXS</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4.5</c:v>
                </c:pt>
                <c:pt idx="1">
                  <c:v>5.6</c:v>
                </c:pt>
                <c:pt idx="2">
                  <c:v>4</c:v>
                </c:pt>
                <c:pt idx="3">
                  <c:v>4.7</c:v>
                </c:pt>
                <c:pt idx="4">
                  <c:v>6</c:v>
                </c:pt>
              </c:numCache>
            </c:numRef>
          </c:val>
        </c:ser>
        <c:gapWidth val="80"/>
        <c:overlap val="0"/>
        <c:axId val="11666506"/>
        <c:axId val="4185361"/>
      </c:barChart>
      <c:catAx>
        <c:axId val="11666506"/>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185361"/>
        <c:crosses val="autoZero"/>
        <c:auto val="1"/>
        <c:lblAlgn val="ctr"/>
        <c:lblOffset val="100"/>
        <c:noMultiLvlLbl val="0"/>
      </c:catAx>
      <c:valAx>
        <c:axId val="4185361"/>
        <c:scaling>
          <c:orientation val="minMax"/>
          <c:max val="7"/>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Jami kreditlarga nisbatan, %</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1666506"/>
        <c:crosses val="autoZero"/>
        <c:crossBetween val="between"/>
        <c:majorUnit val="1"/>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0.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stacked"/>
        <c:varyColors val="0"/>
        <c:ser>
          <c:idx val="0"/>
          <c:order val="0"/>
          <c:tx>
            <c:strRef>
              <c:f>label 0</c:f>
              <c:strCache>
                <c:ptCount val="1"/>
                <c:pt idx="0">
                  <c:v>Standart</c:v>
                </c:pt>
              </c:strCache>
            </c:strRef>
          </c:tx>
          <c:spPr>
            <a:solidFill>
              <a:srgbClr val="70ad47"/>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0</c:f>
              <c:numCache>
                <c:formatCode>General</c:formatCode>
                <c:ptCount val="2"/>
                <c:pt idx="0">
                  <c:v>1013.3</c:v>
                </c:pt>
                <c:pt idx="1">
                  <c:v>746.4</c:v>
                </c:pt>
              </c:numCache>
            </c:numRef>
          </c:val>
        </c:ser>
        <c:ser>
          <c:idx val="1"/>
          <c:order val="1"/>
          <c:tx>
            <c:strRef>
              <c:f>label 1</c:f>
              <c:strCache>
                <c:ptCount val="1"/>
                <c:pt idx="0">
                  <c:v>Substandart</c:v>
                </c:pt>
              </c:strCache>
            </c:strRef>
          </c:tx>
          <c:spPr>
            <a:solidFill>
              <a:srgbClr val="ffc000"/>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1</c:f>
              <c:numCache>
                <c:formatCode>General</c:formatCode>
                <c:ptCount val="2"/>
                <c:pt idx="0">
                  <c:v>577.8</c:v>
                </c:pt>
                <c:pt idx="1">
                  <c:v>2290.9</c:v>
                </c:pt>
              </c:numCache>
            </c:numRef>
          </c:val>
        </c:ser>
        <c:ser>
          <c:idx val="2"/>
          <c:order val="2"/>
          <c:tx>
            <c:strRef>
              <c:f>label 2</c:f>
              <c:strCache>
                <c:ptCount val="1"/>
                <c:pt idx="0">
                  <c:v>Qoniqarsiz</c:v>
                </c:pt>
              </c:strCache>
            </c:strRef>
          </c:tx>
          <c:spPr>
            <a:solidFill>
              <a:srgbClr val="eb6834"/>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2</c:f>
              <c:numCache>
                <c:formatCode>General</c:formatCode>
                <c:ptCount val="2"/>
                <c:pt idx="0">
                  <c:v>1326.1</c:v>
                </c:pt>
                <c:pt idx="1">
                  <c:v>243.9</c:v>
                </c:pt>
              </c:numCache>
            </c:numRef>
          </c:val>
        </c:ser>
        <c:ser>
          <c:idx val="3"/>
          <c:order val="3"/>
          <c:tx>
            <c:strRef>
              <c:f>label 3</c:f>
              <c:strCache>
                <c:ptCount val="1"/>
                <c:pt idx="0">
                  <c:v>Shubhali</c:v>
                </c:pt>
              </c:strCache>
            </c:strRef>
          </c:tx>
          <c:spPr>
            <a:solidFill>
              <a:srgbClr val="c00000"/>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3</c:f>
              <c:numCache>
                <c:formatCode>General</c:formatCode>
                <c:ptCount val="2"/>
                <c:pt idx="0">
                  <c:v>628.2</c:v>
                </c:pt>
                <c:pt idx="1">
                  <c:v>642.1</c:v>
                </c:pt>
              </c:numCache>
            </c:numRef>
          </c:val>
        </c:ser>
        <c:ser>
          <c:idx val="4"/>
          <c:order val="4"/>
          <c:tx>
            <c:strRef>
              <c:f>label 4</c:f>
              <c:strCache>
                <c:ptCount val="1"/>
                <c:pt idx="0">
                  <c:v>Umidsiz</c:v>
                </c:pt>
              </c:strCache>
            </c:strRef>
          </c:tx>
          <c:spPr>
            <a:solidFill>
              <a:srgbClr val="7f7f7f"/>
            </a:solidFill>
            <a:ln w="6480">
              <a:solidFill>
                <a:srgbClr val="ffffff"/>
              </a:solidFill>
              <a:round/>
            </a:ln>
          </c:spPr>
          <c:invertIfNegative val="0"/>
          <c:dLbls>
            <c:numFmt formatCode="#,##0" sourceLinked="0"/>
            <c:txPr>
              <a:bodyPr wrap="square"/>
              <a:lstStyle/>
              <a:p>
                <a:pPr>
                  <a:defRPr b="1" sz="1050" spc="-1" strike="noStrike">
                    <a:solidFill>
                      <a:srgbClr val="000000"/>
                    </a:solidFill>
                    <a:latin typeface="Times New Roman"/>
                  </a:defRPr>
                </a:pPr>
              </a:p>
            </c:txPr>
            <c:dLblPos val="ctr"/>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2"/>
                <c:pt idx="0">
                  <c:v>2024</c:v>
                </c:pt>
                <c:pt idx="1">
                  <c:v>2025</c:v>
                </c:pt>
              </c:strCache>
            </c:strRef>
          </c:cat>
          <c:val>
            <c:numRef>
              <c:f>4</c:f>
              <c:numCache>
                <c:formatCode>General</c:formatCode>
                <c:ptCount val="2"/>
                <c:pt idx="0">
                  <c:v>540.2</c:v>
                </c:pt>
                <c:pt idx="1">
                  <c:v>1386.9</c:v>
                </c:pt>
              </c:numCache>
            </c:numRef>
          </c:val>
        </c:ser>
        <c:gapWidth val="70"/>
        <c:overlap val="100"/>
        <c:axId val="14801188"/>
        <c:axId val="61083664"/>
      </c:barChart>
      <c:catAx>
        <c:axId val="14801188"/>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1083664"/>
        <c:crosses val="autoZero"/>
        <c:auto val="1"/>
        <c:lblAlgn val="ctr"/>
        <c:lblOffset val="100"/>
        <c:noMultiLvlLbl val="0"/>
      </c:catAx>
      <c:valAx>
        <c:axId val="61083664"/>
        <c:scaling>
          <c:orientation val="minMax"/>
          <c:max val="6000"/>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mlrd so‘m</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4801188"/>
        <c:crosses val="autoZero"/>
        <c:crossBetween val="between"/>
        <c:majorUnit val="100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«O‘zsanoatqurilishbank»</c:v>
                </c:pt>
              </c:strCache>
            </c:strRef>
          </c:tx>
          <c:spPr>
            <a:solidFill>
              <a:srgbClr val="2a78d6"/>
            </a:solidFill>
            <a:ln w="28440">
              <a:solidFill>
                <a:srgbClr val="2a78d6"/>
              </a:solidFill>
              <a:round/>
            </a:ln>
          </c:spPr>
          <c:marker>
            <c:symbol val="circle"/>
            <c:size val="7"/>
            <c:spPr>
              <a:solidFill>
                <a:srgbClr val="2a78d6"/>
              </a:solidFill>
            </c:spPr>
          </c:marker>
          <c:dLbls>
            <c:numFmt formatCode="General" sourceLinked="0"/>
            <c:txPr>
              <a:bodyPr wrap="square"/>
              <a:lstStyle/>
              <a:p>
                <a:pPr>
                  <a:defRPr b="1" sz="1000" spc="-1" strike="noStrike">
                    <a:solidFill>
                      <a:srgbClr val="2a78d6"/>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1.65</c:v>
                </c:pt>
                <c:pt idx="1">
                  <c:v>2.61</c:v>
                </c:pt>
                <c:pt idx="2">
                  <c:v>2.14</c:v>
                </c:pt>
                <c:pt idx="3">
                  <c:v>2.08</c:v>
                </c:pt>
                <c:pt idx="4">
                  <c:v>2.96</c:v>
                </c:pt>
              </c:numCache>
            </c:numRef>
          </c:yVal>
          <c:smooth val="0"/>
        </c:ser>
        <c:ser>
          <c:idx val="1"/>
          <c:order val="1"/>
          <c:tx>
            <c:strRef>
              <c:f>label 2</c:f>
              <c:strCache>
                <c:ptCount val="1"/>
                <c:pt idx="0">
                  <c:v>«Mikrokreditbank»</c:v>
                </c:pt>
              </c:strCache>
            </c:strRef>
          </c:tx>
          <c:spPr>
            <a:solidFill>
              <a:srgbClr val="eb6834"/>
            </a:solidFill>
            <a:ln w="28440">
              <a:solidFill>
                <a:srgbClr val="eb6834"/>
              </a:solidFill>
              <a:round/>
            </a:ln>
          </c:spPr>
          <c:marker>
            <c:symbol val="square"/>
            <c:size val="7"/>
            <c:spPr>
              <a:solidFill>
                <a:srgbClr val="eb6834"/>
              </a:solidFill>
            </c:spPr>
          </c:marker>
          <c:dLbls>
            <c:numFmt formatCode="General" sourceLinked="0"/>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2.95</c:v>
                </c:pt>
                <c:pt idx="1">
                  <c:v>2.81</c:v>
                </c:pt>
                <c:pt idx="2">
                  <c:v>2.77</c:v>
                </c:pt>
                <c:pt idx="3">
                  <c:v>3.3</c:v>
                </c:pt>
                <c:pt idx="4">
                  <c:v>2.8</c:v>
                </c:pt>
              </c:numCache>
            </c:numRef>
          </c:yVal>
          <c:smooth val="0"/>
        </c:ser>
        <c:ser>
          <c:idx val="2"/>
          <c:order val="2"/>
          <c:tx>
            <c:strRef>
              <c:f>label 4</c:f>
              <c:strCache>
                <c:ptCount val="1"/>
                <c:pt idx="0">
                  <c:v>Muvofiqlik darajasi (1,0)</c:v>
                </c:pt>
              </c:strCache>
            </c:strRef>
          </c:tx>
          <c:spPr>
            <a:solidFill>
              <a:srgbClr val="a5a5a5"/>
            </a:solidFill>
            <a:ln w="19080">
              <a:solidFill>
                <a:srgbClr val="a5a5a5"/>
              </a:solidFill>
              <a:prstDash val="dash"/>
              <a:round/>
            </a:ln>
          </c:spPr>
          <c:marker>
            <c:symbol val="none"/>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5</c:f>
              <c:numCache>
                <c:formatCode>General</c:formatCode>
                <c:ptCount val="5"/>
                <c:pt idx="0">
                  <c:v>2021</c:v>
                </c:pt>
                <c:pt idx="1">
                  <c:v>2025</c:v>
                </c:pt>
              </c:numCache>
            </c:numRef>
          </c:xVal>
          <c:yVal>
            <c:numRef>
              <c:f>4</c:f>
              <c:numCache>
                <c:formatCode>General</c:formatCode>
                <c:ptCount val="5"/>
                <c:pt idx="0">
                  <c:v>1</c:v>
                </c:pt>
                <c:pt idx="1">
                  <c:v>1</c:v>
                </c:pt>
              </c:numCache>
            </c:numRef>
          </c:yVal>
          <c:smooth val="0"/>
        </c:ser>
        <c:axId val="97476509"/>
        <c:axId val="74744360"/>
      </c:scatterChart>
      <c:valAx>
        <c:axId val="97476509"/>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4744360"/>
        <c:crosses val="autoZero"/>
        <c:crossBetween val="midCat"/>
        <c:majorUnit val="1"/>
      </c:valAx>
      <c:valAx>
        <c:axId val="74744360"/>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Koeffitsiyent</a:t>
                </a:r>
              </a:p>
            </c:rich>
          </c:tx>
          <c:overlay val="0"/>
          <c:spPr>
            <a:noFill/>
            <a:ln w="0">
              <a:noFill/>
            </a:ln>
          </c:spPr>
        </c:title>
        <c:numFmt formatCode="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7476509"/>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Milliy hisobot</c:v>
                </c:pt>
              </c:strCache>
            </c:strRef>
          </c:tx>
          <c:spPr>
            <a:solidFill>
              <a:srgbClr val="70ad47"/>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0</c:f>
              <c:numCache>
                <c:formatCode>General</c:formatCode>
                <c:ptCount val="5"/>
                <c:pt idx="0">
                  <c:v>38.4</c:v>
                </c:pt>
                <c:pt idx="1">
                  <c:v>21.3</c:v>
                </c:pt>
                <c:pt idx="2">
                  <c:v>41.1</c:v>
                </c:pt>
                <c:pt idx="3">
                  <c:v>-1703.8</c:v>
                </c:pt>
                <c:pt idx="4">
                  <c:v>160.8</c:v>
                </c:pt>
              </c:numCache>
            </c:numRef>
          </c:val>
        </c:ser>
        <c:ser>
          <c:idx val="1"/>
          <c:order val="1"/>
          <c:tx>
            <c:strRef>
              <c:f>label 1</c:f>
              <c:strCache>
                <c:ptCount val="1"/>
                <c:pt idx="0">
                  <c:v>MHXS</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2021</c:v>
                </c:pt>
                <c:pt idx="1">
                  <c:v>2022</c:v>
                </c:pt>
                <c:pt idx="2">
                  <c:v>2023</c:v>
                </c:pt>
                <c:pt idx="3">
                  <c:v>2024</c:v>
                </c:pt>
                <c:pt idx="4">
                  <c:v>2025</c:v>
                </c:pt>
              </c:strCache>
            </c:strRef>
          </c:cat>
          <c:val>
            <c:numRef>
              <c:f>1</c:f>
              <c:numCache>
                <c:formatCode>General</c:formatCode>
                <c:ptCount val="5"/>
                <c:pt idx="0">
                  <c:v>5.1</c:v>
                </c:pt>
                <c:pt idx="1">
                  <c:v>10.4</c:v>
                </c:pt>
                <c:pt idx="2">
                  <c:v>-471.2</c:v>
                </c:pt>
                <c:pt idx="3">
                  <c:v>-961.3</c:v>
                </c:pt>
                <c:pt idx="4">
                  <c:v>42.1</c:v>
                </c:pt>
              </c:numCache>
            </c:numRef>
          </c:val>
        </c:ser>
        <c:gapWidth val="80"/>
        <c:overlap val="0"/>
        <c:axId val="75438808"/>
        <c:axId val="3442766"/>
      </c:barChart>
      <c:catAx>
        <c:axId val="75438808"/>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442766"/>
        <c:crosses val="autoZero"/>
        <c:auto val="1"/>
        <c:lblAlgn val="ctr"/>
        <c:lblOffset val="100"/>
        <c:noMultiLvlLbl val="0"/>
      </c:catAx>
      <c:valAx>
        <c:axId val="3442766"/>
        <c:scaling>
          <c:orientation val="minMax"/>
          <c:max val="500"/>
          <c:min val="-200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mlrd so‘m</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5438808"/>
        <c:crosses val="autoZero"/>
        <c:crossBetween val="between"/>
        <c:majorUnit val="500"/>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3.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Nisbiy tafovut</c:v>
                </c:pt>
              </c:strCache>
            </c:strRef>
          </c:tx>
          <c:spPr>
            <a:solidFill>
              <a:srgbClr val="1f4e79"/>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0</c:f>
              <c:numCache>
                <c:formatCode>General</c:formatCode>
                <c:ptCount val="7"/>
                <c:pt idx="0">
                  <c:v>195.7</c:v>
                </c:pt>
                <c:pt idx="1">
                  <c:v>44.2</c:v>
                </c:pt>
                <c:pt idx="2">
                  <c:v>2.1</c:v>
                </c:pt>
                <c:pt idx="3">
                  <c:v>-5.1</c:v>
                </c:pt>
                <c:pt idx="4">
                  <c:v>-13.1</c:v>
                </c:pt>
                <c:pt idx="5">
                  <c:v>-13.5</c:v>
                </c:pt>
                <c:pt idx="6">
                  <c:v>-17.9</c:v>
                </c:pt>
              </c:numCache>
            </c:numRef>
          </c:val>
        </c:ser>
        <c:gapWidth val="60"/>
        <c:overlap val="0"/>
        <c:axId val="41398507"/>
        <c:axId val="96865215"/>
      </c:barChart>
      <c:catAx>
        <c:axId val="4139850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6865215"/>
        <c:crosses val="autoZero"/>
        <c:auto val="1"/>
        <c:lblAlgn val="ctr"/>
        <c:lblOffset val="100"/>
        <c:noMultiLvlLbl val="0"/>
      </c:catAx>
      <c:valAx>
        <c:axId val="96865215"/>
        <c:scaling>
          <c:orientation val="minMax"/>
          <c:max val="200"/>
          <c:min val="-5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1398507"/>
        <c:crosses val="autoZero"/>
        <c:crossBetween val="between"/>
        <c:majorUnit val="50"/>
      </c:valAx>
      <c:spPr>
        <a:noFill/>
        <a:ln w="0">
          <a:noFill/>
        </a:ln>
      </c:spPr>
    </c:plotArea>
    <c:plotVisOnly val="1"/>
    <c:dispBlanksAs val="gap"/>
  </c:chart>
  <c:spPr>
    <a:solidFill>
      <a:srgbClr val="ffffff"/>
    </a:solidFill>
    <a:ln w="9360">
      <a:noFill/>
    </a:ln>
  </c:spPr>
  <c:externalData r:id="rId1"/>
</c:chartSpace>
</file>

<file path=word/charts/chart24.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Uzluksiz shkala (taklif)</c:v>
                </c:pt>
              </c:strCache>
            </c:strRef>
          </c:tx>
          <c:spPr>
            <a:solidFill>
              <a:srgbClr val="2a78d6"/>
            </a:solidFill>
            <a:ln w="28440">
              <a:solidFill>
                <a:srgbClr val="2a78d6"/>
              </a:solidFill>
              <a:round/>
            </a:ln>
          </c:spPr>
          <c:marker>
            <c:symbol val="circle"/>
            <c:size val="7"/>
            <c:spPr>
              <a:solidFill>
                <a:srgbClr val="2a78d6"/>
              </a:solidFill>
            </c:spPr>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8"/>
                <c:pt idx="0">
                  <c:v>3</c:v>
                </c:pt>
                <c:pt idx="1">
                  <c:v>4.5</c:v>
                </c:pt>
                <c:pt idx="2">
                  <c:v>5.75</c:v>
                </c:pt>
                <c:pt idx="3">
                  <c:v>7</c:v>
                </c:pt>
                <c:pt idx="4">
                  <c:v>8</c:v>
                </c:pt>
                <c:pt idx="5">
                  <c:v>9.25</c:v>
                </c:pt>
                <c:pt idx="6">
                  <c:v>10.5</c:v>
                </c:pt>
                <c:pt idx="7">
                  <c:v>13</c:v>
                </c:pt>
              </c:numCache>
            </c:numRef>
          </c:xVal>
          <c:yVal>
            <c:numRef>
              <c:f>0</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label 2</c:f>
              <c:strCache>
                <c:ptCount val="1"/>
                <c:pt idx="0">
                  <c:v>Pog‘onali shkala</c:v>
                </c:pt>
              </c:strCache>
            </c:strRef>
          </c:tx>
          <c:spPr>
            <a:solidFill>
              <a:srgbClr val="eb6834"/>
            </a:solidFill>
            <a:ln w="19080">
              <a:solidFill>
                <a:srgbClr val="eb6834"/>
              </a:solidFill>
              <a:prstDash val="dash"/>
              <a:round/>
            </a:ln>
          </c:spPr>
          <c:marker>
            <c:symbol val="none"/>
          </c:marker>
          <c:dLbls>
            <c:txPr>
              <a:bodyPr wrap="none"/>
              <a:lstStyle/>
              <a:p>
                <a:pPr>
                  <a:defRPr b="0" sz="1000" spc="-1" strike="noStrike">
                    <a:latin typeface="Arial"/>
                  </a:defRPr>
                </a:pPr>
              </a:p>
            </c:txPr>
            <c:showLegendKey val="0"/>
            <c:showVal val="0"/>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8"/>
                <c:pt idx="0">
                  <c:v>3</c:v>
                </c:pt>
                <c:pt idx="1">
                  <c:v>7</c:v>
                </c:pt>
                <c:pt idx="2">
                  <c:v>7</c:v>
                </c:pt>
                <c:pt idx="3">
                  <c:v>8</c:v>
                </c:pt>
                <c:pt idx="4">
                  <c:v>8</c:v>
                </c:pt>
                <c:pt idx="5">
                  <c:v>10.5</c:v>
                </c:pt>
                <c:pt idx="6">
                  <c:v>10.5</c:v>
                </c:pt>
                <c:pt idx="7">
                  <c:v>13</c:v>
                </c:pt>
              </c:numCache>
            </c:numRef>
          </c:xVal>
          <c:yVal>
            <c:numRef>
              <c:f>2</c:f>
              <c:numCache>
                <c:formatCode>General</c:formatCode>
                <c:ptCount val="8"/>
                <c:pt idx="0">
                  <c:v>1</c:v>
                </c:pt>
                <c:pt idx="1">
                  <c:v>1</c:v>
                </c:pt>
                <c:pt idx="2">
                  <c:v>2</c:v>
                </c:pt>
                <c:pt idx="3">
                  <c:v>2</c:v>
                </c:pt>
                <c:pt idx="4">
                  <c:v>3</c:v>
                </c:pt>
                <c:pt idx="5">
                  <c:v>3</c:v>
                </c:pt>
                <c:pt idx="6">
                  <c:v>4</c:v>
                </c:pt>
                <c:pt idx="7">
                  <c:v>4</c:v>
                </c:pt>
              </c:numCache>
            </c:numRef>
          </c:yVal>
          <c:smooth val="0"/>
        </c:ser>
        <c:axId val="98567461"/>
        <c:axId val="66972195"/>
      </c:scatterChart>
      <c:valAx>
        <c:axId val="98567461"/>
        <c:scaling>
          <c:orientation val="minMax"/>
          <c:max val="13"/>
          <c:min val="3"/>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Birinchi darajali asosiy kapital monandligi, %</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6972195"/>
        <c:crosses val="autoZero"/>
        <c:crossBetween val="midCat"/>
        <c:majorUnit val="1"/>
      </c:valAx>
      <c:valAx>
        <c:axId val="66972195"/>
        <c:scaling>
          <c:orientation val="minMax"/>
          <c:max val="4.5"/>
          <c:min val="0.5"/>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Ball</a:t>
                </a:r>
              </a:p>
            </c:rich>
          </c:tx>
          <c:overlay val="0"/>
          <c:spPr>
            <a:noFill/>
            <a:ln w="0">
              <a:noFill/>
            </a:ln>
          </c:spPr>
        </c:title>
        <c:numFmt formatCode="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8567461"/>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5.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«O‘zsanoatqurilishbank»: milliy</c:v>
                </c:pt>
              </c:strCache>
            </c:strRef>
          </c:tx>
          <c:spPr>
            <a:solidFill>
              <a:srgbClr val="9dc3e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0</c:f>
              <c:numCache>
                <c:formatCode>General</c:formatCode>
                <c:ptCount val="5"/>
                <c:pt idx="0">
                  <c:v>3.96</c:v>
                </c:pt>
                <c:pt idx="1">
                  <c:v>3.55</c:v>
                </c:pt>
                <c:pt idx="2">
                  <c:v>3</c:v>
                </c:pt>
                <c:pt idx="3">
                  <c:v>3.99</c:v>
                </c:pt>
                <c:pt idx="4">
                  <c:v>1.47</c:v>
                </c:pt>
              </c:numCache>
            </c:numRef>
          </c:val>
        </c:ser>
        <c:ser>
          <c:idx val="1"/>
          <c:order val="1"/>
          <c:tx>
            <c:strRef>
              <c:f>label 1</c:f>
              <c:strCache>
                <c:ptCount val="1"/>
                <c:pt idx="0">
                  <c:v>«O‘zsanoatqurilishbank»: MHXS</c:v>
                </c:pt>
              </c:strCache>
            </c:strRef>
          </c:tx>
          <c:spPr>
            <a:solidFill>
              <a:srgbClr val="1f4e79"/>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1</c:f>
              <c:numCache>
                <c:formatCode>General</c:formatCode>
                <c:ptCount val="5"/>
                <c:pt idx="0">
                  <c:v>3.76</c:v>
                </c:pt>
                <c:pt idx="1">
                  <c:v>2.26</c:v>
                </c:pt>
                <c:pt idx="2">
                  <c:v>3</c:v>
                </c:pt>
                <c:pt idx="3">
                  <c:v>3.83</c:v>
                </c:pt>
                <c:pt idx="4">
                  <c:v>1.47</c:v>
                </c:pt>
              </c:numCache>
            </c:numRef>
          </c:val>
        </c:ser>
        <c:ser>
          <c:idx val="2"/>
          <c:order val="2"/>
          <c:tx>
            <c:strRef>
              <c:f>label 2</c:f>
              <c:strCache>
                <c:ptCount val="1"/>
                <c:pt idx="0">
                  <c:v>«Mikrokreditbank»: milliy</c:v>
                </c:pt>
              </c:strCache>
            </c:strRef>
          </c:tx>
          <c:spPr>
            <a:solidFill>
              <a:srgbClr val="a9d18e"/>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2</c:f>
              <c:numCache>
                <c:formatCode>General</c:formatCode>
                <c:ptCount val="5"/>
                <c:pt idx="0">
                  <c:v>4</c:v>
                </c:pt>
                <c:pt idx="1">
                  <c:v>3.42</c:v>
                </c:pt>
                <c:pt idx="2">
                  <c:v>2.77</c:v>
                </c:pt>
                <c:pt idx="3">
                  <c:v>2.09</c:v>
                </c:pt>
                <c:pt idx="4">
                  <c:v>3.79</c:v>
                </c:pt>
              </c:numCache>
            </c:numRef>
          </c:val>
        </c:ser>
        <c:ser>
          <c:idx val="3"/>
          <c:order val="3"/>
          <c:tx>
            <c:strRef>
              <c:f>label 3</c:f>
              <c:strCache>
                <c:ptCount val="1"/>
                <c:pt idx="0">
                  <c:v>«Mikrokreditbank»: MHXS</c:v>
                </c:pt>
              </c:strCache>
            </c:strRef>
          </c:tx>
          <c:spPr>
            <a:solidFill>
              <a:srgbClr val="38761d"/>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3</c:f>
              <c:numCache>
                <c:formatCode>General</c:formatCode>
                <c:ptCount val="5"/>
                <c:pt idx="0">
                  <c:v>4</c:v>
                </c:pt>
                <c:pt idx="1">
                  <c:v>1.62</c:v>
                </c:pt>
                <c:pt idx="2">
                  <c:v>2.77</c:v>
                </c:pt>
                <c:pt idx="3">
                  <c:v>1.33</c:v>
                </c:pt>
                <c:pt idx="4">
                  <c:v>3.79</c:v>
                </c:pt>
              </c:numCache>
            </c:numRef>
          </c:val>
        </c:ser>
        <c:gapWidth val="50"/>
        <c:overlap val="0"/>
        <c:axId val="82154771"/>
        <c:axId val="87665927"/>
      </c:barChart>
      <c:catAx>
        <c:axId val="82154771"/>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7665927"/>
        <c:crosses val="autoZero"/>
        <c:auto val="1"/>
        <c:lblAlgn val="ctr"/>
        <c:lblOffset val="100"/>
        <c:noMultiLvlLbl val="0"/>
      </c:catAx>
      <c:valAx>
        <c:axId val="87665927"/>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Ball</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2154771"/>
        <c:crosses val="autoZero"/>
        <c:crossBetween val="between"/>
        <c:majorUnit val="1"/>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6.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Taklif etilgan vaznlar</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SQB: milliy</c:v>
                </c:pt>
                <c:pt idx="1">
                  <c:v>SQB: MHXS</c:v>
                </c:pt>
                <c:pt idx="2">
                  <c:v>MKB: milliy</c:v>
                </c:pt>
                <c:pt idx="3">
                  <c:v>MKB: MHXS</c:v>
                </c:pt>
              </c:strCache>
            </c:strRef>
          </c:cat>
          <c:val>
            <c:numRef>
              <c:f>0</c:f>
              <c:numCache>
                <c:formatCode>General</c:formatCode>
                <c:ptCount val="4"/>
                <c:pt idx="0">
                  <c:v>3.4</c:v>
                </c:pt>
                <c:pt idx="1">
                  <c:v>2.94</c:v>
                </c:pt>
                <c:pt idx="2">
                  <c:v>3.27</c:v>
                </c:pt>
                <c:pt idx="3">
                  <c:v>2.62</c:v>
                </c:pt>
              </c:numCache>
            </c:numRef>
          </c:val>
        </c:ser>
        <c:ser>
          <c:idx val="1"/>
          <c:order val="1"/>
          <c:tx>
            <c:strRef>
              <c:f>label 1</c:f>
              <c:strCache>
                <c:ptCount val="1"/>
                <c:pt idx="0">
                  <c:v>Teng vaznlar</c:v>
                </c:pt>
              </c:strCache>
            </c:strRef>
          </c:tx>
          <c:spPr>
            <a:solidFill>
              <a:srgbClr val="a5a5a5"/>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SQB: milliy</c:v>
                </c:pt>
                <c:pt idx="1">
                  <c:v>SQB: MHXS</c:v>
                </c:pt>
                <c:pt idx="2">
                  <c:v>MKB: milliy</c:v>
                </c:pt>
                <c:pt idx="3">
                  <c:v>MKB: MHXS</c:v>
                </c:pt>
              </c:strCache>
            </c:strRef>
          </c:cat>
          <c:val>
            <c:numRef>
              <c:f>1</c:f>
              <c:numCache>
                <c:formatCode>General</c:formatCode>
                <c:ptCount val="4"/>
                <c:pt idx="0">
                  <c:v>3.19</c:v>
                </c:pt>
                <c:pt idx="1">
                  <c:v>2.86</c:v>
                </c:pt>
                <c:pt idx="2">
                  <c:v>3.21</c:v>
                </c:pt>
                <c:pt idx="3">
                  <c:v>2.7</c:v>
                </c:pt>
              </c:numCache>
            </c:numRef>
          </c:val>
        </c:ser>
        <c:ser>
          <c:idx val="2"/>
          <c:order val="2"/>
          <c:tx>
            <c:strRef>
              <c:f>label 2</c:f>
              <c:strCache>
                <c:ptCount val="1"/>
                <c:pt idx="0">
                  <c:v>CAMEL nisbati</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SQB: milliy</c:v>
                </c:pt>
                <c:pt idx="1">
                  <c:v>SQB: MHXS</c:v>
                </c:pt>
                <c:pt idx="2">
                  <c:v>MKB: milliy</c:v>
                </c:pt>
                <c:pt idx="3">
                  <c:v>MKB: MHXS</c:v>
                </c:pt>
              </c:strCache>
            </c:strRef>
          </c:cat>
          <c:val>
            <c:numRef>
              <c:f>2</c:f>
              <c:numCache>
                <c:formatCode>General</c:formatCode>
                <c:ptCount val="4"/>
                <c:pt idx="0">
                  <c:v>3.67</c:v>
                </c:pt>
                <c:pt idx="1">
                  <c:v>3.11</c:v>
                </c:pt>
                <c:pt idx="2">
                  <c:v>3.12</c:v>
                </c:pt>
                <c:pt idx="3">
                  <c:v>2.27</c:v>
                </c:pt>
              </c:numCache>
            </c:numRef>
          </c:val>
        </c:ser>
        <c:gapWidth val="60"/>
        <c:overlap val="0"/>
        <c:axId val="38218841"/>
        <c:axId val="68490913"/>
      </c:barChart>
      <c:catAx>
        <c:axId val="38218841"/>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8490913"/>
        <c:crosses val="autoZero"/>
        <c:auto val="1"/>
        <c:lblAlgn val="ctr"/>
        <c:lblOffset val="100"/>
        <c:noMultiLvlLbl val="0"/>
      </c:catAx>
      <c:valAx>
        <c:axId val="68490913"/>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8218841"/>
        <c:crosses val="autoZero"/>
        <c:crossBetween val="between"/>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7.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«Xalq banki»</c:v>
                </c:pt>
              </c:strCache>
            </c:strRef>
          </c:tx>
          <c:spPr>
            <a:solidFill>
              <a:srgbClr val="70ad47"/>
            </a:solidFill>
            <a:ln w="28440">
              <a:solidFill>
                <a:srgbClr val="70ad47"/>
              </a:solidFill>
              <a:round/>
            </a:ln>
          </c:spPr>
          <c:marker>
            <c:symbol val="circle"/>
            <c:size val="7"/>
            <c:spPr>
              <a:solidFill>
                <a:srgbClr val="70ad47"/>
              </a:solidFill>
            </c:spPr>
          </c:marker>
          <c:dPt>
            <c:idx val="0"/>
            <c:marker>
              <c:symbol val="circle"/>
              <c:size val="7"/>
              <c:spPr>
                <a:solidFill>
                  <a:srgbClr val="70ad47"/>
                </a:solidFill>
              </c:spPr>
            </c:marker>
          </c:dPt>
          <c:dPt>
            <c:idx val="1"/>
            <c:marker>
              <c:symbol val="circle"/>
              <c:size val="7"/>
              <c:spPr>
                <a:solidFill>
                  <a:srgbClr val="70ad47"/>
                </a:solidFill>
              </c:spPr>
            </c:marker>
          </c:dPt>
          <c:dPt>
            <c:idx val="2"/>
            <c:marker>
              <c:symbol val="circle"/>
              <c:size val="7"/>
              <c:spPr>
                <a:solidFill>
                  <a:srgbClr val="70ad47"/>
                </a:solidFill>
              </c:spPr>
            </c:marker>
          </c:dPt>
          <c:dPt>
            <c:idx val="3"/>
            <c:marker>
              <c:symbol val="circle"/>
              <c:size val="7"/>
              <c:spPr>
                <a:solidFill>
                  <a:srgbClr val="70ad47"/>
                </a:solidFill>
              </c:spPr>
            </c:marker>
          </c:dPt>
          <c:dLbls>
            <c:numFmt formatCode="General" sourceLinked="0"/>
            <c:dLbl>
              <c:idx val="0"/>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70ad47"/>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70ad47"/>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2.66</c:v>
                </c:pt>
                <c:pt idx="1">
                  <c:v>2.71</c:v>
                </c:pt>
                <c:pt idx="2">
                  <c:v>2.96</c:v>
                </c:pt>
                <c:pt idx="3">
                  <c:v>3.2</c:v>
                </c:pt>
                <c:pt idx="4">
                  <c:v>3.38</c:v>
                </c:pt>
              </c:numCache>
            </c:numRef>
          </c:yVal>
          <c:smooth val="0"/>
        </c:ser>
        <c:ser>
          <c:idx val="1"/>
          <c:order val="1"/>
          <c:tx>
            <c:strRef>
              <c:f>label 2</c:f>
              <c:strCache>
                <c:ptCount val="1"/>
                <c:pt idx="0">
                  <c:v>«Biznesni rivojlantirish banki»</c:v>
                </c:pt>
              </c:strCache>
            </c:strRef>
          </c:tx>
          <c:spPr>
            <a:solidFill>
              <a:srgbClr val="ffc000"/>
            </a:solidFill>
            <a:ln w="28440">
              <a:solidFill>
                <a:srgbClr val="ffc000"/>
              </a:solidFill>
              <a:round/>
            </a:ln>
          </c:spPr>
          <c:marker>
            <c:symbol val="square"/>
            <c:size val="7"/>
            <c:spPr>
              <a:solidFill>
                <a:srgbClr val="ffc000"/>
              </a:solidFill>
            </c:spPr>
          </c:marker>
          <c:dPt>
            <c:idx val="0"/>
            <c:marker>
              <c:symbol val="square"/>
              <c:size val="7"/>
              <c:spPr>
                <a:solidFill>
                  <a:srgbClr val="ffc000"/>
                </a:solidFill>
              </c:spPr>
            </c:marker>
          </c:dPt>
          <c:dPt>
            <c:idx val="1"/>
            <c:marker>
              <c:symbol val="square"/>
              <c:size val="7"/>
              <c:spPr>
                <a:solidFill>
                  <a:srgbClr val="ffc000"/>
                </a:solidFill>
              </c:spPr>
            </c:marker>
          </c:dPt>
          <c:dPt>
            <c:idx val="2"/>
            <c:marker>
              <c:symbol val="square"/>
              <c:size val="7"/>
              <c:spPr>
                <a:solidFill>
                  <a:srgbClr val="ffc000"/>
                </a:solidFill>
              </c:spPr>
            </c:marker>
          </c:dPt>
          <c:dPt>
            <c:idx val="3"/>
            <c:marker>
              <c:symbol val="square"/>
              <c:size val="7"/>
              <c:spPr>
                <a:solidFill>
                  <a:srgbClr val="ffc000"/>
                </a:solidFill>
              </c:spPr>
            </c:marker>
          </c:dPt>
          <c:dLbls>
            <c:numFmt formatCode="General" sourceLinked="0"/>
            <c:dLbl>
              <c:idx val="0"/>
              <c:txPr>
                <a:bodyPr wrap="square"/>
                <a:lstStyle/>
                <a:p>
                  <a:pPr>
                    <a:defRPr b="1" sz="1000" spc="-1" strike="noStrike">
                      <a:solidFill>
                        <a:srgbClr val="ffc000"/>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ffc000"/>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ffc000"/>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ffc000"/>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ffc000"/>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2.51</c:v>
                </c:pt>
                <c:pt idx="1">
                  <c:v>2.25</c:v>
                </c:pt>
                <c:pt idx="2">
                  <c:v>2.03</c:v>
                </c:pt>
                <c:pt idx="3">
                  <c:v>2.58</c:v>
                </c:pt>
                <c:pt idx="4">
                  <c:v>3.23</c:v>
                </c:pt>
              </c:numCache>
            </c:numRef>
          </c:yVal>
          <c:smooth val="0"/>
        </c:ser>
        <c:ser>
          <c:idx val="2"/>
          <c:order val="2"/>
          <c:tx>
            <c:strRef>
              <c:f>label 4</c:f>
              <c:strCache>
                <c:ptCount val="1"/>
                <c:pt idx="0">
                  <c:v>«Ipoteka-bank»</c:v>
                </c:pt>
              </c:strCache>
            </c:strRef>
          </c:tx>
          <c:spPr>
            <a:solidFill>
              <a:srgbClr val="7030a0"/>
            </a:solidFill>
            <a:ln w="28440">
              <a:solidFill>
                <a:srgbClr val="7030a0"/>
              </a:solidFill>
              <a:round/>
            </a:ln>
          </c:spPr>
          <c:marker>
            <c:symbol val="triangle"/>
            <c:size val="7"/>
            <c:spPr>
              <a:solidFill>
                <a:srgbClr val="7030a0"/>
              </a:solidFill>
            </c:spPr>
          </c:marker>
          <c:dPt>
            <c:idx val="0"/>
            <c:marker>
              <c:symbol val="triangle"/>
              <c:size val="7"/>
              <c:spPr>
                <a:solidFill>
                  <a:srgbClr val="7030a0"/>
                </a:solidFill>
              </c:spPr>
            </c:marker>
          </c:dPt>
          <c:dPt>
            <c:idx val="1"/>
            <c:marker>
              <c:symbol val="triangle"/>
              <c:size val="7"/>
              <c:spPr>
                <a:solidFill>
                  <a:srgbClr val="7030a0"/>
                </a:solidFill>
              </c:spPr>
            </c:marker>
          </c:dPt>
          <c:dPt>
            <c:idx val="2"/>
            <c:marker>
              <c:symbol val="triangle"/>
              <c:size val="7"/>
              <c:spPr>
                <a:solidFill>
                  <a:srgbClr val="7030a0"/>
                </a:solidFill>
              </c:spPr>
            </c:marker>
          </c:dPt>
          <c:dPt>
            <c:idx val="3"/>
            <c:marker>
              <c:symbol val="triangle"/>
              <c:size val="7"/>
              <c:spPr>
                <a:solidFill>
                  <a:srgbClr val="7030a0"/>
                </a:solidFill>
              </c:spPr>
            </c:marker>
          </c:dPt>
          <c:dLbls>
            <c:numFmt formatCode="General" sourceLinked="0"/>
            <c:dLbl>
              <c:idx val="0"/>
              <c:txPr>
                <a:bodyPr wrap="square"/>
                <a:lstStyle/>
                <a:p>
                  <a:pPr>
                    <a:defRPr b="1" sz="1000" spc="-1" strike="noStrike">
                      <a:solidFill>
                        <a:srgbClr val="7030a0"/>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7030a0"/>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7030a0"/>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7030a0"/>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7030a0"/>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5</c:f>
              <c:numCache>
                <c:formatCode>General</c:formatCode>
                <c:ptCount val="5"/>
                <c:pt idx="0">
                  <c:v>2021</c:v>
                </c:pt>
                <c:pt idx="1">
                  <c:v>2022</c:v>
                </c:pt>
                <c:pt idx="2">
                  <c:v>2023</c:v>
                </c:pt>
                <c:pt idx="3">
                  <c:v>2024</c:v>
                </c:pt>
                <c:pt idx="4">
                  <c:v>2025</c:v>
                </c:pt>
              </c:numCache>
            </c:numRef>
          </c:xVal>
          <c:yVal>
            <c:numRef>
              <c:f>4</c:f>
              <c:numCache>
                <c:formatCode>General</c:formatCode>
                <c:ptCount val="5"/>
                <c:pt idx="0">
                  <c:v>3.32</c:v>
                </c:pt>
                <c:pt idx="1">
                  <c:v>3.37</c:v>
                </c:pt>
                <c:pt idx="2">
                  <c:v>2.69</c:v>
                </c:pt>
                <c:pt idx="3">
                  <c:v>3.13</c:v>
                </c:pt>
                <c:pt idx="4">
                  <c:v>3.11</c:v>
                </c:pt>
              </c:numCache>
            </c:numRef>
          </c:yVal>
          <c:smooth val="0"/>
        </c:ser>
        <c:ser>
          <c:idx val="3"/>
          <c:order val="3"/>
          <c:tx>
            <c:strRef>
              <c:f>label 6</c:f>
              <c:strCache>
                <c:ptCount val="1"/>
                <c:pt idx="0">
                  <c:v>«O‘zsanoatqurilishbank»</c:v>
                </c:pt>
              </c:strCache>
            </c:strRef>
          </c:tx>
          <c:spPr>
            <a:solidFill>
              <a:srgbClr val="2a78d6"/>
            </a:solidFill>
            <a:ln w="28440">
              <a:solidFill>
                <a:srgbClr val="2a78d6"/>
              </a:solidFill>
              <a:round/>
            </a:ln>
          </c:spPr>
          <c:marker>
            <c:symbol val="diamond"/>
            <c:size val="7"/>
            <c:spPr>
              <a:solidFill>
                <a:srgbClr val="2a78d6"/>
              </a:solidFill>
            </c:spPr>
          </c:marker>
          <c:dPt>
            <c:idx val="0"/>
            <c:marker>
              <c:symbol val="diamond"/>
              <c:size val="7"/>
              <c:spPr>
                <a:solidFill>
                  <a:srgbClr val="2a78d6"/>
                </a:solidFill>
              </c:spPr>
            </c:marker>
          </c:dPt>
          <c:dPt>
            <c:idx val="1"/>
            <c:marker>
              <c:symbol val="diamond"/>
              <c:size val="7"/>
              <c:spPr>
                <a:solidFill>
                  <a:srgbClr val="2a78d6"/>
                </a:solidFill>
              </c:spPr>
            </c:marker>
          </c:dPt>
          <c:dPt>
            <c:idx val="2"/>
            <c:marker>
              <c:symbol val="diamond"/>
              <c:size val="7"/>
              <c:spPr>
                <a:solidFill>
                  <a:srgbClr val="2a78d6"/>
                </a:solidFill>
              </c:spPr>
            </c:marker>
          </c:dPt>
          <c:dPt>
            <c:idx val="3"/>
            <c:marker>
              <c:symbol val="diamond"/>
              <c:size val="7"/>
              <c:spPr>
                <a:solidFill>
                  <a:srgbClr val="2a78d6"/>
                </a:solidFill>
              </c:spPr>
            </c:marker>
          </c:dPt>
          <c:dLbls>
            <c:numFmt formatCode="General" sourceLinked="0"/>
            <c:dLbl>
              <c:idx val="0"/>
              <c:txPr>
                <a:bodyPr wrap="square"/>
                <a:lstStyle/>
                <a:p>
                  <a:pPr>
                    <a:defRPr b="1" sz="1000" spc="-1" strike="noStrike">
                      <a:solidFill>
                        <a:srgbClr val="2a78d6"/>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2a78d6"/>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2a78d6"/>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2a78d6"/>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2a78d6"/>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7</c:f>
              <c:numCache>
                <c:formatCode>General</c:formatCode>
                <c:ptCount val="5"/>
                <c:pt idx="0">
                  <c:v>2021</c:v>
                </c:pt>
                <c:pt idx="1">
                  <c:v>2022</c:v>
                </c:pt>
                <c:pt idx="2">
                  <c:v>2023</c:v>
                </c:pt>
                <c:pt idx="3">
                  <c:v>2024</c:v>
                </c:pt>
                <c:pt idx="4">
                  <c:v>2025</c:v>
                </c:pt>
              </c:numCache>
            </c:numRef>
          </c:xVal>
          <c:yVal>
            <c:numRef>
              <c:f>6</c:f>
              <c:numCache>
                <c:formatCode>General</c:formatCode>
                <c:ptCount val="5"/>
                <c:pt idx="0">
                  <c:v>2.93</c:v>
                </c:pt>
                <c:pt idx="1">
                  <c:v>2.82</c:v>
                </c:pt>
                <c:pt idx="2">
                  <c:v>2.91</c:v>
                </c:pt>
                <c:pt idx="3">
                  <c:v>2.75</c:v>
                </c:pt>
                <c:pt idx="4">
                  <c:v>2.83</c:v>
                </c:pt>
              </c:numCache>
            </c:numRef>
          </c:yVal>
          <c:smooth val="0"/>
        </c:ser>
        <c:ser>
          <c:idx val="4"/>
          <c:order val="4"/>
          <c:tx>
            <c:strRef>
              <c:f>label 8</c:f>
              <c:strCache>
                <c:ptCount val="1"/>
                <c:pt idx="0">
                  <c:v>«Mikrokreditbank»</c:v>
                </c:pt>
              </c:strCache>
            </c:strRef>
          </c:tx>
          <c:spPr>
            <a:solidFill>
              <a:srgbClr val="eb6834"/>
            </a:solidFill>
            <a:ln w="28440">
              <a:solidFill>
                <a:srgbClr val="eb6834"/>
              </a:solidFill>
              <a:round/>
            </a:ln>
          </c:spPr>
          <c:marker>
            <c:symbol val="x"/>
            <c:size val="7"/>
            <c:spPr>
              <a:solidFill>
                <a:srgbClr val="eb6834"/>
              </a:solidFill>
            </c:spPr>
          </c:marker>
          <c:dPt>
            <c:idx val="0"/>
            <c:marker>
              <c:symbol val="x"/>
              <c:size val="7"/>
              <c:spPr>
                <a:solidFill>
                  <a:srgbClr val="eb6834"/>
                </a:solidFill>
              </c:spPr>
            </c:marker>
          </c:dPt>
          <c:dPt>
            <c:idx val="1"/>
            <c:marker>
              <c:symbol val="x"/>
              <c:size val="7"/>
              <c:spPr>
                <a:solidFill>
                  <a:srgbClr val="eb6834"/>
                </a:solidFill>
              </c:spPr>
            </c:marker>
          </c:dPt>
          <c:dPt>
            <c:idx val="2"/>
            <c:marker>
              <c:symbol val="x"/>
              <c:size val="7"/>
              <c:spPr>
                <a:solidFill>
                  <a:srgbClr val="eb6834"/>
                </a:solidFill>
              </c:spPr>
            </c:marker>
          </c:dPt>
          <c:dPt>
            <c:idx val="3"/>
            <c:marker>
              <c:symbol val="x"/>
              <c:size val="7"/>
              <c:spPr>
                <a:solidFill>
                  <a:srgbClr val="eb6834"/>
                </a:solidFill>
              </c:spPr>
            </c:marker>
          </c:dPt>
          <c:dLbls>
            <c:numFmt formatCode="General" sourceLinked="0"/>
            <c:dLbl>
              <c:idx val="0"/>
              <c:txPr>
                <a:bodyPr wrap="square"/>
                <a:lstStyle/>
                <a:p>
                  <a:pPr>
                    <a:defRPr b="1" sz="1000" spc="-1" strike="noStrike">
                      <a:solidFill>
                        <a:srgbClr val="eb6834"/>
                      </a:solidFill>
                      <a:latin typeface="Times New Roman"/>
                    </a:defRPr>
                  </a:pPr>
                </a:p>
              </c:txPr>
              <c:dLblPos val="t"/>
              <c:showLegendKey val="0"/>
              <c:showVal val="0"/>
              <c:showCatName val="0"/>
              <c:showSerName val="0"/>
              <c:showPercent val="0"/>
              <c:separator>; </c:separator>
            </c:dLbl>
            <c:dLbl>
              <c:idx val="1"/>
              <c:txPr>
                <a:bodyPr wrap="square"/>
                <a:lstStyle/>
                <a:p>
                  <a:pPr>
                    <a:defRPr b="1" sz="1000" spc="-1" strike="noStrike">
                      <a:solidFill>
                        <a:srgbClr val="eb6834"/>
                      </a:solidFill>
                      <a:latin typeface="Times New Roman"/>
                    </a:defRPr>
                  </a:pPr>
                </a:p>
              </c:txPr>
              <c:dLblPos val="t"/>
              <c:showLegendKey val="0"/>
              <c:showVal val="0"/>
              <c:showCatName val="0"/>
              <c:showSerName val="0"/>
              <c:showPercent val="0"/>
              <c:separator>; </c:separator>
            </c:dLbl>
            <c:dLbl>
              <c:idx val="2"/>
              <c:txPr>
                <a:bodyPr wrap="square"/>
                <a:lstStyle/>
                <a:p>
                  <a:pPr>
                    <a:defRPr b="1" sz="1000" spc="-1" strike="noStrike">
                      <a:solidFill>
                        <a:srgbClr val="eb6834"/>
                      </a:solidFill>
                      <a:latin typeface="Times New Roman"/>
                    </a:defRPr>
                  </a:pPr>
                </a:p>
              </c:txPr>
              <c:dLblPos val="t"/>
              <c:showLegendKey val="0"/>
              <c:showVal val="0"/>
              <c:showCatName val="0"/>
              <c:showSerName val="0"/>
              <c:showPercent val="0"/>
              <c:separator>; </c:separator>
            </c:dLbl>
            <c:dLbl>
              <c:idx val="3"/>
              <c:txPr>
                <a:bodyPr wrap="square"/>
                <a:lstStyle/>
                <a:p>
                  <a:pPr>
                    <a:defRPr b="1" sz="1000" spc="-1" strike="noStrike">
                      <a:solidFill>
                        <a:srgbClr val="eb6834"/>
                      </a:solidFill>
                      <a:latin typeface="Times New Roman"/>
                    </a:defRPr>
                  </a:pPr>
                </a:p>
              </c:txPr>
              <c:dLblPos val="t"/>
              <c:showLegendKey val="0"/>
              <c:showVal val="0"/>
              <c:showCatName val="0"/>
              <c:showSerName val="0"/>
              <c:showPercent val="0"/>
              <c:separator>; </c:separator>
            </c:dLbl>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9</c:f>
              <c:numCache>
                <c:formatCode>General</c:formatCode>
                <c:ptCount val="5"/>
                <c:pt idx="0">
                  <c:v>2021</c:v>
                </c:pt>
                <c:pt idx="1">
                  <c:v>2022</c:v>
                </c:pt>
                <c:pt idx="2">
                  <c:v>2023</c:v>
                </c:pt>
                <c:pt idx="3">
                  <c:v>2024</c:v>
                </c:pt>
                <c:pt idx="4">
                  <c:v>2025</c:v>
                </c:pt>
              </c:numCache>
            </c:numRef>
          </c:xVal>
          <c:yVal>
            <c:numRef>
              <c:f>8</c:f>
              <c:numCache>
                <c:formatCode>General</c:formatCode>
                <c:ptCount val="5"/>
                <c:pt idx="0">
                  <c:v>2.2</c:v>
                </c:pt>
                <c:pt idx="1">
                  <c:v>2.31</c:v>
                </c:pt>
                <c:pt idx="2">
                  <c:v>2.22</c:v>
                </c:pt>
                <c:pt idx="3">
                  <c:v>2.24</c:v>
                </c:pt>
                <c:pt idx="4">
                  <c:v>2.47</c:v>
                </c:pt>
              </c:numCache>
            </c:numRef>
          </c:yVal>
          <c:smooth val="0"/>
        </c:ser>
        <c:axId val="84921117"/>
        <c:axId val="74707057"/>
      </c:scatterChart>
      <c:valAx>
        <c:axId val="84921117"/>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4707057"/>
        <c:crosses val="autoZero"/>
        <c:crossBetween val="midCat"/>
        <c:majorUnit val="1"/>
      </c:valAx>
      <c:valAx>
        <c:axId val="74707057"/>
        <c:scaling>
          <c:orientation val="minMax"/>
          <c:max val="3.5"/>
          <c:min val="1.5"/>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a:t>
                </a:r>
              </a:p>
            </c:rich>
          </c:tx>
          <c:overlay val="0"/>
          <c:spPr>
            <a:noFill/>
            <a:ln w="0">
              <a:noFill/>
            </a:ln>
          </c:spPr>
        </c:title>
        <c:numFmt formatCode="0.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4921117"/>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8.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«Xalq banki»</c:v>
                </c:pt>
              </c:strCache>
            </c:strRef>
          </c:tx>
          <c:spPr>
            <a:solidFill>
              <a:srgbClr val="70ad47"/>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0</c:f>
              <c:numCache>
                <c:formatCode>General</c:formatCode>
                <c:ptCount val="5"/>
                <c:pt idx="0">
                  <c:v>4</c:v>
                </c:pt>
                <c:pt idx="1">
                  <c:v>3.62</c:v>
                </c:pt>
                <c:pt idx="2">
                  <c:v>1.5</c:v>
                </c:pt>
                <c:pt idx="3">
                  <c:v>3.98</c:v>
                </c:pt>
                <c:pt idx="4">
                  <c:v>4</c:v>
                </c:pt>
              </c:numCache>
            </c:numRef>
          </c:val>
        </c:ser>
        <c:ser>
          <c:idx val="1"/>
          <c:order val="1"/>
          <c:tx>
            <c:strRef>
              <c:f>label 1</c:f>
              <c:strCache>
                <c:ptCount val="1"/>
                <c:pt idx="0">
                  <c:v>«Biznesni rivojlantirish banki»</c:v>
                </c:pt>
              </c:strCache>
            </c:strRef>
          </c:tx>
          <c:spPr>
            <a:solidFill>
              <a:srgbClr val="ffc00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1</c:f>
              <c:numCache>
                <c:formatCode>General</c:formatCode>
                <c:ptCount val="5"/>
                <c:pt idx="0">
                  <c:v>3.87</c:v>
                </c:pt>
                <c:pt idx="1">
                  <c:v>3.15</c:v>
                </c:pt>
                <c:pt idx="2">
                  <c:v>2.3</c:v>
                </c:pt>
                <c:pt idx="3">
                  <c:v>3.05</c:v>
                </c:pt>
                <c:pt idx="4">
                  <c:v>3.96</c:v>
                </c:pt>
              </c:numCache>
            </c:numRef>
          </c:val>
        </c:ser>
        <c:ser>
          <c:idx val="2"/>
          <c:order val="2"/>
          <c:tx>
            <c:strRef>
              <c:f>label 2</c:f>
              <c:strCache>
                <c:ptCount val="1"/>
                <c:pt idx="0">
                  <c:v>«Ipoteka-bank»</c:v>
                </c:pt>
              </c:strCache>
            </c:strRef>
          </c:tx>
          <c:spPr>
            <a:solidFill>
              <a:srgbClr val="7030a0"/>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2</c:f>
              <c:numCache>
                <c:formatCode>General</c:formatCode>
                <c:ptCount val="5"/>
                <c:pt idx="0">
                  <c:v>4</c:v>
                </c:pt>
                <c:pt idx="1">
                  <c:v>2.43</c:v>
                </c:pt>
                <c:pt idx="2">
                  <c:v>1.96</c:v>
                </c:pt>
                <c:pt idx="3">
                  <c:v>3.94</c:v>
                </c:pt>
                <c:pt idx="4">
                  <c:v>4</c:v>
                </c:pt>
              </c:numCache>
            </c:numRef>
          </c:val>
        </c:ser>
        <c:ser>
          <c:idx val="3"/>
          <c:order val="3"/>
          <c:tx>
            <c:strRef>
              <c:f>label 3</c:f>
              <c:strCache>
                <c:ptCount val="1"/>
                <c:pt idx="0">
                  <c:v>«O‘zsanoatqurilishbank»</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3</c:f>
              <c:numCache>
                <c:formatCode>General</c:formatCode>
                <c:ptCount val="5"/>
                <c:pt idx="0">
                  <c:v>3.82</c:v>
                </c:pt>
                <c:pt idx="1">
                  <c:v>2.28</c:v>
                </c:pt>
                <c:pt idx="2">
                  <c:v>2.33</c:v>
                </c:pt>
                <c:pt idx="3">
                  <c:v>3.83</c:v>
                </c:pt>
                <c:pt idx="4">
                  <c:v>1.45</c:v>
                </c:pt>
              </c:numCache>
            </c:numRef>
          </c:val>
        </c:ser>
        <c:ser>
          <c:idx val="4"/>
          <c:order val="4"/>
          <c:tx>
            <c:strRef>
              <c:f>label 4</c:f>
              <c:strCache>
                <c:ptCount val="1"/>
                <c:pt idx="0">
                  <c:v>«Mikrokreditbank»</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Kapital</c:v>
                </c:pt>
                <c:pt idx="1">
                  <c:v>Aktivlar sifati</c:v>
                </c:pt>
                <c:pt idx="2">
                  <c:v>Likvidlik</c:v>
                </c:pt>
                <c:pt idx="3">
                  <c:v>Daromadlilik</c:v>
                </c:pt>
                <c:pt idx="4">
                  <c:v>Valyuta riski</c:v>
                </c:pt>
              </c:strCache>
            </c:strRef>
          </c:cat>
          <c:val>
            <c:numRef>
              <c:f>4</c:f>
              <c:numCache>
                <c:formatCode>General</c:formatCode>
                <c:ptCount val="5"/>
                <c:pt idx="0">
                  <c:v>4</c:v>
                </c:pt>
                <c:pt idx="1">
                  <c:v>1.53</c:v>
                </c:pt>
                <c:pt idx="2">
                  <c:v>2.05</c:v>
                </c:pt>
                <c:pt idx="3">
                  <c:v>1.33</c:v>
                </c:pt>
                <c:pt idx="4">
                  <c:v>4</c:v>
                </c:pt>
              </c:numCache>
            </c:numRef>
          </c:val>
        </c:ser>
        <c:gapWidth val="40"/>
        <c:overlap val="0"/>
        <c:axId val="91558978"/>
        <c:axId val="83451530"/>
      </c:barChart>
      <c:catAx>
        <c:axId val="91558978"/>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83451530"/>
        <c:crosses val="autoZero"/>
        <c:auto val="1"/>
        <c:lblAlgn val="ctr"/>
        <c:lblOffset val="100"/>
        <c:noMultiLvlLbl val="0"/>
      </c:catAx>
      <c:valAx>
        <c:axId val="83451530"/>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Ball</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1558978"/>
        <c:crosses val="autoZero"/>
        <c:crossBetween val="between"/>
        <c:majorUnit val="1"/>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29.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Amaldagi</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Xalq banki</c:v>
                </c:pt>
                <c:pt idx="1">
                  <c:v>BRB</c:v>
                </c:pt>
                <c:pt idx="2">
                  <c:v>Ipoteka-bank</c:v>
                </c:pt>
                <c:pt idx="3">
                  <c:v>SQB</c:v>
                </c:pt>
                <c:pt idx="4">
                  <c:v>MKB</c:v>
                </c:pt>
              </c:strCache>
            </c:strRef>
          </c:cat>
          <c:val>
            <c:numRef>
              <c:f>0</c:f>
              <c:numCache>
                <c:formatCode>General</c:formatCode>
                <c:ptCount val="5"/>
                <c:pt idx="0">
                  <c:v>3.38</c:v>
                </c:pt>
                <c:pt idx="1">
                  <c:v>3.23</c:v>
                </c:pt>
                <c:pt idx="2">
                  <c:v>3.11</c:v>
                </c:pt>
                <c:pt idx="3">
                  <c:v>2.83</c:v>
                </c:pt>
                <c:pt idx="4">
                  <c:v>2.47</c:v>
                </c:pt>
              </c:numCache>
            </c:numRef>
          </c:val>
        </c:ser>
        <c:ser>
          <c:idx val="1"/>
          <c:order val="1"/>
          <c:tx>
            <c:strRef>
              <c:f>label 1</c:f>
              <c:strCache>
                <c:ptCount val="1"/>
                <c:pt idx="0">
                  <c:v>Davlat ko‘magisiz</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Xalq banki</c:v>
                </c:pt>
                <c:pt idx="1">
                  <c:v>BRB</c:v>
                </c:pt>
                <c:pt idx="2">
                  <c:v>Ipoteka-bank</c:v>
                </c:pt>
                <c:pt idx="3">
                  <c:v>SQB</c:v>
                </c:pt>
                <c:pt idx="4">
                  <c:v>MKB</c:v>
                </c:pt>
              </c:strCache>
            </c:strRef>
          </c:cat>
          <c:val>
            <c:numRef>
              <c:f>1</c:f>
              <c:numCache>
                <c:formatCode>General</c:formatCode>
                <c:ptCount val="5"/>
                <c:pt idx="0">
                  <c:v>3.23</c:v>
                </c:pt>
                <c:pt idx="1">
                  <c:v>2.51</c:v>
                </c:pt>
                <c:pt idx="2">
                  <c:v>3.11</c:v>
                </c:pt>
                <c:pt idx="3">
                  <c:v>2.82</c:v>
                </c:pt>
                <c:pt idx="4">
                  <c:v>1.72</c:v>
                </c:pt>
              </c:numCache>
            </c:numRef>
          </c:val>
        </c:ser>
        <c:gapWidth val="70"/>
        <c:overlap val="0"/>
        <c:axId val="57894017"/>
        <c:axId val="10087936"/>
      </c:barChart>
      <c:catAx>
        <c:axId val="57894017"/>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0087936"/>
        <c:crosses val="autoZero"/>
        <c:auto val="1"/>
        <c:lblAlgn val="ctr"/>
        <c:lblOffset val="100"/>
        <c:noMultiLvlLbl val="0"/>
      </c:catAx>
      <c:valAx>
        <c:axId val="10087936"/>
        <c:scaling>
          <c:orientation val="minMax"/>
          <c:max val="4"/>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7894017"/>
        <c:crosses val="autoZero"/>
        <c:crossBetween val="between"/>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0.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SQB: milliy</c:v>
                </c:pt>
              </c:strCache>
            </c:strRef>
          </c:tx>
          <c:spPr>
            <a:solidFill>
              <a:srgbClr val="9dc3e6"/>
            </a:solidFill>
            <a:ln w="28440">
              <a:solidFill>
                <a:srgbClr val="9dc3e6"/>
              </a:solidFill>
              <a:prstDash val="dash"/>
              <a:round/>
            </a:ln>
          </c:spPr>
          <c:marker>
            <c:symbol val="circle"/>
            <c:size val="7"/>
            <c:spPr>
              <a:solidFill>
                <a:srgbClr val="9dc3e6"/>
              </a:solidFill>
            </c:spPr>
          </c:marker>
          <c:dLbls>
            <c:numFmt formatCode="General" sourceLinked="0"/>
            <c:txPr>
              <a:bodyPr wrap="square"/>
              <a:lstStyle/>
              <a:p>
                <a:pPr>
                  <a:defRPr b="1" sz="1000" spc="-1" strike="noStrike">
                    <a:solidFill>
                      <a:srgbClr val="9dc3e6"/>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3.4</c:v>
                </c:pt>
                <c:pt idx="1">
                  <c:v>3.27</c:v>
                </c:pt>
                <c:pt idx="2">
                  <c:v>3.28</c:v>
                </c:pt>
                <c:pt idx="3">
                  <c:v>3.33</c:v>
                </c:pt>
                <c:pt idx="4">
                  <c:v>3.4</c:v>
                </c:pt>
              </c:numCache>
            </c:numRef>
          </c:yVal>
          <c:smooth val="0"/>
        </c:ser>
        <c:ser>
          <c:idx val="1"/>
          <c:order val="1"/>
          <c:tx>
            <c:strRef>
              <c:f>label 2</c:f>
              <c:strCache>
                <c:ptCount val="1"/>
                <c:pt idx="0">
                  <c:v>SQB: MHXS</c:v>
                </c:pt>
              </c:strCache>
            </c:strRef>
          </c:tx>
          <c:spPr>
            <a:solidFill>
              <a:srgbClr val="1f4e79"/>
            </a:solidFill>
            <a:ln w="28440">
              <a:solidFill>
                <a:srgbClr val="1f4e79"/>
              </a:solidFill>
              <a:round/>
            </a:ln>
          </c:spPr>
          <c:marker>
            <c:symbol val="circle"/>
            <c:size val="7"/>
            <c:spPr>
              <a:solidFill>
                <a:srgbClr val="1f4e79"/>
              </a:solidFill>
            </c:spPr>
          </c:marker>
          <c:dLbls>
            <c:numFmt formatCode="General" sourceLinked="0"/>
            <c:txPr>
              <a:bodyPr wrap="square"/>
              <a:lstStyle/>
              <a:p>
                <a:pPr>
                  <a:defRPr b="1" sz="1000" spc="-1" strike="noStrike">
                    <a:solidFill>
                      <a:srgbClr val="1f4e79"/>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3.02</c:v>
                </c:pt>
                <c:pt idx="1">
                  <c:v>2.94</c:v>
                </c:pt>
                <c:pt idx="2">
                  <c:v>3.05</c:v>
                </c:pt>
                <c:pt idx="3">
                  <c:v>2.95</c:v>
                </c:pt>
                <c:pt idx="4">
                  <c:v>2.94</c:v>
                </c:pt>
              </c:numCache>
            </c:numRef>
          </c:yVal>
          <c:smooth val="0"/>
        </c:ser>
        <c:ser>
          <c:idx val="2"/>
          <c:order val="2"/>
          <c:tx>
            <c:strRef>
              <c:f>label 4</c:f>
              <c:strCache>
                <c:ptCount val="1"/>
                <c:pt idx="0">
                  <c:v>MKB: milliy</c:v>
                </c:pt>
              </c:strCache>
            </c:strRef>
          </c:tx>
          <c:spPr>
            <a:solidFill>
              <a:srgbClr val="f4b183"/>
            </a:solidFill>
            <a:ln w="28440">
              <a:solidFill>
                <a:srgbClr val="f4b183"/>
              </a:solidFill>
              <a:prstDash val="dash"/>
              <a:round/>
            </a:ln>
          </c:spPr>
          <c:marker>
            <c:symbol val="square"/>
            <c:size val="7"/>
            <c:spPr>
              <a:solidFill>
                <a:srgbClr val="f4b183"/>
              </a:solidFill>
            </c:spPr>
          </c:marker>
          <c:dLbls>
            <c:numFmt formatCode="General" sourceLinked="0"/>
            <c:txPr>
              <a:bodyPr wrap="square"/>
              <a:lstStyle/>
              <a:p>
                <a:pPr>
                  <a:defRPr b="1" sz="1000" spc="-1" strike="noStrike">
                    <a:solidFill>
                      <a:srgbClr val="f4b183"/>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5</c:f>
              <c:numCache>
                <c:formatCode>General</c:formatCode>
                <c:ptCount val="5"/>
                <c:pt idx="0">
                  <c:v>2021</c:v>
                </c:pt>
                <c:pt idx="1">
                  <c:v>2022</c:v>
                </c:pt>
                <c:pt idx="2">
                  <c:v>2023</c:v>
                </c:pt>
                <c:pt idx="3">
                  <c:v>2024</c:v>
                </c:pt>
                <c:pt idx="4">
                  <c:v>2025</c:v>
                </c:pt>
              </c:numCache>
            </c:numRef>
          </c:xVal>
          <c:yVal>
            <c:numRef>
              <c:f>4</c:f>
              <c:numCache>
                <c:formatCode>General</c:formatCode>
                <c:ptCount val="5"/>
                <c:pt idx="0">
                  <c:v>3.08</c:v>
                </c:pt>
                <c:pt idx="1">
                  <c:v>3.05</c:v>
                </c:pt>
                <c:pt idx="2">
                  <c:v>2.81</c:v>
                </c:pt>
                <c:pt idx="3">
                  <c:v>2.99</c:v>
                </c:pt>
                <c:pt idx="4">
                  <c:v>3.27</c:v>
                </c:pt>
              </c:numCache>
            </c:numRef>
          </c:yVal>
          <c:smooth val="0"/>
        </c:ser>
        <c:ser>
          <c:idx val="3"/>
          <c:order val="3"/>
          <c:tx>
            <c:strRef>
              <c:f>label 6</c:f>
              <c:strCache>
                <c:ptCount val="1"/>
                <c:pt idx="0">
                  <c:v>MKB: MHXS</c:v>
                </c:pt>
              </c:strCache>
            </c:strRef>
          </c:tx>
          <c:spPr>
            <a:solidFill>
              <a:srgbClr val="eb6834"/>
            </a:solidFill>
            <a:ln w="28440">
              <a:solidFill>
                <a:srgbClr val="eb6834"/>
              </a:solidFill>
              <a:round/>
            </a:ln>
          </c:spPr>
          <c:marker>
            <c:symbol val="square"/>
            <c:size val="7"/>
            <c:spPr>
              <a:solidFill>
                <a:srgbClr val="eb6834"/>
              </a:solidFill>
            </c:spPr>
          </c:marker>
          <c:dLbls>
            <c:numFmt formatCode="General" sourceLinked="0"/>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7</c:f>
              <c:numCache>
                <c:formatCode>General</c:formatCode>
                <c:ptCount val="5"/>
                <c:pt idx="0">
                  <c:v>2021</c:v>
                </c:pt>
                <c:pt idx="1">
                  <c:v>2022</c:v>
                </c:pt>
                <c:pt idx="2">
                  <c:v>2023</c:v>
                </c:pt>
                <c:pt idx="3">
                  <c:v>2024</c:v>
                </c:pt>
                <c:pt idx="4">
                  <c:v>2025</c:v>
                </c:pt>
              </c:numCache>
            </c:numRef>
          </c:xVal>
          <c:yVal>
            <c:numRef>
              <c:f>6</c:f>
              <c:numCache>
                <c:formatCode>General</c:formatCode>
                <c:ptCount val="5"/>
                <c:pt idx="0">
                  <c:v>2.51</c:v>
                </c:pt>
                <c:pt idx="1">
                  <c:v>2.59</c:v>
                </c:pt>
                <c:pt idx="2">
                  <c:v>2.41</c:v>
                </c:pt>
                <c:pt idx="3">
                  <c:v>2.47</c:v>
                </c:pt>
                <c:pt idx="4">
                  <c:v>2.62</c:v>
                </c:pt>
              </c:numCache>
            </c:numRef>
          </c:yVal>
          <c:smooth val="0"/>
        </c:ser>
        <c:axId val="69910646"/>
        <c:axId val="11777275"/>
      </c:scatterChart>
      <c:valAx>
        <c:axId val="69910646"/>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11777275"/>
        <c:crosses val="autoZero"/>
        <c:crossBetween val="midCat"/>
        <c:majorUnit val="1"/>
      </c:valAx>
      <c:valAx>
        <c:axId val="11777275"/>
        <c:scaling>
          <c:orientation val="minMax"/>
          <c:max val="3.5"/>
          <c:min val="2"/>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a:t>
                </a:r>
              </a:p>
            </c:rich>
          </c:tx>
          <c:overlay val="0"/>
          <c:spPr>
            <a:noFill/>
            <a:ln w="0">
              <a:noFill/>
            </a:ln>
          </c:spPr>
        </c:title>
        <c:numFmt formatCode="0.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69910646"/>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1.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Davlat ulushi mavjud banklar</c:v>
                </c:pt>
              </c:strCache>
            </c:strRef>
          </c:tx>
          <c:spPr>
            <a:solidFill>
              <a:srgbClr val="2a78d6"/>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2022</c:v>
                </c:pt>
                <c:pt idx="1">
                  <c:v>2023</c:v>
                </c:pt>
                <c:pt idx="2">
                  <c:v>2024</c:v>
                </c:pt>
                <c:pt idx="3">
                  <c:v>2025</c:v>
                </c:pt>
              </c:strCache>
            </c:strRef>
          </c:cat>
          <c:val>
            <c:numRef>
              <c:f>0</c:f>
              <c:numCache>
                <c:formatCode>General</c:formatCode>
                <c:ptCount val="4"/>
                <c:pt idx="0">
                  <c:v>4.4</c:v>
                </c:pt>
                <c:pt idx="1">
                  <c:v>8.1</c:v>
                </c:pt>
                <c:pt idx="2">
                  <c:v>-0.5</c:v>
                </c:pt>
                <c:pt idx="3">
                  <c:v>7.6</c:v>
                </c:pt>
              </c:numCache>
            </c:numRef>
          </c:val>
        </c:ser>
        <c:ser>
          <c:idx val="1"/>
          <c:order val="1"/>
          <c:tx>
            <c:strRef>
              <c:f>label 1</c:f>
              <c:strCache>
                <c:ptCount val="1"/>
                <c:pt idx="0">
                  <c:v>Boshqa banklar</c:v>
                </c:pt>
              </c:strCache>
            </c:strRef>
          </c:tx>
          <c:spPr>
            <a:solidFill>
              <a:srgbClr val="eb6834"/>
            </a:solidFill>
            <a:ln w="6480">
              <a:solidFill>
                <a:srgbClr val="ffffff"/>
              </a:solidFill>
              <a:round/>
            </a:ln>
          </c:spPr>
          <c:invertIfNegative val="0"/>
          <c:dLbls>
            <c:numFmt formatCode="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2022</c:v>
                </c:pt>
                <c:pt idx="1">
                  <c:v>2023</c:v>
                </c:pt>
                <c:pt idx="2">
                  <c:v>2024</c:v>
                </c:pt>
                <c:pt idx="3">
                  <c:v>2025</c:v>
                </c:pt>
              </c:strCache>
            </c:strRef>
          </c:cat>
          <c:val>
            <c:numRef>
              <c:f>1</c:f>
              <c:numCache>
                <c:formatCode>General</c:formatCode>
                <c:ptCount val="4"/>
                <c:pt idx="0">
                  <c:v>27.3</c:v>
                </c:pt>
                <c:pt idx="1">
                  <c:v>27.7</c:v>
                </c:pt>
                <c:pt idx="2">
                  <c:v>19.2</c:v>
                </c:pt>
                <c:pt idx="3">
                  <c:v>20.3</c:v>
                </c:pt>
              </c:numCache>
            </c:numRef>
          </c:val>
        </c:ser>
        <c:gapWidth val="80"/>
        <c:overlap val="0"/>
        <c:axId val="35317155"/>
        <c:axId val="50043903"/>
      </c:barChart>
      <c:catAx>
        <c:axId val="35317155"/>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50043903"/>
        <c:crosses val="autoZero"/>
        <c:auto val="1"/>
        <c:lblAlgn val="ctr"/>
        <c:lblOffset val="100"/>
        <c:noMultiLvlLbl val="0"/>
      </c:catAx>
      <c:valAx>
        <c:axId val="50043903"/>
        <c:scaling>
          <c:orientation val="minMax"/>
          <c:max val="30"/>
          <c:min val="-5"/>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35317155"/>
        <c:crosses val="autoZero"/>
        <c:crossBetween val="between"/>
        <c:majorUnit val="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scatterChart>
        <c:scatterStyle val="lineMarker"/>
        <c:varyColors val="0"/>
        <c:ser>
          <c:idx val="0"/>
          <c:order val="0"/>
          <c:tx>
            <c:strRef>
              <c:f>label 0</c:f>
              <c:strCache>
                <c:ptCount val="1"/>
                <c:pt idx="0">
                  <c:v>Davlat banklari</c:v>
                </c:pt>
              </c:strCache>
            </c:strRef>
          </c:tx>
          <c:spPr>
            <a:solidFill>
              <a:srgbClr val="2a78d6"/>
            </a:solidFill>
            <a:ln w="28440">
              <a:solidFill>
                <a:srgbClr val="2a78d6"/>
              </a:solidFill>
              <a:round/>
            </a:ln>
          </c:spPr>
          <c:marker>
            <c:symbol val="circle"/>
            <c:size val="7"/>
            <c:spPr>
              <a:solidFill>
                <a:srgbClr val="2a78d6"/>
              </a:solidFill>
            </c:spPr>
          </c:marker>
          <c:dLbls>
            <c:numFmt formatCode="General" sourceLinked="0"/>
            <c:txPr>
              <a:bodyPr wrap="square"/>
              <a:lstStyle/>
              <a:p>
                <a:pPr>
                  <a:defRPr b="1" sz="1000" spc="-1" strike="noStrike">
                    <a:solidFill>
                      <a:srgbClr val="2a78d6"/>
                    </a:solidFill>
                    <a:latin typeface="Times New Roman"/>
                  </a:defRPr>
                </a:pPr>
              </a:p>
            </c:txPr>
            <c:dLblPos val="b"/>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1</c:f>
              <c:numCache>
                <c:formatCode>General</c:formatCode>
                <c:ptCount val="5"/>
                <c:pt idx="0">
                  <c:v>2021</c:v>
                </c:pt>
                <c:pt idx="1">
                  <c:v>2022</c:v>
                </c:pt>
                <c:pt idx="2">
                  <c:v>2023</c:v>
                </c:pt>
                <c:pt idx="3">
                  <c:v>2024</c:v>
                </c:pt>
                <c:pt idx="4">
                  <c:v>2025</c:v>
                </c:pt>
              </c:numCache>
            </c:numRef>
          </c:xVal>
          <c:yVal>
            <c:numRef>
              <c:f>0</c:f>
              <c:numCache>
                <c:formatCode>General</c:formatCode>
                <c:ptCount val="5"/>
                <c:pt idx="0">
                  <c:v>3.15</c:v>
                </c:pt>
                <c:pt idx="1">
                  <c:v>3.1</c:v>
                </c:pt>
                <c:pt idx="2">
                  <c:v>3.07</c:v>
                </c:pt>
                <c:pt idx="3">
                  <c:v>2.88</c:v>
                </c:pt>
                <c:pt idx="4">
                  <c:v>3.15</c:v>
                </c:pt>
              </c:numCache>
            </c:numRef>
          </c:yVal>
          <c:smooth val="0"/>
        </c:ser>
        <c:ser>
          <c:idx val="1"/>
          <c:order val="1"/>
          <c:tx>
            <c:strRef>
              <c:f>label 2</c:f>
              <c:strCache>
                <c:ptCount val="1"/>
                <c:pt idx="0">
                  <c:v>Boshqa banklar</c:v>
                </c:pt>
              </c:strCache>
            </c:strRef>
          </c:tx>
          <c:spPr>
            <a:solidFill>
              <a:srgbClr val="eb6834"/>
            </a:solidFill>
            <a:ln w="28440">
              <a:solidFill>
                <a:srgbClr val="eb6834"/>
              </a:solidFill>
              <a:round/>
            </a:ln>
          </c:spPr>
          <c:marker>
            <c:symbol val="square"/>
            <c:size val="7"/>
            <c:spPr>
              <a:solidFill>
                <a:srgbClr val="eb6834"/>
              </a:solidFill>
            </c:spPr>
          </c:marker>
          <c:dLbls>
            <c:numFmt formatCode="General" sourceLinked="0"/>
            <c:txPr>
              <a:bodyPr wrap="square"/>
              <a:lstStyle/>
              <a:p>
                <a:pPr>
                  <a:defRPr b="1" sz="1000" spc="-1" strike="noStrike">
                    <a:solidFill>
                      <a:srgbClr val="eb6834"/>
                    </a:solidFill>
                    <a:latin typeface="Times New Roman"/>
                  </a:defRPr>
                </a:pPr>
              </a:p>
            </c:txPr>
            <c:dLblPos val="t"/>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xVal>
            <c:numRef>
              <c:f>3</c:f>
              <c:numCache>
                <c:formatCode>General</c:formatCode>
                <c:ptCount val="5"/>
                <c:pt idx="0">
                  <c:v>2021</c:v>
                </c:pt>
                <c:pt idx="1">
                  <c:v>2022</c:v>
                </c:pt>
                <c:pt idx="2">
                  <c:v>2023</c:v>
                </c:pt>
                <c:pt idx="3">
                  <c:v>2024</c:v>
                </c:pt>
                <c:pt idx="4">
                  <c:v>2025</c:v>
                </c:pt>
              </c:numCache>
            </c:numRef>
          </c:xVal>
          <c:yVal>
            <c:numRef>
              <c:f>2</c:f>
              <c:numCache>
                <c:formatCode>General</c:formatCode>
                <c:ptCount val="5"/>
                <c:pt idx="0">
                  <c:v>3.76</c:v>
                </c:pt>
                <c:pt idx="1">
                  <c:v>3.89</c:v>
                </c:pt>
                <c:pt idx="2">
                  <c:v>3.8</c:v>
                </c:pt>
                <c:pt idx="3">
                  <c:v>3.71</c:v>
                </c:pt>
                <c:pt idx="4">
                  <c:v>3.61</c:v>
                </c:pt>
              </c:numCache>
            </c:numRef>
          </c:yVal>
          <c:smooth val="0"/>
        </c:ser>
        <c:axId val="72011411"/>
        <c:axId val="70216927"/>
      </c:scatterChart>
      <c:valAx>
        <c:axId val="72011411"/>
        <c:scaling>
          <c:orientation val="minMax"/>
          <c:max val="2025.5"/>
          <c:min val="2020.5"/>
        </c:scaling>
        <c:delete val="0"/>
        <c:axPos val="b"/>
        <c:title>
          <c:tx>
            <c:rich>
              <a:bodyPr rot="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Yillar</a:t>
                </a:r>
              </a:p>
            </c:rich>
          </c:tx>
          <c:overlay val="0"/>
          <c:spPr>
            <a:noFill/>
            <a:ln w="0">
              <a:noFill/>
            </a:ln>
          </c:spPr>
        </c:title>
        <c:numFmt formatCode="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0216927"/>
        <c:crosses val="autoZero"/>
        <c:crossBetween val="midCat"/>
        <c:majorUnit val="1"/>
      </c:valAx>
      <c:valAx>
        <c:axId val="70216927"/>
        <c:scaling>
          <c:orientation val="minMax"/>
          <c:max val="4"/>
          <c:min val="2.5"/>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MBII, ball</a:t>
                </a:r>
              </a:p>
            </c:rich>
          </c:tx>
          <c:overlay val="0"/>
          <c:spPr>
            <a:noFill/>
            <a:ln w="0">
              <a:noFill/>
            </a:ln>
          </c:spPr>
        </c:title>
        <c:numFmt formatCode="0.00"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2011411"/>
        <c:crosses val="autoZero"/>
        <c:crossBetween val="midCat"/>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3.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Davlat banklari</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Kapital</c:v>
                </c:pt>
                <c:pt idx="1">
                  <c:v>Aktivlar sifati</c:v>
                </c:pt>
                <c:pt idx="2">
                  <c:v>Likvidlik</c:v>
                </c:pt>
                <c:pt idx="3">
                  <c:v>Daromadlilik</c:v>
                </c:pt>
              </c:strCache>
            </c:strRef>
          </c:cat>
          <c:val>
            <c:numRef>
              <c:f>0</c:f>
              <c:numCache>
                <c:formatCode>General</c:formatCode>
                <c:ptCount val="4"/>
                <c:pt idx="0">
                  <c:v>4</c:v>
                </c:pt>
                <c:pt idx="1">
                  <c:v>3.46</c:v>
                </c:pt>
                <c:pt idx="2">
                  <c:v>2.23</c:v>
                </c:pt>
                <c:pt idx="3">
                  <c:v>2.46</c:v>
                </c:pt>
              </c:numCache>
            </c:numRef>
          </c:val>
        </c:ser>
        <c:ser>
          <c:idx val="1"/>
          <c:order val="1"/>
          <c:tx>
            <c:strRef>
              <c:f>label 1</c:f>
              <c:strCache>
                <c:ptCount val="1"/>
                <c:pt idx="0">
                  <c:v>Boshqa banklar</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Kapital</c:v>
                </c:pt>
                <c:pt idx="1">
                  <c:v>Aktivlar sifati</c:v>
                </c:pt>
                <c:pt idx="2">
                  <c:v>Likvidlik</c:v>
                </c:pt>
                <c:pt idx="3">
                  <c:v>Daromadlilik</c:v>
                </c:pt>
              </c:strCache>
            </c:strRef>
          </c:cat>
          <c:val>
            <c:numRef>
              <c:f>1</c:f>
              <c:numCache>
                <c:formatCode>General</c:formatCode>
                <c:ptCount val="4"/>
                <c:pt idx="0">
                  <c:v>4</c:v>
                </c:pt>
                <c:pt idx="1">
                  <c:v>3.74</c:v>
                </c:pt>
                <c:pt idx="2">
                  <c:v>3.26</c:v>
                </c:pt>
                <c:pt idx="3">
                  <c:v>3.83</c:v>
                </c:pt>
              </c:numCache>
            </c:numRef>
          </c:val>
        </c:ser>
        <c:gapWidth val="60"/>
        <c:overlap val="0"/>
        <c:axId val="73939413"/>
        <c:axId val="97336078"/>
      </c:barChart>
      <c:catAx>
        <c:axId val="73939413"/>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97336078"/>
        <c:crosses val="autoZero"/>
        <c:auto val="1"/>
        <c:lblAlgn val="ctr"/>
        <c:lblOffset val="100"/>
        <c:noMultiLvlLbl val="0"/>
      </c:catAx>
      <c:valAx>
        <c:axId val="97336078"/>
        <c:scaling>
          <c:orientation val="minMax"/>
          <c:max val="4.5"/>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Ball</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73939413"/>
        <c:crosses val="autoZero"/>
        <c:crossBetween val="between"/>
        <c:majorUnit val="1"/>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charts/chart34.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col"/>
        <c:grouping val="clustered"/>
        <c:varyColors val="0"/>
        <c:ser>
          <c:idx val="0"/>
          <c:order val="0"/>
          <c:tx>
            <c:strRef>
              <c:f>label 0</c:f>
              <c:strCache>
                <c:ptCount val="1"/>
                <c:pt idx="0">
                  <c:v>Davlat banklari</c:v>
                </c:pt>
              </c:strCache>
            </c:strRef>
          </c:tx>
          <c:spPr>
            <a:solidFill>
              <a:srgbClr val="2a78d6"/>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2022</c:v>
                </c:pt>
                <c:pt idx="1">
                  <c:v>2023</c:v>
                </c:pt>
                <c:pt idx="2">
                  <c:v>2024</c:v>
                </c:pt>
                <c:pt idx="3">
                  <c:v>2025</c:v>
                </c:pt>
              </c:strCache>
            </c:strRef>
          </c:cat>
          <c:val>
            <c:numRef>
              <c:f>0</c:f>
              <c:numCache>
                <c:formatCode>General</c:formatCode>
                <c:ptCount val="4"/>
                <c:pt idx="0">
                  <c:v>2.7</c:v>
                </c:pt>
                <c:pt idx="1">
                  <c:v>2.8</c:v>
                </c:pt>
                <c:pt idx="2">
                  <c:v>2.91</c:v>
                </c:pt>
                <c:pt idx="3">
                  <c:v>3.06</c:v>
                </c:pt>
              </c:numCache>
            </c:numRef>
          </c:val>
        </c:ser>
        <c:ser>
          <c:idx val="1"/>
          <c:order val="1"/>
          <c:tx>
            <c:strRef>
              <c:f>label 1</c:f>
              <c:strCache>
                <c:ptCount val="1"/>
                <c:pt idx="0">
                  <c:v>Boshqa banklar</c:v>
                </c:pt>
              </c:strCache>
            </c:strRef>
          </c:tx>
          <c:spPr>
            <a:solidFill>
              <a:srgbClr val="eb6834"/>
            </a:solidFill>
            <a:ln w="6480">
              <a:solidFill>
                <a:srgbClr val="ffffff"/>
              </a:solidFill>
              <a:round/>
            </a:ln>
          </c:spPr>
          <c:invertIfNegative val="0"/>
          <c:dLbls>
            <c:numFmt formatCode="0.00" sourceLinked="0"/>
            <c:txPr>
              <a:bodyPr wrap="square"/>
              <a:lstStyle/>
              <a:p>
                <a:pPr>
                  <a:defRPr b="1" sz="1050" spc="-1" strike="noStrike">
                    <a:solidFill>
                      <a:srgbClr val="000000"/>
                    </a:solidFill>
                    <a:latin typeface="Times New Roman"/>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4"/>
                <c:pt idx="0">
                  <c:v>2022</c:v>
                </c:pt>
                <c:pt idx="1">
                  <c:v>2023</c:v>
                </c:pt>
                <c:pt idx="2">
                  <c:v>2024</c:v>
                </c:pt>
                <c:pt idx="3">
                  <c:v>2025</c:v>
                </c:pt>
              </c:strCache>
            </c:strRef>
          </c:cat>
          <c:val>
            <c:numRef>
              <c:f>1</c:f>
              <c:numCache>
                <c:formatCode>General</c:formatCode>
                <c:ptCount val="4"/>
                <c:pt idx="0">
                  <c:v>2.51</c:v>
                </c:pt>
                <c:pt idx="1">
                  <c:v>2.29</c:v>
                </c:pt>
                <c:pt idx="2">
                  <c:v>2.38</c:v>
                </c:pt>
                <c:pt idx="3">
                  <c:v>2.84</c:v>
                </c:pt>
              </c:numCache>
            </c:numRef>
          </c:val>
        </c:ser>
        <c:gapWidth val="70"/>
        <c:overlap val="0"/>
        <c:axId val="40852994"/>
        <c:axId val="21731949"/>
      </c:barChart>
      <c:catAx>
        <c:axId val="40852994"/>
        <c:scaling>
          <c:orientation val="minMax"/>
        </c:scaling>
        <c:delete val="0"/>
        <c:axPos val="b"/>
        <c:numFmt formatCode="General" sourceLinked="0"/>
        <c:majorTickMark val="none"/>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21731949"/>
        <c:crosses val="autoZero"/>
        <c:auto val="1"/>
        <c:lblAlgn val="ctr"/>
        <c:lblOffset val="100"/>
        <c:noMultiLvlLbl val="0"/>
      </c:catAx>
      <c:valAx>
        <c:axId val="21731949"/>
        <c:scaling>
          <c:orientation val="minMax"/>
          <c:max val="3.5"/>
          <c:min val="0"/>
        </c:scaling>
        <c:delete val="0"/>
        <c:axPos val="l"/>
        <c:majorGridlines>
          <c:spPr>
            <a:ln w="6480">
              <a:solidFill>
                <a:srgbClr val="d9d9d9"/>
              </a:solidFill>
              <a:round/>
            </a:ln>
          </c:spPr>
        </c:majorGridlines>
        <c:title>
          <c:tx>
            <c:rich>
              <a:bodyPr rot="-5400000"/>
              <a:lstStyle/>
              <a:p>
                <a:pPr>
                  <a:defRPr b="0" lang="uz-Latn-UZ" sz="1100" spc="-1" strike="noStrike">
                    <a:solidFill>
                      <a:srgbClr val="000000"/>
                    </a:solidFill>
                    <a:latin typeface="Times New Roman"/>
                  </a:defRPr>
                </a:pPr>
                <a:r>
                  <a:rPr b="0" lang="uz-Latn-UZ" sz="1100" spc="-1" strike="noStrike">
                    <a:solidFill>
                      <a:srgbClr val="000000"/>
                    </a:solidFill>
                    <a:latin typeface="Times New Roman"/>
                  </a:rPr>
                  <a:t>ln(Z-score)</a:t>
                </a:r>
              </a:p>
            </c:rich>
          </c:tx>
          <c:overlay val="0"/>
          <c:spPr>
            <a:noFill/>
            <a:ln w="0">
              <a:noFill/>
            </a:ln>
          </c:spPr>
        </c:title>
        <c:numFmt formatCode="General" sourceLinked="0"/>
        <c:majorTickMark val="out"/>
        <c:minorTickMark val="none"/>
        <c:tickLblPos val="low"/>
        <c:spPr>
          <a:ln w="9360">
            <a:solidFill>
              <a:srgbClr val="595959"/>
            </a:solidFill>
            <a:round/>
          </a:ln>
        </c:spPr>
        <c:txPr>
          <a:bodyPr/>
          <a:lstStyle/>
          <a:p>
            <a:pPr>
              <a:defRPr b="0" sz="1100" spc="-1" strike="noStrike">
                <a:solidFill>
                  <a:srgbClr val="000000"/>
                </a:solidFill>
                <a:latin typeface="Times New Roman"/>
              </a:defRPr>
            </a:pPr>
          </a:p>
        </c:txPr>
        <c:crossAx val="40852994"/>
        <c:crosses val="autoZero"/>
        <c:crossBetween val="between"/>
        <c:majorUnit val="0.5"/>
      </c:valAx>
      <c:spPr>
        <a:noFill/>
        <a:ln w="0">
          <a:noFill/>
        </a:ln>
      </c:spPr>
    </c:plotArea>
    <c:legend>
      <c:legendPos val="b"/>
      <c:overlay val="0"/>
      <c:spPr>
        <a:noFill/>
        <a:ln w="0">
          <a:noFill/>
        </a:ln>
      </c:spPr>
      <c:txPr>
        <a:bodyPr/>
        <a:lstStyle/>
        <a:p>
          <a:pPr>
            <a:defRPr b="0" sz="1050" spc="-1" strike="noStrike">
              <a:solidFill>
                <a:srgbClr val="000000"/>
              </a:solidFill>
              <a:latin typeface="Times New Roman"/>
            </a:defRPr>
          </a:pPr>
        </a:p>
      </c:txPr>
    </c:legend>
    <c:plotVisOnly val="1"/>
    <c:dispBlanksAs val="gap"/>
  </c:chart>
  <c:spPr>
    <a:solidFill>
      <a:srgbClr val="ffffff"/>
    </a:solidFill>
    <a:ln w="9360">
      <a:noFill/>
    </a:ln>
  </c:spPr>
  <c:externalData r:id="rId1"/>
</c:chartSpace>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202</Pages>
  <Words>49233</Words>
  <Characters>351795</Characters>
  <CharactersWithSpaces>398965</CharactersWithSpaces>
  <Paragraphs>3162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2026-10-11T19:08:12Z</dcterms:created>
  <dc:creator>python-docx</dc:creator>
  <dc:description>generated by python-docx</dc:description>
  <dc:language>en-US</dc:language>
  <cp:lastModifiedBy/>
  <dcterms:modified xsi:type="dcterms:W3CDTF">2026-10-11T19:22:34Z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