
<file path=[Content_Types].xml><?xml version="1.0" encoding="utf-8"?>
<Types xmlns="http://schemas.openxmlformats.org/package/2006/content-types">
  <Default Extension="jpeg" ContentType="image/jpe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line="276" w:lineRule="auto"/>
        <w:jc w:val="center"/>
      </w:pPr>
      <w:r>
        <w:rPr>
          <w:rFonts w:ascii="Times New Roman" w:hAnsi="Times New Roman"/>
          <w:b/>
          <w:i w:val="0"/>
          <w:sz w:val="28"/>
        </w:rPr>
        <w:t>TASHKENT INTERNATIONAL UNIVERSITY HUZURIDAGI ILMIY DARAJALAR BERUVCHI DSc.03/2025.27.12.I.30.01 RAQAMLI ILMIY KENGASH</w:t>
      </w:r>
    </w:p>
    <w:p>
      <w:pPr>
        <w:spacing w:after="360" w:before="0" w:line="276" w:lineRule="auto"/>
        <w:jc w:val="center"/>
      </w:pPr>
      <w:r>
        <w:rPr>
          <w:rFonts w:ascii="Times New Roman" w:hAnsi="Times New Roman"/>
          <w:b/>
          <w:i w:val="0"/>
          <w:sz w:val="28"/>
        </w:rPr>
        <w:t>DENOV TADBIRKORLIK VA PEDAGOGIKA UNIVERSITETI</w:t>
      </w:r>
    </w:p>
    <w:p>
      <w:pPr>
        <w:spacing w:after="0" w:before="0" w:line="276" w:lineRule="auto"/>
        <w:jc w:val="right"/>
      </w:pPr>
      <w:r>
        <w:rPr>
          <w:rFonts w:ascii="Times New Roman" w:hAnsi="Times New Roman"/>
          <w:b w:val="0"/>
          <w:i/>
          <w:sz w:val="28"/>
        </w:rPr>
        <w:t>Qo‘lyozma huquqida</w:t>
      </w:r>
    </w:p>
    <w:p>
      <w:pPr>
        <w:spacing w:after="600" w:before="0" w:line="276" w:lineRule="auto"/>
        <w:jc w:val="right"/>
      </w:pPr>
      <w:r>
        <w:rPr>
          <w:rFonts w:ascii="Times New Roman" w:hAnsi="Times New Roman"/>
          <w:b w:val="0"/>
          <w:i/>
          <w:sz w:val="28"/>
        </w:rPr>
        <w:t>UO‘K: 336.71</w:t>
      </w:r>
    </w:p>
    <w:p>
      <w:pPr>
        <w:spacing w:after="480" w:before="0" w:line="276" w:lineRule="auto"/>
        <w:jc w:val="center"/>
      </w:pPr>
      <w:r>
        <w:rPr>
          <w:rFonts w:ascii="Times New Roman" w:hAnsi="Times New Roman"/>
          <w:b/>
          <w:i w:val="0"/>
          <w:sz w:val="28"/>
        </w:rPr>
        <w:t>MAXMUDOV OMON TO‘XTAYEVICH</w:t>
      </w:r>
    </w:p>
    <w:p>
      <w:pPr>
        <w:spacing w:after="480" w:before="0" w:line="276" w:lineRule="auto"/>
        <w:jc w:val="center"/>
      </w:pPr>
      <w:r>
        <w:rPr>
          <w:rFonts w:ascii="Times New Roman" w:hAnsi="Times New Roman"/>
          <w:b/>
          <w:i w:val="0"/>
          <w:sz w:val="32"/>
        </w:rPr>
        <w:t>TIJORAT BANKLARI MOLIYAVIY BARQARORLIGINI XALQARO STANDARTLAR ASOSIDA BAHOLASH METODOLOGIYASINI TAKOMILLASHTIRISH</w:t>
      </w:r>
    </w:p>
    <w:p>
      <w:pPr>
        <w:spacing w:after="480" w:before="0" w:line="276" w:lineRule="auto"/>
        <w:jc w:val="center"/>
      </w:pPr>
      <w:r>
        <w:rPr>
          <w:rFonts w:ascii="Times New Roman" w:hAnsi="Times New Roman"/>
          <w:b w:val="0"/>
          <w:i w:val="0"/>
          <w:sz w:val="28"/>
        </w:rPr>
        <w:t>08.00.07 – Moliya, pul muomalasi va kredit</w:t>
      </w:r>
    </w:p>
    <w:p>
      <w:pPr>
        <w:spacing w:after="0" w:before="0" w:line="276" w:lineRule="auto"/>
        <w:jc w:val="center"/>
      </w:pPr>
      <w:r>
        <w:rPr>
          <w:rFonts w:ascii="Times New Roman" w:hAnsi="Times New Roman"/>
          <w:b/>
          <w:i w:val="0"/>
          <w:sz w:val="28"/>
        </w:rPr>
        <w:t>Iqtisodiyot fanlari doktori (DSc)</w:t>
      </w:r>
    </w:p>
    <w:p>
      <w:pPr>
        <w:spacing w:after="0" w:before="0" w:line="276" w:lineRule="auto"/>
        <w:jc w:val="center"/>
      </w:pPr>
      <w:r>
        <w:rPr>
          <w:rFonts w:ascii="Times New Roman" w:hAnsi="Times New Roman"/>
          <w:b w:val="0"/>
          <w:i w:val="0"/>
          <w:sz w:val="28"/>
        </w:rPr>
        <w:t>ilmiy darajasini olish uchun yozilgan</w:t>
      </w:r>
    </w:p>
    <w:p>
      <w:pPr>
        <w:spacing w:after="720" w:before="160" w:line="276" w:lineRule="auto"/>
        <w:jc w:val="center"/>
      </w:pPr>
      <w:r>
        <w:rPr>
          <w:rFonts w:ascii="Times New Roman" w:hAnsi="Times New Roman"/>
          <w:b/>
          <w:i w:val="0"/>
          <w:sz w:val="32"/>
        </w:rPr>
        <w:t>DISSERTATSIYA</w:t>
      </w:r>
    </w:p>
    <w:p>
      <w:pPr>
        <w:spacing w:after="0" w:before="0" w:line="276" w:lineRule="auto"/>
        <w:jc w:val="right"/>
      </w:pPr>
      <w:r>
        <w:rPr>
          <w:b/>
          <w:sz w:val="28"/>
        </w:rPr>
        <w:t xml:space="preserve">Ilmiy rahbar: </w:t>
      </w:r>
      <w:r>
        <w:rPr>
          <w:sz w:val="28"/>
        </w:rPr>
        <w:t>Tulakov Ulug‘bek Toshmamatovich</w:t>
      </w:r>
    </w:p>
    <w:p>
      <w:pPr>
        <w:spacing w:after="960" w:before="0" w:line="276" w:lineRule="auto"/>
        <w:jc w:val="right"/>
      </w:pPr>
      <w:r>
        <w:rPr>
          <w:rFonts w:ascii="Times New Roman" w:hAnsi="Times New Roman"/>
          <w:b w:val="0"/>
          <w:i w:val="0"/>
          <w:sz w:val="28"/>
        </w:rPr>
        <w:t>iqtisodiyot fanlari doktori, professor</w:t>
      </w:r>
    </w:p>
    <w:p>
      <w:pPr>
        <w:spacing w:after="0" w:before="0" w:line="276" w:lineRule="auto"/>
        <w:jc w:val="center"/>
      </w:pPr>
      <w:r>
        <w:rPr>
          <w:rFonts w:ascii="Times New Roman" w:hAnsi="Times New Roman"/>
          <w:b w:val="0"/>
          <w:i w:val="0"/>
          <w:sz w:val="28"/>
        </w:rPr>
        <w:t>Toshkent – 2026</w:t>
      </w:r>
    </w:p>
    <w:p>
      <w:r>
        <w:br w:type="page"/>
      </w:r>
    </w:p>
    <w:p>
      <w:pPr>
        <w:spacing w:after="240" w:before="0" w:line="276" w:lineRule="auto"/>
        <w:jc w:val="center"/>
      </w:pPr>
      <w:r>
        <w:rPr>
          <w:rFonts w:ascii="Times New Roman" w:hAnsi="Times New Roman"/>
          <w:b/>
          <w:i w:val="0"/>
          <w:sz w:val="28"/>
        </w:rPr>
        <w:t>MUNDARIJA</w:t>
      </w:r>
    </w:p>
    <w:p>
      <w:pPr>
        <w:tabs>
          <w:tab w:pos="9354" w:val="right" w:leader="dot"/>
        </w:tabs>
        <w:spacing w:line="240" w:lineRule="auto" w:after="80"/>
        <w:ind w:left="0"/>
      </w:pPr>
      <w:r>
        <w:rPr>
          <w:rFonts w:ascii="Times New Roman" w:hAnsi="Times New Roman"/>
          <w:b/>
          <w:sz w:val="26"/>
        </w:rPr>
        <w:t>KIRISH</w:t>
        <w:tab/>
        <w:t>3</w:t>
      </w:r>
    </w:p>
    <w:p>
      <w:pPr>
        <w:tabs>
          <w:tab w:pos="9354" w:val="right" w:leader="dot"/>
        </w:tabs>
        <w:spacing w:line="240" w:lineRule="auto" w:after="80"/>
        <w:ind w:left="0"/>
      </w:pPr>
      <w:r>
        <w:rPr>
          <w:rFonts w:ascii="Times New Roman" w:hAnsi="Times New Roman"/>
          <w:b/>
          <w:sz w:val="26"/>
        </w:rPr>
        <w:t>I BOB. TIJORAT BANKLARI MOLIYAVIY BARQARORLIGINI BAHOLASHNING NAZARIY ASOSLARI VA XALQARO STANDARTLARI</w:t>
        <w:tab/>
        <w:t>17</w:t>
      </w:r>
    </w:p>
    <w:p>
      <w:pPr>
        <w:tabs>
          <w:tab w:pos="9354" w:val="right" w:leader="dot"/>
        </w:tabs>
        <w:spacing w:line="240" w:lineRule="auto" w:after="80"/>
        <w:ind w:left="454"/>
      </w:pPr>
      <w:r>
        <w:rPr>
          <w:rFonts w:ascii="Times New Roman" w:hAnsi="Times New Roman"/>
          <w:b w:val="0"/>
          <w:sz w:val="26"/>
        </w:rPr>
        <w:t>1.1-§. Tijorat banklari moliyaviy barqarorligining iqtisodiy mazmuni va konseptual modellari</w:t>
        <w:tab/>
        <w:t>17</w:t>
      </w:r>
    </w:p>
    <w:p>
      <w:pPr>
        <w:tabs>
          <w:tab w:pos="9354" w:val="right" w:leader="dot"/>
        </w:tabs>
        <w:spacing w:line="240" w:lineRule="auto" w:after="80"/>
        <w:ind w:left="454"/>
      </w:pPr>
      <w:r>
        <w:rPr>
          <w:rFonts w:ascii="Times New Roman" w:hAnsi="Times New Roman"/>
          <w:b w:val="0"/>
          <w:sz w:val="26"/>
        </w:rPr>
        <w:t>1.2-§. Banklar moliyaviy barqarorligini baholashning xalqaro standartlari va metodologik yondashuvlari</w:t>
        <w:tab/>
        <w:t>40</w:t>
      </w:r>
    </w:p>
    <w:p>
      <w:pPr>
        <w:tabs>
          <w:tab w:pos="9354" w:val="right" w:leader="dot"/>
        </w:tabs>
        <w:spacing w:line="240" w:lineRule="auto" w:after="80"/>
        <w:ind w:left="454"/>
      </w:pPr>
      <w:r>
        <w:rPr>
          <w:rFonts w:ascii="Times New Roman" w:hAnsi="Times New Roman"/>
          <w:b w:val="0"/>
          <w:sz w:val="26"/>
        </w:rPr>
        <w:t>1.3-§. Xorijiy mamlakatlarda banklar moliyaviy barqarorligini tartibga solish va baholash tajribasi</w:t>
        <w:tab/>
        <w:t>59</w:t>
      </w:r>
    </w:p>
    <w:p>
      <w:pPr>
        <w:tabs>
          <w:tab w:pos="9354" w:val="right" w:leader="dot"/>
        </w:tabs>
        <w:spacing w:line="240" w:lineRule="auto" w:after="80"/>
        <w:ind w:left="454"/>
      </w:pPr>
      <w:r>
        <w:rPr>
          <w:rFonts w:ascii="Times New Roman" w:hAnsi="Times New Roman"/>
          <w:b w:val="0"/>
          <w:sz w:val="26"/>
        </w:rPr>
        <w:t>I bob bo‘yicha xulosalar</w:t>
        <w:tab/>
        <w:t>83</w:t>
      </w:r>
    </w:p>
    <w:p>
      <w:pPr>
        <w:tabs>
          <w:tab w:pos="9354" w:val="right" w:leader="dot"/>
        </w:tabs>
        <w:spacing w:line="240" w:lineRule="auto" w:after="80"/>
        <w:ind w:left="0"/>
      </w:pPr>
      <w:r>
        <w:rPr>
          <w:rFonts w:ascii="Times New Roman" w:hAnsi="Times New Roman"/>
          <w:b/>
          <w:sz w:val="26"/>
        </w:rPr>
        <w:t>II BOB. O‘ZBEKISTON BANK TIZIMIDA MOLIYAVIY BARQARORLIKNI BAHOLASH AMALIYOTINING XALQARO STANDARTLARGA MUVOFIQLIGI TAHLILI</w:t>
        <w:tab/>
        <w:t>86</w:t>
      </w:r>
    </w:p>
    <w:p>
      <w:pPr>
        <w:tabs>
          <w:tab w:pos="9354" w:val="right" w:leader="dot"/>
        </w:tabs>
        <w:spacing w:line="240" w:lineRule="auto" w:after="80"/>
        <w:ind w:left="454"/>
      </w:pPr>
      <w:r>
        <w:rPr>
          <w:rFonts w:ascii="Times New Roman" w:hAnsi="Times New Roman"/>
          <w:b w:val="0"/>
          <w:sz w:val="26"/>
        </w:rPr>
        <w:t>2.1-§. Oʻzbekistonda banklar moliyaviy barqarorligini baholashning amaldagi holati va xalqaro standartlarga moslashtirish muammolari</w:t>
        <w:tab/>
        <w:t>86</w:t>
      </w:r>
    </w:p>
    <w:p>
      <w:pPr>
        <w:tabs>
          <w:tab w:pos="9354" w:val="right" w:leader="dot"/>
        </w:tabs>
        <w:spacing w:line="240" w:lineRule="auto" w:after="80"/>
        <w:ind w:left="454"/>
      </w:pPr>
      <w:r>
        <w:rPr>
          <w:rFonts w:ascii="Times New Roman" w:hAnsi="Times New Roman"/>
          <w:b w:val="0"/>
          <w:sz w:val="26"/>
        </w:rPr>
        <w:t>2.2-§. Oʻzbekiston bank tizimida moliyaviy barqarorlik koʻrsatkichlari dinamikasining xalqaro standartlar mezonlari boʻyicha tahlili</w:t>
        <w:tab/>
        <w:t>99</w:t>
      </w:r>
    </w:p>
    <w:p>
      <w:pPr>
        <w:tabs>
          <w:tab w:pos="9354" w:val="right" w:leader="dot"/>
        </w:tabs>
        <w:spacing w:line="240" w:lineRule="auto" w:after="80"/>
        <w:ind w:left="454"/>
      </w:pPr>
      <w:r>
        <w:rPr>
          <w:rFonts w:ascii="Times New Roman" w:hAnsi="Times New Roman"/>
          <w:b w:val="0"/>
          <w:sz w:val="26"/>
        </w:rPr>
        <w:t>2.3-§. Tijorat banklari moliyaviy ko‘rsatkichlarining milliy va MHXS hisobotlari bo‘yicha qiyosiy tahlili</w:t>
        <w:tab/>
        <w:t>117</w:t>
      </w:r>
    </w:p>
    <w:p>
      <w:pPr>
        <w:tabs>
          <w:tab w:pos="9354" w:val="right" w:leader="dot"/>
        </w:tabs>
        <w:spacing w:line="240" w:lineRule="auto" w:after="80"/>
        <w:ind w:left="454"/>
      </w:pPr>
      <w:r>
        <w:rPr>
          <w:rFonts w:ascii="Times New Roman" w:hAnsi="Times New Roman"/>
          <w:b w:val="0"/>
          <w:sz w:val="26"/>
        </w:rPr>
        <w:t>II bob bo‘yicha xulosalar</w:t>
        <w:tab/>
        <w:t>137</w:t>
      </w:r>
    </w:p>
    <w:p>
      <w:pPr>
        <w:tabs>
          <w:tab w:pos="9354" w:val="right" w:leader="dot"/>
        </w:tabs>
        <w:spacing w:line="240" w:lineRule="auto" w:after="80"/>
        <w:ind w:left="0"/>
      </w:pPr>
      <w:r>
        <w:rPr>
          <w:rFonts w:ascii="Times New Roman" w:hAnsi="Times New Roman"/>
          <w:b/>
          <w:sz w:val="26"/>
        </w:rPr>
        <w:t>III BOB. XALQARO STANDARTLARGA ASOSLANGAN INTEGRAL BAHOLASH METODIKASI VA UNING EKONOMETRIK ASOSLANISHI</w:t>
        <w:tab/>
        <w:t>140</w:t>
      </w:r>
    </w:p>
    <w:p>
      <w:pPr>
        <w:tabs>
          <w:tab w:pos="9354" w:val="right" w:leader="dot"/>
        </w:tabs>
        <w:spacing w:line="240" w:lineRule="auto" w:after="80"/>
        <w:ind w:left="454"/>
      </w:pPr>
      <w:r>
        <w:rPr>
          <w:rFonts w:ascii="Times New Roman" w:hAnsi="Times New Roman"/>
          <w:b w:val="0"/>
          <w:sz w:val="26"/>
        </w:rPr>
        <w:t>3.1-§. Moliyaviy barqarorlikni integral indeks asosida baholashning takomillashtirilgan metodikasi</w:t>
        <w:tab/>
        <w:t>140</w:t>
      </w:r>
    </w:p>
    <w:p>
      <w:pPr>
        <w:tabs>
          <w:tab w:pos="9354" w:val="right" w:leader="dot"/>
        </w:tabs>
        <w:spacing w:line="240" w:lineRule="auto" w:after="80"/>
        <w:ind w:left="454"/>
      </w:pPr>
      <w:r>
        <w:rPr>
          <w:rFonts w:ascii="Times New Roman" w:hAnsi="Times New Roman"/>
          <w:b w:val="0"/>
          <w:sz w:val="26"/>
        </w:rPr>
        <w:t>3.2-§. Tijorat banklari moliyaviy barqarorligini integral indeks asosida reyting baholash</w:t>
        <w:tab/>
        <w:t>156</w:t>
      </w:r>
    </w:p>
    <w:p>
      <w:pPr>
        <w:tabs>
          <w:tab w:pos="9354" w:val="right" w:leader="dot"/>
        </w:tabs>
        <w:spacing w:line="240" w:lineRule="auto" w:after="80"/>
        <w:ind w:left="454"/>
      </w:pPr>
      <w:r>
        <w:rPr>
          <w:rFonts w:ascii="Times New Roman" w:hAnsi="Times New Roman"/>
          <w:b w:val="0"/>
          <w:sz w:val="26"/>
        </w:rPr>
        <w:t>3.3-§. Tijorat banklari moliyaviy barqarorligiga ta’sir etuvchi omillarning ekonometrik tahlili</w:t>
        <w:tab/>
        <w:t>170</w:t>
      </w:r>
    </w:p>
    <w:bookmarkStart w:id="0" w:name="kirish"/>
    <w:p>
      <w:pPr>
        <w:pStyle w:val="Heading1"/>
        <w:keepNext/>
        <w:pageBreakBefore/>
        <w:spacing w:line="360" w:lineRule="auto" w:before="240" w:after="120"/>
        <w:ind w:firstLine="0"/>
        <w:jc w:val="center"/>
      </w:pPr>
      <w:r>
        <w:rPr>
          <w:rFonts w:ascii="Times New Roman" w:hAnsi="Times New Roman" w:cs="Times New Roman" w:eastAsia="Times New Roman"/>
          <w:b/>
          <w:i w:val="0"/>
          <w:sz w:val="28"/>
        </w:rPr>
        <w:t xml:space="preserve">KIRISH</w:t>
      </w:r>
    </w:p>
    <w:p>
      <w:pPr>
        <w:pStyle w:val="FirstParagraph"/>
        <w:spacing w:line="360" w:lineRule="auto" w:before="0" w:after="0"/>
        <w:ind w:firstLine="709"/>
        <w:jc w:val="both"/>
      </w:pPr>
      <w:r>
        <w:rPr>
          <w:bCs/>
          <w:rFonts w:ascii="Times New Roman" w:hAnsi="Times New Roman" w:cs="Times New Roman" w:eastAsia="Times New Roman"/>
          <w:b/>
          <w:sz w:val="28"/>
        </w:rPr>
        <w:t xml:space="preserve">Dissertatsiya mavzusining dolzarbligi va zarurati.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Jahonda tijorat banklarining moliyaviy barqarorligini baholash masalasi 2008-yilgi global moliyaviy inqirozdan keyin bank nazoratining markaziy vazifasiga aylandi va so‘nggi yillarda uning ahamiyati yanada oshdi. 2023-yil mart oyida Amerika Qo‘shma Shtatlarida Silicon Valley Bank, Signature Bank va First Republic Bank kabi yirik regional banklarning inqirozga uchrashi hamda Shveytsariyaning tizimli ahamiyatga ega Credit Suisse bankining boshqa bankka qo‘shib yuborilishi Bank nazorati bo‘yicha Bazel qo‘mitasi tomonidan global moliyaviy inqirozdan keyingi eng jiddiy bank stressi sifatida baholandi</w:t>
      </w:r>
      <w:r>
        <w:rPr>
          <w:rStyle w:val="FootnoteReference"/>
        </w:rPr>
        <w:footnoteReference w:id="1"/>
      </w:r>
      <w:r>
        <w:rPr>
          <w:rFonts w:ascii="Times New Roman" w:hAnsi="Times New Roman" w:cs="Times New Roman" w:eastAsia="Times New Roman"/>
          <w:sz w:val="28"/>
        </w:rPr>
        <w:t xml:space="preserve">. Bu voqealar rasmiy prudensial ko‘rsatkichlari me’yorlardan yuqori bo‘lgan banklarda ham likvidlik va foiz riski tez to‘planishi mumkinligini, demak, moliyaviy barqarorlikni baholash metodologiyasi muayyan sanadagi me’yoriy ko‘rsatkichlar bilan cheklanib qolmasligi kerakligini ko‘rsatdi. Shu bilan birga, Yevropa bank boshqarmasining 2025-yilgi stress-testida 64 ta yirik bank salbiy ssenariyda asosiy kapital koeffitsiyentining o‘rtacha 370 bazis punktga pasayishiga bardosh berishi aniqlandi</w:t>
      </w:r>
      <w:r>
        <w:rPr>
          <w:rStyle w:val="FootnoteReference"/>
        </w:rPr>
        <w:footnoteReference w:id="2"/>
      </w:r>
      <w:r>
        <w:rPr>
          <w:rFonts w:ascii="Times New Roman" w:hAnsi="Times New Roman" w:cs="Times New Roman" w:eastAsia="Times New Roman"/>
          <w:sz w:val="28"/>
        </w:rPr>
        <w:t xml:space="preserve">, Yevropa Ittifoqida Bazel III ning yakuniy talablari 2025-yil 1-yanvardan kuchga kirdi</w:t>
      </w:r>
      <w:r>
        <w:rPr>
          <w:rStyle w:val="FootnoteReference"/>
        </w:rPr>
        <w:footnoteReference w:id="3"/>
      </w:r>
      <w:r>
        <w:rPr>
          <w:rFonts w:ascii="Times New Roman" w:hAnsi="Times New Roman" w:cs="Times New Roman" w:eastAsia="Times New Roman"/>
          <w:sz w:val="28"/>
        </w:rPr>
        <w:t xml:space="preserve">, Buyuk Britaniyada esa ularni joriy etish 2027-yilga ko‘chirildi</w:t>
      </w:r>
      <w:r>
        <w:rPr>
          <w:rStyle w:val="FootnoteReference"/>
        </w:rPr>
        <w:footnoteReference w:id="4"/>
      </w:r>
      <w:r>
        <w:rPr>
          <w:rFonts w:ascii="Times New Roman" w:hAnsi="Times New Roman" w:cs="Times New Roman" w:eastAsia="Times New Roman"/>
          <w:sz w:val="28"/>
        </w:rPr>
        <w:t xml:space="preserve">. Bunday sharoitda bank nazorati amaliyotida moliyaviy barqarorlikni Bazel III kapital va likvidlik standartlari, Moliyaviy hisobotning xalqaro standartlari (MHXS) 9 ning kutilayotgan kredit zararlari modeli hamda Xalqaro valyuta jamg‘armasining moliyaviy barqarorlik ko‘rsatkichlari asosida yagona tizimda baholash zarurati kuchaymoqda.</w:t>
      </w:r>
    </w:p>
    <w:p>
      <w:pPr>
        <w:pStyle w:val="BodyText"/>
        <w:spacing w:line="360" w:lineRule="auto" w:before="0" w:after="0"/>
        <w:ind w:firstLine="709"/>
        <w:jc w:val="both"/>
      </w:pPr>
      <w:r>
        <w:rPr>
          <w:rFonts w:ascii="Times New Roman" w:hAnsi="Times New Roman" w:cs="Times New Roman" w:eastAsia="Times New Roman"/>
          <w:sz w:val="28"/>
        </w:rPr>
        <w:t xml:space="preserve">Jahonda banklar moliyaviy barqarorligini baholash metodologiyasini takomillashtirishga qaratilgan ilmiy izlanishlarga alohida e’tibor qaratilmoqda. Xususan, moliyaviy barqarorlik ko‘rsatkichlarini xalqaro miqyosda taqqoslanadigan qilish</w:t>
      </w:r>
      <w:r>
        <w:rPr>
          <w:rStyle w:val="FootnoteReference"/>
        </w:rPr>
        <w:footnoteReference w:id="5"/>
      </w:r>
      <w:r>
        <w:rPr>
          <w:rFonts w:ascii="Times New Roman" w:hAnsi="Times New Roman" w:cs="Times New Roman" w:eastAsia="Times New Roman"/>
          <w:sz w:val="28"/>
        </w:rPr>
        <w:t xml:space="preserve">, bank kapitali va likvidligini tartibga solishda Bazel III talablarini milliy sharoitga moslashtirish, kredit riskini kutilayotgan zararlar asosida oldindan baholash</w:t>
      </w:r>
      <w:r>
        <w:rPr>
          <w:rStyle w:val="FootnoteReference"/>
        </w:rPr>
        <w:footnoteReference w:id="6"/>
      </w:r>
      <w:r>
        <w:rPr>
          <w:rFonts w:ascii="Times New Roman" w:hAnsi="Times New Roman" w:cs="Times New Roman" w:eastAsia="Times New Roman"/>
          <w:sz w:val="28"/>
        </w:rPr>
        <w:t xml:space="preserve">, tizimli riskni erta aniqlash va makroprudensial siyosat vositalarini qo‘llash kabi yo‘nalishlarda tadqiqotlar olib borilmoqda. Bu tadqiqotlarning umumiy xulosasi shundaki, milliy prudensial me’yorlar va xalqaro standartlar o‘rtasidagi metodologik farqlar bank tizimining haqiqiy holatini baholashda sezilarli tafovut keltirib chiqarishi mumkin.</w:t>
      </w:r>
    </w:p>
    <w:p>
      <w:pPr>
        <w:pStyle w:val="BodyText"/>
        <w:spacing w:line="360" w:lineRule="auto" w:before="0" w:after="0"/>
        <w:ind w:firstLine="709"/>
        <w:jc w:val="both"/>
      </w:pPr>
      <w:r>
        <w:rPr>
          <w:rFonts w:ascii="Times New Roman" w:hAnsi="Times New Roman" w:cs="Times New Roman" w:eastAsia="Times New Roman"/>
          <w:sz w:val="28"/>
        </w:rPr>
        <w:t xml:space="preserve">O‘zbekistonda bank tizimi so‘nggi yillarda jadal o‘sdi: 2026-yil 1-yanvar holatiga tijorat banklari aktivlari 924,8 trln so‘mni tashkil etdi, ammo davlat ulushi mavjud banklarning aktivlardagi ulushi hali ham 63,5 foiz darajasida saqlanib qolmoqda</w:t>
      </w:r>
      <w:r>
        <w:rPr>
          <w:rStyle w:val="FootnoteReference"/>
        </w:rPr>
        <w:footnoteReference w:id="7"/>
      </w:r>
      <w:r>
        <w:rPr>
          <w:rFonts w:ascii="Times New Roman" w:hAnsi="Times New Roman" w:cs="Times New Roman" w:eastAsia="Times New Roman"/>
          <w:sz w:val="28"/>
        </w:rPr>
        <w:t xml:space="preserve">. Rasmiy ko‘rsatkichlar bo‘yicha bank tizimining kapital yetarliligi 18,3 foizni, muammoli kreditlar ulushi 3 foizni tashkil etgan bo‘lsa</w:t>
      </w:r>
      <w:r>
        <w:rPr>
          <w:rStyle w:val="FootnoteReference"/>
        </w:rPr>
        <w:footnoteReference w:id="8"/>
      </w:r>
      <w:r>
        <w:rPr>
          <w:rFonts w:ascii="Times New Roman" w:hAnsi="Times New Roman" w:cs="Times New Roman" w:eastAsia="Times New Roman"/>
          <w:sz w:val="28"/>
        </w:rPr>
        <w:t xml:space="preserve">, substandart va muammoli kreditlarning umumiy ulushi 2024-yilda 21 foizga yetgan</w:t>
      </w:r>
      <w:r>
        <w:rPr>
          <w:rStyle w:val="FootnoteReference"/>
        </w:rPr>
        <w:footnoteReference w:id="9"/>
      </w:r>
      <w:r>
        <w:rPr>
          <w:rFonts w:ascii="Times New Roman" w:hAnsi="Times New Roman" w:cs="Times New Roman" w:eastAsia="Times New Roman"/>
          <w:sz w:val="28"/>
        </w:rPr>
        <w:t xml:space="preserve">. Xalqaro valyuta jamg‘armasi va Jahon bankining moliya sektorini baholash dasturi doirasida muammoli kreditlarning to‘liq tan olinmasligi, kapital ta’rifining Bazel III ga to‘liq mos emasligi va likvidlik me’yorlarining milliy xususiyatlari asosiy zaif jihatlar sifatida qayd etildi</w:t>
      </w:r>
      <w:r>
        <w:rPr>
          <w:rStyle w:val="FootnoteReference"/>
        </w:rPr>
        <w:footnoteReference w:id="10"/>
      </w:r>
      <w:r>
        <w:rPr>
          <w:rFonts w:ascii="Times New Roman" w:hAnsi="Times New Roman" w:cs="Times New Roman" w:eastAsia="Times New Roman"/>
          <w:sz w:val="28"/>
        </w:rPr>
        <w:t xml:space="preserve">. Tadqiqot davomida o‘tkazilgan hisob-kitoblar ham buni tasdiqlaydi: 2025-yil yakunida «O‘zsanoatqurilishbank» ATB da milliy hisobot bo‘yicha muammoli kreditlar ulushi 2,5 foiz bo‘lgan bo‘lsa, MHXS 9 bo‘yicha qadrsizlangan kreditlar ulushi 7,5 foizni, «Mikrokreditbank» ATB da esa mos ravishda 4,4 va 12,3 foizni tashkil etgan</w:t>
      </w:r>
      <w:r>
        <w:rPr>
          <w:rStyle w:val="FootnoteReference"/>
        </w:rPr>
        <w:footnoteReference w:id="11"/>
      </w:r>
      <w:r>
        <w:rPr>
          <w:rFonts w:ascii="Times New Roman" w:hAnsi="Times New Roman" w:cs="Times New Roman" w:eastAsia="Times New Roman"/>
          <w:sz w:val="28"/>
        </w:rPr>
        <w:t xml:space="preserve">. Demak, moliyaviy barqarorlikni baholash natijasi qaysi hisobot standarti va qaysi metodika qo‘llanishiga keskin bog‘liq bo‘lib, bu baholash metodologiyasini xalqaro standartlar asosida takomillashtirishni dolzarb vazifaga aylantiradi.</w:t>
      </w:r>
    </w:p>
    <w:p>
      <w:pPr>
        <w:pStyle w:val="BodyText"/>
        <w:spacing w:line="360" w:lineRule="auto" w:before="0" w:after="0"/>
        <w:ind w:firstLine="709"/>
        <w:jc w:val="both"/>
      </w:pPr>
      <w:r>
        <w:rPr>
          <w:rFonts w:ascii="Times New Roman" w:hAnsi="Times New Roman" w:cs="Times New Roman" w:eastAsia="Times New Roman"/>
          <w:sz w:val="28"/>
        </w:rPr>
        <w:t xml:space="preserve">Bank tizimini isloh qilish strategiyasida bank nazoratini xalqaro standartlarga muvofiqlashtirish, banklar faoliyatining shaffofligini oshirish va moliyaviy barqarorlikni mustahkamlash asosiy yo‘nalishlar sifatida belgilangan</w:t>
      </w:r>
      <w:r>
        <w:rPr>
          <w:rStyle w:val="FootnoteReference"/>
        </w:rPr>
        <w:footnoteReference w:id="12"/>
      </w:r>
      <w:r>
        <w:rPr>
          <w:rFonts w:ascii="Times New Roman" w:hAnsi="Times New Roman" w:cs="Times New Roman" w:eastAsia="Times New Roman"/>
          <w:sz w:val="28"/>
        </w:rPr>
        <w:t xml:space="preserve">. 2025-yilda kapital monandligiga qo‘yiladigan talablarning yangi tahriri qabul qilinib</w:t>
      </w:r>
      <w:r>
        <w:rPr>
          <w:rStyle w:val="FootnoteReference"/>
        </w:rPr>
        <w:footnoteReference w:id="13"/>
      </w:r>
      <w:r>
        <w:rPr>
          <w:rFonts w:ascii="Times New Roman" w:hAnsi="Times New Roman" w:cs="Times New Roman" w:eastAsia="Times New Roman"/>
          <w:sz w:val="28"/>
        </w:rPr>
        <w:t xml:space="preserve">, banklarni sanatsiya qilish va tugatish tartibi qonun bilan tartibga solindi</w:t>
      </w:r>
      <w:r>
        <w:rPr>
          <w:rStyle w:val="FootnoteReference"/>
        </w:rPr>
        <w:footnoteReference w:id="14"/>
      </w:r>
      <w:r>
        <w:rPr>
          <w:rFonts w:ascii="Times New Roman" w:hAnsi="Times New Roman" w:cs="Times New Roman" w:eastAsia="Times New Roman"/>
          <w:sz w:val="28"/>
        </w:rPr>
        <w:t xml:space="preserve">, moliya sektorini baholash dasturi tavsiyalarini 2025–2028-yillarda amalga oshirish bo‘yicha yo‘l xaritasi tasdiqlandi</w:t>
      </w:r>
      <w:r>
        <w:rPr>
          <w:rStyle w:val="FootnoteReference"/>
        </w:rPr>
        <w:footnoteReference w:id="15"/>
      </w:r>
      <w:r>
        <w:rPr>
          <w:rFonts w:ascii="Times New Roman" w:hAnsi="Times New Roman" w:cs="Times New Roman" w:eastAsia="Times New Roman"/>
          <w:sz w:val="28"/>
        </w:rPr>
        <w:t xml:space="preserve">. Bu vazifalarni amalga oshirishda banklar moliyaviy barqarorligini xalqaro standartlar asosida baholashning ilmiy asoslangan metodologiyasi zarur.</w:t>
      </w:r>
    </w:p>
    <w:p>
      <w:pPr>
        <w:pStyle w:val="BodyText"/>
        <w:spacing w:line="360" w:lineRule="auto" w:before="0" w:after="0"/>
        <w:ind w:firstLine="709"/>
        <w:jc w:val="both"/>
      </w:pPr>
      <w:r>
        <w:rPr>
          <w:rFonts w:ascii="Times New Roman" w:hAnsi="Times New Roman" w:cs="Times New Roman" w:eastAsia="Times New Roman"/>
          <w:sz w:val="28"/>
        </w:rPr>
        <w:t xml:space="preserve">O‘zbekiston Respublikasining 2019-yil 11-noyabrdagi O‘RQ-582-son «O‘zbekiston Respublikasining Markaziy banki to‘g‘risida»gi, 2019-yil 5-noyabrdagi O‘RQ-580-son «Banklar va bank faoliyati to‘g‘risida»gi, 2025-yil 23-iyundagi O‘RQ-1070-son «Banklarni sanatsiya qilish va tugatish to‘g‘risida»gi qonunlari, O‘zbekiston Respublikasi Prezidentining 2020-yil 12-maydagi PF-5992-son «2020–2025-yillarga mo‘ljallangan O‘zbekiston Respublikasining bank tizimini isloh qilish strategiyasi to‘g‘risida»gi, 2022-yil 28-yanvardagi PF-60-son «2022–2026-yillarga mo‘ljallangan Yangi O‘zbekistonning taraqqiyot strategiyasi to‘g‘risida»gi, 2023-yil 11-sentabrdagi PF-158-son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O‘zbekiston – 2030</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strategiyasi to‘g‘risida»gi farmonlari, 2015-yil 6-maydagi PQ-2344-son «Tijorat banklarining moliyaviy barqarorligini yanada oshirish va ularning resurs bazasini rivojlantirish chora-tadbirlari to‘g‘risida»gi, 2017-yil 12-sentabrdagi PQ-3270-son «Respublika bank tizimini yanada rivojlantirish va barqarorligini oshirish chora-tadbirlari to‘g‘risida»gi qarorlari hamda mazkur sohaga oid boshqa me’yoriy-huquqiy hujjatlarda belgilangan vazifalarni amalga oshirishga ushbu dissertatsiya tadqiqoti muayyan darajada xizmat qiladi.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respublika fan va texnologiyalari rivojlanishining ustuvor yo‘nalishlariga mosligi.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Mazkur dissertatsiya tadqiqoti respublika fan va texnologiyalar rivojlanishining I. «Demokratik va huquqiy jamiyatni ma’naviy-axloqiy va madaniy rivojlantirish, innovatsion iqtisodiyotni shakllantirish» ustuvor yo‘nalishiga muvofiq bajarilgan.</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 mavzusi bo‘yicha xorijiy ilmiy-tadqiqotlar sharhi</w:t>
      </w:r>
      <w:r>
        <w:rPr>
          <w:rStyle w:val="FootnoteReference"/>
        </w:rPr>
        <w:footnoteReference w:id="16"/>
      </w:r>
      <w:r>
        <w:rPr>
          <w:rFonts w:ascii="Times New Roman" w:hAnsi="Times New Roman" w:cs="Times New Roman" w:eastAsia="Times New Roman"/>
          <w:sz w:val="28"/>
        </w:rPr>
        <w:t xml:space="preserve">. Tijorat banklari moliyaviy barqarorligini xalqaro standartlar asosida baholashga oid ilmiy tadqiqotlar jahonning yetakchi xalqaro moliya institutlari, markaziy banklar va ilmiy markazlari, jumladan, Bank nazorati bo‘yicha Bazel qo‘mitasi, Xalqaro hisob-kitoblar banki, Xalqaro valyuta jamg‘armasi, Jahon banki, Xalqaro buxgalteriya standartlari kengashi, AQSh Federal rezerv tizimi, Yevropa Markaziy banki, Yevropa bank boshqarmasi, Angliya banki, Rossiya Markaziy banki, Xitoy Milliy moliyaviy tartibga solish boshqarmasi hamda Toshkent davlat iqtisodiyot universiteti (O‘zbekiston) tomonidan amalga oshirilmoqda.</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 baholash bo‘yicha olib borilgan izlanishlar natijasida quyidagi ilmiy natijalar olingan: banklar kapital va likvidligini tartibga solishning global standarti sifatida likvidlikni qoplash va sof barqaror moliyalashtirish me’yorlari ishlab chiqilib, kapital talablarining yakuniy tahriri qabul qilingan (Bazel qo‘mitasi)</w:t>
      </w:r>
      <w:r>
        <w:rPr>
          <w:rStyle w:val="FootnoteReference"/>
        </w:rPr>
        <w:footnoteReference w:id="17"/>
      </w:r>
      <w:r>
        <w:rPr>
          <w:rStyle w:val="FootnoteReference"/>
        </w:rPr>
        <w:footnoteReference w:id="18"/>
      </w:r>
      <w:r>
        <w:rPr>
          <w:rStyle w:val="FootnoteReference"/>
        </w:rPr>
        <w:footnoteReference w:id="19"/>
      </w:r>
      <w:r>
        <w:rPr>
          <w:rFonts w:ascii="Times New Roman" w:hAnsi="Times New Roman" w:cs="Times New Roman" w:eastAsia="Times New Roman"/>
          <w:sz w:val="28"/>
        </w:rPr>
        <w:t xml:space="preserve">; mamlakatlar o‘rtasida taqqoslanadigan 40 dan ortiq moliyaviy barqarorlik ko‘rsatkichlari va ularni hisoblash metodikasi ishlab chiqilgan (Xalqaro valyuta jamg‘armasi)</w:t>
      </w:r>
      <w:r>
        <w:rPr>
          <w:rStyle w:val="FootnoteReference"/>
        </w:rPr>
        <w:footnoteReference w:id="20"/>
      </w:r>
      <w:r>
        <w:rPr>
          <w:rFonts w:ascii="Times New Roman" w:hAnsi="Times New Roman" w:cs="Times New Roman" w:eastAsia="Times New Roman"/>
          <w:sz w:val="28"/>
        </w:rPr>
        <w:t xml:space="preserve">; kredit zararlarini yuzaga kelgandan keyin emas, balki kutilayotgan zararlar asosida uch bosqichli model bo‘yicha tan olish tamoyili joriy etilgan (Xalqaro buxgalteriya standartlari kengashi)</w:t>
      </w:r>
      <w:r>
        <w:rPr>
          <w:rStyle w:val="FootnoteReference"/>
        </w:rPr>
        <w:footnoteReference w:id="21"/>
      </w:r>
      <w:r>
        <w:rPr>
          <w:rFonts w:ascii="Times New Roman" w:hAnsi="Times New Roman" w:cs="Times New Roman" w:eastAsia="Times New Roman"/>
          <w:sz w:val="28"/>
        </w:rPr>
        <w:t xml:space="preserve">; 2023-yilgi bank inqirozlari tahlili asosida likvidlik me’yorlari va foiz riskini baholashni qayta ko‘rib chiqish zarurligi asoslangan (Bazel qo‘mitasi)</w:t>
      </w:r>
      <w:r>
        <w:rPr>
          <w:rStyle w:val="FootnoteReference"/>
        </w:rPr>
        <w:footnoteReference w:id="22"/>
      </w:r>
      <w:r>
        <w:rPr>
          <w:rFonts w:ascii="Times New Roman" w:hAnsi="Times New Roman" w:cs="Times New Roman" w:eastAsia="Times New Roman"/>
          <w:sz w:val="28"/>
        </w:rPr>
        <w:t xml:space="preserve">; yirik moliya institutlarini nazorat reytinglari tizimi va stress-testlar asosidagi kapital buferi talablari qayta ishlab chiqilgan (AQSh Federal rezerv tizimi)</w:t>
      </w:r>
      <w:r>
        <w:rPr>
          <w:rStyle w:val="FootnoteReference"/>
        </w:rPr>
        <w:footnoteReference w:id="23"/>
      </w:r>
      <w:r>
        <w:rPr>
          <w:rStyle w:val="FootnoteReference"/>
        </w:rPr>
        <w:footnoteReference w:id="24"/>
      </w:r>
      <w:r>
        <w:rPr>
          <w:rFonts w:ascii="Times New Roman" w:hAnsi="Times New Roman" w:cs="Times New Roman" w:eastAsia="Times New Roman"/>
          <w:sz w:val="28"/>
        </w:rPr>
        <w:t xml:space="preserve">; tizimli ahamiyatga ega banklar uchun milliy qisqa muddatli likvidlik me’yori va antitsiklik kapital buferi joriy etilgan (Rossiya Markaziy banki)</w:t>
      </w:r>
      <w:r>
        <w:rPr>
          <w:rStyle w:val="FootnoteReference"/>
        </w:rPr>
        <w:footnoteReference w:id="25"/>
      </w:r>
      <w:r>
        <w:rPr>
          <w:rStyle w:val="FootnoteReference"/>
        </w:rPr>
        <w:footnoteReference w:id="26"/>
      </w:r>
      <w:r>
        <w:rPr>
          <w:rFonts w:ascii="Times New Roman" w:hAnsi="Times New Roman" w:cs="Times New Roman" w:eastAsia="Times New Roman"/>
          <w:sz w:val="28"/>
        </w:rPr>
        <w:t xml:space="preserve">; tizimli bank inqirozlarining davomiyligi, fiskal xarajatlari va iqtisodiy yo‘qotishlari bo‘yicha xalqaro ma’lumotlar bazasi yaratilgan (Xalqaro valyuta jamg‘armasi)</w:t>
      </w:r>
      <w:r>
        <w:rPr>
          <w:rStyle w:val="FootnoteReference"/>
        </w:rPr>
        <w:footnoteReference w:id="27"/>
      </w:r>
      <w:r>
        <w:rPr>
          <w:rFonts w:ascii="Times New Roman" w:hAnsi="Times New Roman" w:cs="Times New Roman" w:eastAsia="Times New Roman"/>
          <w:sz w:val="28"/>
        </w:rPr>
        <w:t xml:space="preserve">; muammoli kreditlarni hisobdan chiqarish ularning rasmiy ulushini kamaytirsa-da, kredit riskini bartaraf etmasligi isbotlangan (Xitoy banklari misolida)</w:t>
      </w:r>
      <w:r>
        <w:rPr>
          <w:rStyle w:val="FootnoteReference"/>
        </w:rPr>
        <w:footnoteReference w:id="28"/>
      </w:r>
      <w:r>
        <w:rPr>
          <w:rFonts w:ascii="Times New Roman" w:hAnsi="Times New Roman" w:cs="Times New Roman" w:eastAsia="Times New Roman"/>
          <w:sz w:val="28"/>
        </w:rPr>
        <w:t xml:space="preserve">; O‘zbekiston bank tizimida muammoli kreditlarning to‘liq tan olinmasligi va davlat banklarida kapitalga qo‘shimcha ehtiyoj mavjudligi aniqlangan (Xalqaro valyuta jamg‘armasi va Jahon banki)</w:t>
      </w:r>
      <w:r>
        <w:rPr>
          <w:rStyle w:val="FootnoteReference"/>
        </w:rPr>
        <w:footnoteReference w:id="29"/>
      </w:r>
      <w:r>
        <w:rPr>
          <w:rStyle w:val="FootnoteReference"/>
        </w:rPr>
        <w:footnoteReference w:id="3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Jahonda banklar moliyaviy barqarorligini baholash metodologiyasini takomillashtirish bo‘yicha, jumladan, quyidagi ustuvor yo‘nalishlarda tadqiqotlar olib borilmoqda: Bazel III talablarini milliy sharoitga moslashtirish va milliy me’yorlarning xalqaro standartlardan chetlanishini baholash; MHXS 9 bo‘yicha kutilayotgan kredit zararlari va prudensial aktivlar tasnifini uyg‘unlashtirish; moliyaviy barqarorlikning integral ko‘rsatkichlari va erta ogohlantirish tizimlarini ishlab chiqish; makroiqtisodiy ssenariylarga asoslangan stress-testlar va prognozlash usullarini takomillashtirish.</w:t>
      </w:r>
    </w:p>
    <w:p>
      <w:pPr>
        <w:pStyle w:val="BodyText"/>
        <w:spacing w:line="360" w:lineRule="auto" w:before="0" w:after="0"/>
        <w:ind w:firstLine="709"/>
        <w:jc w:val="both"/>
      </w:pPr>
      <w:r>
        <w:rPr>
          <w:bCs/>
          <w:rFonts w:ascii="Times New Roman" w:hAnsi="Times New Roman" w:cs="Times New Roman" w:eastAsia="Times New Roman"/>
          <w:b/>
          <w:sz w:val="28"/>
        </w:rPr>
        <w:t xml:space="preserve">Muammoning o‘rganilganlik darajasi.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Banklar moliyaviy barqarorligining nazariy asoslari va uni baholash masalalari xorijlik olimlar D.Diamond, F.Dybvig, H.Minsky, R.Merton, F.Mishkin, G.Schinasi, A.Houben, J.Kakes, M.Čihák, A.Crockett, C.Borio, T.Adrian, M.Brunnermeier, A.Thakor, L.Laeven, F.Valencia, D.Tarullo va boshqalarning ilmiy ishlarida tadqiq etilgan</w:t>
      </w:r>
      <w:r>
        <w:rPr>
          <w:rStyle w:val="FootnoteReference"/>
        </w:rPr>
        <w:footnoteReference w:id="31"/>
      </w:r>
      <w:r>
        <w:rPr>
          <w:rStyle w:val="FootnoteReference"/>
        </w:rPr>
        <w:footnoteReference w:id="32"/>
      </w:r>
      <w:r>
        <w:rPr>
          <w:rStyle w:val="FootnoteReference"/>
        </w:rPr>
        <w:footnoteReference w:id="33"/>
      </w:r>
      <w:r>
        <w:rPr>
          <w:rStyle w:val="FootnoteReference"/>
        </w:rPr>
        <w:footnoteReference w:id="34"/>
      </w:r>
      <w:r>
        <w:rPr>
          <w:rStyle w:val="FootnoteReference"/>
        </w:rPr>
        <w:footnoteReference w:id="35"/>
      </w:r>
      <w:r>
        <w:rPr>
          <w:rStyle w:val="FootnoteReference"/>
        </w:rPr>
        <w:footnoteReference w:id="36"/>
      </w:r>
      <w:r>
        <w:rPr>
          <w:rStyle w:val="FootnoteReference"/>
        </w:rPr>
        <w:footnoteReference w:id="37"/>
      </w:r>
      <w:r>
        <w:rPr>
          <w:rStyle w:val="FootnoteReference"/>
        </w:rPr>
        <w:footnoteReference w:id="38"/>
      </w:r>
      <w:r>
        <w:rPr>
          <w:rStyle w:val="FootnoteReference"/>
        </w:rPr>
        <w:footnoteReference w:id="39"/>
      </w:r>
      <w:r>
        <w:rPr>
          <w:rStyle w:val="FootnoteReference"/>
        </w:rPr>
        <w:footnoteReference w:id="40"/>
      </w:r>
      <w:r>
        <w:rPr>
          <w:rStyle w:val="FootnoteReference"/>
        </w:rPr>
        <w:footnoteReference w:id="41"/>
      </w:r>
      <w:r>
        <w:rPr>
          <w:rStyle w:val="FootnoteReference"/>
        </w:rPr>
        <w:footnoteReference w:id="42"/>
      </w:r>
      <w:r>
        <w:rPr>
          <w:rStyle w:val="FootnoteReference"/>
        </w:rPr>
        <w:footnoteReference w:id="4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MDH mamlakatlari olimlaridan O.I.Lavrushin, I.D.Mamonova, G.G.Fetisov, Ye.B.Gerasimova, Z.A.Timofeeva, I.V.Larionova, V.V.Ivanov, O.N.Afanasyeva, S.E.Dubova va boshqalarning ilmiy ishlarida banklar moliyaviy barqarorligini baholash usullari, bank tizimi barqarorligining mezonlari va bank faoliyatini tartibga solishda Bazel standartlarini qo‘llash masalalari o‘rganilgan</w:t>
      </w:r>
      <w:r>
        <w:rPr>
          <w:rStyle w:val="FootnoteReference"/>
        </w:rPr>
        <w:footnoteReference w:id="44"/>
      </w:r>
      <w:r>
        <w:rPr>
          <w:rStyle w:val="FootnoteReference"/>
        </w:rPr>
        <w:footnoteReference w:id="45"/>
      </w:r>
      <w:r>
        <w:rPr>
          <w:rStyle w:val="FootnoteReference"/>
        </w:rPr>
        <w:footnoteReference w:id="46"/>
      </w:r>
      <w:r>
        <w:rPr>
          <w:rStyle w:val="FootnoteReference"/>
        </w:rPr>
        <w:footnoteReference w:id="47"/>
      </w:r>
      <w:r>
        <w:rPr>
          <w:rStyle w:val="FootnoteReference"/>
        </w:rPr>
        <w:footnoteReference w:id="48"/>
      </w:r>
      <w:r>
        <w:rPr>
          <w:rStyle w:val="FootnoteReference"/>
        </w:rPr>
        <w:footnoteReference w:id="49"/>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Mahalliy iqtisodchi olimlardan O.Sattarov, F.Xolmamatov, N.Sharipova, N.Xolov, B.Madaminov, A.Abdullayev, R.Bozorov, S.Togayev, G.Djalilov, I.Sadikov, Sh.Abdishukurov, N.Karabayev, M.Yodgorov, N.Sattorova, N.Ismatov, Yo.Mahmudaliyeva, T.Karaliyev va boshqalar banklar moliyaviy barqarorligini ta’minlash va baholashning turli jihatlarini tadqiq qilgan</w:t>
      </w:r>
      <w:r>
        <w:rPr>
          <w:rStyle w:val="FootnoteReference"/>
        </w:rPr>
        <w:footnoteReference w:id="50"/>
      </w:r>
      <w:r>
        <w:rPr>
          <w:rFonts w:ascii="Times New Roman" w:hAnsi="Times New Roman" w:cs="Times New Roman" w:eastAsia="Times New Roman"/>
          <w:sz w:val="28"/>
        </w:rPr>
        <w:t xml:space="preserve">. Xususan, O.Sattarovning tadqiqotlari bank tizimi barqarorligini ta’minlash metodologiyasi va barqarorlik indeksini ishlab chiqishga, F.Xolmamatov va N.Xolovning ishlari bank tizimi barqarorligini oshirish yo‘llari hamda uni reyting asosida baholashga, N.Sharipovaning tadqiqoti tijorat banklari moliyaviy barqarorligini mustahkamlashning konseptual asoslariga bag‘ishlangan. A.Abdullayev va N.Sattorova ishlarida likvidlilikni baholash, M.Yodgorov ishida kapital barqarorligi, N.Ismatov ishida esa kredit portfeli riskini baholash masalalari tadqiq etilgan. N.Karabayev tijorat banklari reytingiga sof barqaror moliyalashtirish me’yorini kiritishni, G.Djalilov esa likvidlik me’yorlarining bank balansi dinamikasi bilan bog‘liqligini asoslagan.</w:t>
      </w:r>
    </w:p>
    <w:p>
      <w:pPr>
        <w:pStyle w:val="BodyText"/>
        <w:spacing w:line="360" w:lineRule="auto" w:before="0" w:after="0"/>
        <w:ind w:firstLine="709"/>
        <w:jc w:val="both"/>
      </w:pPr>
      <w:r>
        <w:rPr>
          <w:rFonts w:ascii="Times New Roman" w:hAnsi="Times New Roman" w:cs="Times New Roman" w:eastAsia="Times New Roman"/>
          <w:sz w:val="28"/>
        </w:rPr>
        <w:t xml:space="preserve">Mazkur tadqiqotlarni umumlashtirish shuni ko‘rsatadiki, ularning aksariyatida moliyaviy barqarorlik milliy prudensial me’yorlar va milliy hisobot ma’lumotlari asosida baholangan, likvidlik me’yorlari esa Markaziy bank metodikasi bo‘yicha hisoblangan tayyor qiymatlar sifatida olingan. Milliy va xalqaro metodikalar, milliy hisobot va MHXS ma’lumotlari o‘rtasidagi farqlarni miqdoriy aniqlash, moliyaviy barqarorlikni Bazel III, MHXS 9 va Xalqaro valyuta jamg‘armasi ko‘rsatkichlari asosida yagona tizimda baholash masalalari kompleks tarzda tadqiq etilmagan. Mazkur holat dissertatsiya mavzusining tanlanishiga va uning dolzarbligini belgilashga asos bo‘ldi.</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 tadqiqotining dissertatsiya bajarilgan oliy ta’lim muassasasining ilmiy-tadqiqot ishlari rejalari bilan bog‘liqligi.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 tadqiqoti [oliy ta’lim muassasasi nomi] ilmiy-tadqiqot ishlari rejasiga muvofiq «[ilmiy-tadqiqot mavzusi nomi]» mavzusi doirasida bajarilgan.</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maqsadi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xalqaro standartlar asosida baholash metodologiyasini takomillashtirishga qaratilgan ilmiy taklif va amaliy tavsiyalar ishlab chiqishdan iborat.</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vazifalari: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barqarorligining iqtisodiy mazmuni, konseptual modellari va unga oid ilmiy qarashlarni tadqiq etish hamda mualliflik ta’rifini shakllantirish;</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 baholashning nazariy asoslari va metodologik yondashuvlarini tasniflash;</w:t>
      </w:r>
    </w:p>
    <w:p>
      <w:pPr>
        <w:pStyle w:val="BodyText"/>
        <w:spacing w:line="360" w:lineRule="auto" w:before="0" w:after="0"/>
        <w:ind w:firstLine="709"/>
        <w:jc w:val="both"/>
      </w:pPr>
      <w:r>
        <w:rPr>
          <w:rFonts w:ascii="Times New Roman" w:hAnsi="Times New Roman" w:cs="Times New Roman" w:eastAsia="Times New Roman"/>
          <w:sz w:val="28"/>
        </w:rPr>
        <w:t xml:space="preserve">Bazel III, MHXS 9 va Xalqaro valyuta jamg‘armasining moliyaviy barqarorlik ko‘rsatkichlarini qiyosiy tavsiflash hamda xorijiy mamlakatlar tajribasini umumlashtirish;</w:t>
      </w:r>
    </w:p>
    <w:p>
      <w:pPr>
        <w:pStyle w:val="BodyText"/>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baholashning amaldagi holatini va milliy me’yorlarning xalqaro standartlardan chetlanishlarini aniqlash;</w:t>
      </w:r>
    </w:p>
    <w:p>
      <w:pPr>
        <w:pStyle w:val="BodyText"/>
        <w:spacing w:line="360" w:lineRule="auto" w:before="0" w:after="0"/>
        <w:ind w:firstLine="709"/>
        <w:jc w:val="both"/>
      </w:pPr>
      <w:r>
        <w:rPr>
          <w:rFonts w:ascii="Times New Roman" w:hAnsi="Times New Roman" w:cs="Times New Roman" w:eastAsia="Times New Roman"/>
          <w:sz w:val="28"/>
        </w:rPr>
        <w:t xml:space="preserve">O‘zbekiston bank tizimi va alohida tijorat banklarida moliyaviy barqarorlik ko‘rsatkichlari dinamikasini xalqaro standartlar mezonlari bo‘yicha tahlil qilish;</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ko‘rsatkichlarini milliy va MHXS hisobotlari bo‘yicha qiyosiy tahlil qilish;</w:t>
      </w:r>
    </w:p>
    <w:p>
      <w:pPr>
        <w:pStyle w:val="BodyText"/>
        <w:spacing w:line="360" w:lineRule="auto" w:before="0" w:after="0"/>
        <w:ind w:firstLine="709"/>
        <w:jc w:val="both"/>
      </w:pPr>
      <w:r>
        <w:rPr>
          <w:rFonts w:ascii="Times New Roman" w:hAnsi="Times New Roman" w:cs="Times New Roman" w:eastAsia="Times New Roman"/>
          <w:sz w:val="28"/>
        </w:rPr>
        <w:t xml:space="preserve">xalqaro standartlarga asoslangan moliyaviy barqarorlik integral indeksini ishlab chiqish va unga ta’sir etuvchi omillarni ekonometrik baholash;</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 erta ogohlantirish tizimini shakllantirish va uni o‘rta muddatli istiqbolda prognozlash;</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 baholash amaliyotini xalqaro standartlarga muvofiqlashtirish bo‘yicha taklif va tavsiyalar ishlab chiqish.</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obyekti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sifatida O‘zbekiston Respublikasi tijorat banklari, jumladan, «O‘zsanoatqurilishbank» ATB va «Mikrokreditbank» ATB faoliyati tanlangan.</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predmeti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xalqaro standartlar asosida baholash jarayonida yuzaga keladigan iqtisodiy munosabatlar majmuidan iborat.</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usullari.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Dissertatsiyada tizimli yondashuv, qiyosiy va tarkibiy tahlil, guruhlash va umumlashtirish, koeffitsiyentlar tahlili, indeks usuli, ekonometrik modellashtirish, stress-test, ssenariyli prognozlash va ekspert baholash usullaridan foydalanildi.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ilmiy yangiligi quyidagilardan iborat:</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me’yorini Markaziy bank va Bazel III metodikalari hamda milliy va MHXS hisobotlari bo‘yicha to‘rt variantda hisoblash va me’yorlar o‘rtasidagi farqni metodik va hisobot komponentlariga ajratish orqali me’yorning metodologik sezgirligini baholash asoslangan («O‘zsanoatqurilishbank» ATB misolida metodika farqi 5,4 foiz punktni, hisobot farqi esa 2,7 foiz punktni tashkil etgan);</w:t>
      </w:r>
    </w:p>
    <w:p>
      <w:pPr>
        <w:pStyle w:val="BodyText"/>
        <w:spacing w:line="360" w:lineRule="auto" w:before="0" w:after="0"/>
        <w:ind w:firstLine="709"/>
        <w:jc w:val="both"/>
      </w:pPr>
      <w:r>
        <w:rPr>
          <w:rFonts w:ascii="Times New Roman" w:hAnsi="Times New Roman" w:cs="Times New Roman" w:eastAsia="Times New Roman"/>
          <w:sz w:val="28"/>
        </w:rPr>
        <w:t xml:space="preserve">likvidlikni qoplash me’yorini Bazel III ga muvofiqlashtirish maqsadida boshqa banklardagi muddatli depozitlarni yuqori likvidli aktivlar tarkibidan chiqarish va majburiyatlar bo‘yicha pul oqimlarining tabaqalashtirilgan chiqish koeffitsiyentlarini qo‘llash zarurligi asoslangan;</w:t>
      </w:r>
    </w:p>
    <w:p>
      <w:pPr>
        <w:pStyle w:val="BodyText"/>
        <w:spacing w:line="360" w:lineRule="auto" w:before="0" w:after="0"/>
        <w:ind w:firstLine="709"/>
        <w:jc w:val="both"/>
      </w:pPr>
      <w:r>
        <w:rPr>
          <w:rFonts w:ascii="Times New Roman" w:hAnsi="Times New Roman" w:cs="Times New Roman" w:eastAsia="Times New Roman"/>
          <w:sz w:val="28"/>
        </w:rPr>
        <w:t xml:space="preserve">MHXS 9 bo‘yicha qadrsizlangan kreditlar ulushining milliy hisobotdagi muammoli kreditlar ulushiga nisbati sifatida «yashirin kredit riski koeffitsiyenti»ni moliyaviy barqarorlikni baholash tizimiga kiritish va uning [__] dan yuqori qiymatini erta ogohlantirish signali sifatida belgilash taklif etilgan;</w:t>
      </w:r>
    </w:p>
    <w:p>
      <w:pPr>
        <w:pStyle w:val="BodyText"/>
        <w:spacing w:line="360" w:lineRule="auto" w:before="0" w:after="0"/>
        <w:ind w:firstLine="709"/>
        <w:jc w:val="both"/>
      </w:pPr>
      <w:r>
        <w:rPr>
          <w:rFonts w:ascii="Times New Roman" w:hAnsi="Times New Roman" w:cs="Times New Roman" w:eastAsia="Times New Roman"/>
          <w:sz w:val="28"/>
        </w:rPr>
        <w:t xml:space="preserve">Bazel III kapital va likvidlik me’yorlari, MHXS 9 bo‘yicha aktivlar sifati va Xalqaro valyuta jamg‘armasi moliyaviy barqarorlik ko‘rsatkichlarini birlashtiruvchi moliyaviy barqarorlik integral indeksi va uning chegaraviy qiymatlari ishlab chiqilgan [3-bob natijalari bo‘yicha aniqlashtiriladi];</w:t>
      </w:r>
    </w:p>
    <w:p>
      <w:pPr>
        <w:pStyle w:val="BodyText"/>
        <w:spacing w:line="360" w:lineRule="auto" w:before="0" w:after="0"/>
        <w:ind w:firstLine="709"/>
        <w:jc w:val="both"/>
      </w:pPr>
      <w:r>
        <w:rPr>
          <w:rFonts w:ascii="Times New Roman" w:hAnsi="Times New Roman" w:cs="Times New Roman" w:eastAsia="Times New Roman"/>
          <w:sz w:val="28"/>
        </w:rPr>
        <w:t xml:space="preserve">[4-bob natijalari bo‘yicha: erta ogohlantirish tizimi yoki prognoz modeli bo‘yicha ilmiy yangilik].</w:t>
      </w:r>
    </w:p>
    <w:p>
      <w:pPr>
        <w:pStyle w:val="BodyText"/>
        <w:spacing w:line="360" w:lineRule="auto" w:before="0" w:after="0"/>
        <w:ind w:firstLine="709"/>
        <w:jc w:val="both"/>
      </w:pPr>
      <w:r>
        <w:rPr>
          <w:bCs/>
          <w:rFonts w:ascii="Times New Roman" w:hAnsi="Times New Roman" w:cs="Times New Roman" w:eastAsia="Times New Roman"/>
          <w:b/>
          <w:sz w:val="28"/>
        </w:rPr>
        <w:t xml:space="preserve">Tadqiqotning amaliy natijalari quyidagilardan iborat:</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barqarorligining kapital, aktivlar sifati, likvidlik va daromadlilik o‘rtasidagi muvozanatni hamda xalqaro standartlarda belgilangan chegaralarga nisbatan zaxirani hisobga oluvchi mualliflik ta’rifi ishlab chiqilgan;</w:t>
      </w:r>
    </w:p>
    <w:p>
      <w:pPr>
        <w:pStyle w:val="BodyText"/>
        <w:spacing w:line="360" w:lineRule="auto" w:before="0" w:after="0"/>
        <w:ind w:firstLine="709"/>
        <w:jc w:val="both"/>
      </w:pPr>
      <w:r>
        <w:rPr>
          <w:rFonts w:ascii="Times New Roman" w:hAnsi="Times New Roman" w:cs="Times New Roman" w:eastAsia="Times New Roman"/>
          <w:sz w:val="28"/>
        </w:rPr>
        <w:t xml:space="preserve">O‘zbekiston bank tizimida moliyaviy barqarorlik ko‘rsatkichlari 2021–2025-yillar uchun Xalqaro valyuta jamg‘armasi metodikasi bo‘yicha tizimlashtirilib, rasmiy ko‘rsatkichlar kapital va likvidlik bo‘yicha xalqaro talablardan yuqori bo‘lsa-da, aktivlar sifati va moliyalashtirish tuzilmasi bo‘yicha zaif ekanligi aniqlangan;</w:t>
      </w:r>
    </w:p>
    <w:p>
      <w:pPr>
        <w:pStyle w:val="BodyText"/>
        <w:spacing w:line="360" w:lineRule="auto" w:before="0" w:after="0"/>
        <w:ind w:firstLine="709"/>
        <w:jc w:val="both"/>
      </w:pPr>
      <w:r>
        <w:rPr>
          <w:rFonts w:ascii="Times New Roman" w:hAnsi="Times New Roman" w:cs="Times New Roman" w:eastAsia="Times New Roman"/>
          <w:sz w:val="28"/>
        </w:rPr>
        <w:t xml:space="preserve">«O‘zsanoatqurilishbank» ATB va «Mikrokreditbank» ATB misolida MHXS 9 bo‘yicha qadrsizlangan kreditlar ulushi 2021–2025-yillarda rasmiy muammoli kreditlar ulushidan mos ravishda 1,6–3,0 va 2,8–3,3 barobar yuqori bo‘lgani aniqlangan;</w:t>
      </w:r>
    </w:p>
    <w:p>
      <w:pPr>
        <w:pStyle w:val="BodyText"/>
        <w:spacing w:line="360" w:lineRule="auto" w:before="0" w:after="0"/>
        <w:ind w:firstLine="709"/>
        <w:jc w:val="both"/>
      </w:pPr>
      <w:r>
        <w:rPr>
          <w:rFonts w:ascii="Times New Roman" w:hAnsi="Times New Roman" w:cs="Times New Roman" w:eastAsia="Times New Roman"/>
          <w:sz w:val="28"/>
        </w:rPr>
        <w:t xml:space="preserve">Markaziy bankning 2709-son nizomi bo‘yicha sof barqaror moliyalashtirish me’yori hisob-kitobida barqaror moliyalashtirish manbai sifatida regulyativ kapital o‘rniga xususiy kapital olinishi me’yorni [__] foiz punktga o‘zgartirishi aniqlanib, hisoblash tartibini aniqlashtirish taklif etilgan;</w:t>
      </w:r>
    </w:p>
    <w:p>
      <w:pPr>
        <w:pStyle w:val="BodyText"/>
        <w:spacing w:line="360" w:lineRule="auto" w:before="0" w:after="0"/>
        <w:ind w:firstLine="709"/>
        <w:jc w:val="both"/>
      </w:pPr>
      <w:r>
        <w:rPr>
          <w:rFonts w:ascii="Times New Roman" w:hAnsi="Times New Roman" w:cs="Times New Roman" w:eastAsia="Times New Roman"/>
          <w:sz w:val="28"/>
        </w:rPr>
        <w:t xml:space="preserve">likvidlik me’yorlari va ularning tarkibiy qismlarini Bazel III ning uchinchi ustuni talablariga muvofiq oshkor qilish tartibi taklif etilgan;</w:t>
      </w:r>
    </w:p>
    <w:p>
      <w:pPr>
        <w:pStyle w:val="BodyText"/>
        <w:spacing w:line="360" w:lineRule="auto" w:before="0" w:after="0"/>
        <w:ind w:firstLine="709"/>
        <w:jc w:val="both"/>
      </w:pPr>
      <w:r>
        <w:rPr>
          <w:rFonts w:ascii="Times New Roman" w:hAnsi="Times New Roman" w:cs="Times New Roman" w:eastAsia="Times New Roman"/>
          <w:sz w:val="28"/>
        </w:rPr>
        <w:t xml:space="preserve">[3–4-boblar natijalari bo‘yicha: integral indeks asosida banklar reytingi, erta ogohlantirish tizimi va 2026–2028-yillarga prognoz natijalari].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ishonchliligi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qo‘llanilgan yondashuv va usullarning maqsadga muvofiqligi, ma’lumotlarning O‘zbekiston Respublikasi Markaziy banki, Xalqaro valyuta jamg‘armasi, Jahon banki va tijorat banklarining rasmiy hisobotlari hamda auditorlik tekshiruvidan o‘tgan MHXS bo‘yicha moliyaviy hisobotlaridan olinganligi, hisob-kitoblarning Bazel qo‘mitasi va Xalqaro valyuta jamg‘armasi metodikalariga asoslanganligi, xulosa, taklif va tavsiyalarning amaliyotga joriy etilganligi hamda vakolatli tashkilotlar tomonidan tasdiqlanganligi bilan izohlanadi.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ilmiy va amaliy ahamiyati.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Tadqiqot natijalarining ilmiy ahamiyati ishlab chiqilgan nazariy xulosalar, metodik yondashuvlar va integral baholash modelidan tijorat banklari moliyaviy barqarorligini baholash bo‘yicha keyingi ilmiy tadqiqotlarda, shuningdek, oliy ta’lim muassasalarida «Bank faoliyatini tartibga solish va nazorat qilish», «Bank ishi», «Bank risk-menejmenti» fanlarini o‘qitishda foydalanish mumkinligi bilan izohlanadi.</w:t>
      </w:r>
    </w:p>
    <w:p>
      <w:pPr>
        <w:pStyle w:val="BodyText"/>
        <w:spacing w:line="360" w:lineRule="auto" w:before="0" w:after="0"/>
        <w:ind w:firstLine="709"/>
        <w:jc w:val="both"/>
      </w:pPr>
      <w:r>
        <w:rPr>
          <w:rFonts w:ascii="Times New Roman" w:hAnsi="Times New Roman" w:cs="Times New Roman" w:eastAsia="Times New Roman"/>
          <w:sz w:val="28"/>
        </w:rPr>
        <w:t xml:space="preserve">Tadqiqot natijalarining amaliy ahamiyati ishlab chiqilgan taklif va tavsiyalardan O‘zbekiston Respublikasi Markaziy banki tomonidan prudensial me’yorlarni Bazel III ga muvofiqlashtirish, moliyaviy barqarorlik sharhlarini tayyorlash va riskka asoslangan nazoratni takomillashtirishda, tijorat banklari tomonidan esa risk-appetit, likvidlikni boshqarish va kapitalni rejalashtirish siyosatlarini ishlab chiqishda foydalanish mumkinligi bilan izohlanadi.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joriy qilinishi.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Tijorat banklari moliyaviy barqarorligini xalqaro standartlar asosida baholash metodologiyasini takomillashtirish bo‘yicha olingan ilmiy natijalar asosida:</w:t>
      </w:r>
    </w:p>
    <w:p>
      <w:pPr>
        <w:pStyle w:val="BodyText"/>
        <w:spacing w:line="360" w:lineRule="auto" w:before="0" w:after="0"/>
        <w:ind w:firstLine="709"/>
        <w:jc w:val="both"/>
      </w:pPr>
      <w:r>
        <w:rPr>
          <w:rFonts w:ascii="Times New Roman" w:hAnsi="Times New Roman" w:cs="Times New Roman" w:eastAsia="Times New Roman"/>
          <w:sz w:val="28"/>
        </w:rPr>
        <w:t xml:space="preserve">sof barqaror moliyalashtirish me’yorini Markaziy bank va Bazel III metodikalari hamda milliy va MHXS hisobotlari bo‘yicha to‘rt variantda hisoblash va me’yorlar o‘rtasidagi farqni metodik va hisobot komponentlariga ajratish taklifi «O‘zsanoatqurilishbank» ATB amaliyotida foydalanilgan («O‘zsanoatqurilishbank» ATB ning 2026-yil 8-oktabrdagi 22156/56-son ma’lumotnomasi). Ushbu taklifning amaliyotga joriy etilishi natijasida bankda barqaror moliyalashtirish holatini milliy va xalqaro metodikalar bo‘yicha parallel baholash imkoniyati yaratildi;</w:t>
      </w:r>
    </w:p>
    <w:p>
      <w:pPr>
        <w:pStyle w:val="BodyText"/>
        <w:spacing w:line="360" w:lineRule="auto" w:before="0" w:after="0"/>
        <w:ind w:firstLine="709"/>
        <w:jc w:val="both"/>
      </w:pPr>
      <w:r>
        <w:rPr>
          <w:rFonts w:ascii="Times New Roman" w:hAnsi="Times New Roman" w:cs="Times New Roman" w:eastAsia="Times New Roman"/>
          <w:sz w:val="28"/>
        </w:rPr>
        <w:t xml:space="preserve">likvidlikni qoplash me’yorini Bazel III ga muvofiqlashtirish maqsadida boshqa banklardagi muddatli depozitlarni yuqori likvidli aktivlar tarkibidan chiqarish va majburiyatlar bo‘yicha tabaqalashtirilgan chiqish koeffitsiyentlarini qo‘llash taklifi «O‘zsanoatqurilishbank» ATB amaliyotida foydalanilgan («O‘zsanoatqurilishbank» ATB ning 2026-yil 8-oktabrdagi 22156/56-son ma’lumotnomasi). Ushbu taklifning amaliyotga joriy etilishi natijasida bank likvidlik buferining sifatini xalqaro talablar bo‘yicha baholash imkoniyati yaratildi;</w:t>
      </w:r>
    </w:p>
    <w:p>
      <w:pPr>
        <w:pStyle w:val="BodyText"/>
        <w:spacing w:line="360" w:lineRule="auto" w:before="0" w:after="0"/>
        <w:ind w:firstLine="709"/>
        <w:jc w:val="both"/>
      </w:pPr>
      <w:r>
        <w:rPr>
          <w:rFonts w:ascii="Times New Roman" w:hAnsi="Times New Roman" w:cs="Times New Roman" w:eastAsia="Times New Roman"/>
          <w:sz w:val="28"/>
        </w:rPr>
        <w:t xml:space="preserve">«yashirin kredit riski koeffitsiyenti»ni moliyaviy barqarorlikni baholash tizimiga kiritish va uning chegaraviy qiymatini erta ogohlantirish signali sifatida belgilash taklifi «O‘zsanoatqurilishbank» ATB amaliyotida foydalanilgan («O‘zsanoatqurilishbank» ATB ning 2026-yil 8-oktabrdagi 22156/56-son ma’lumotnomasi). Ushbu taklifning amaliyotga joriy etilishi natijasida bank kredit portfeli sifatini milliy tasnif va MHXS 9 bosqichlari bo‘yicha birgalikda monitoring qilish imkoniyati yaratildi;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 integral indeksi va uning chegaraviy qiymatlari taklifi «O‘zsanoatqurilishbank» ATB amaliyotida foydalanilgan («O‘zsanoatqurilishbank» ATB ning 2026-yil 8-oktabrdagi 22156/56-son ma’lumotnomasi). Ushbu taklifning amaliyotga joriy etilishi natijasida bank moliyaviy barqarorligini yagona ko‘rsatkich asosida kompleks baholash imkoniyati yaratildi.</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aprobatsiyasi.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Tadqiqot natijalari [__] ta xalqaro va [__] ta respublika ilmiy-amaliy konferensiyalarida muhokamadan o‘tkazilgan.</w:t>
      </w:r>
    </w:p>
    <w:p>
      <w:pPr>
        <w:pStyle w:val="BodyText"/>
        <w:spacing w:line="360" w:lineRule="auto" w:before="0" w:after="0"/>
        <w:ind w:firstLine="709"/>
        <w:jc w:val="both"/>
      </w:pPr>
      <w:r>
        <w:rPr>
          <w:bCs/>
          <w:rFonts w:ascii="Times New Roman" w:hAnsi="Times New Roman" w:cs="Times New Roman" w:eastAsia="Times New Roman"/>
          <w:b/>
          <w:sz w:val="28"/>
        </w:rPr>
        <w:t xml:space="preserve">Tadqiqot natijalarining e’lon qilinganligi.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 mavzusi bo‘yicha jami [__] ta ilmiy ish, jumladan, [__] ta monografiya, Oliy attestatsiya komissiyasining doktorlik dissertatsiyalari asosiy ilmiy natijalarini chop etish tavsiya etilgan ilmiy nashrlarda [__] ta, shu jumladan, [__] ta xorijiy jurnallarda maqola chop etilgan.</w:t>
      </w:r>
    </w:p>
    <w:p>
      <w:pPr>
        <w:pStyle w:val="BodyText"/>
        <w:spacing w:line="360" w:lineRule="auto" w:before="0" w:after="0"/>
        <w:ind w:firstLine="709"/>
        <w:jc w:val="both"/>
      </w:pPr>
      <w:r>
        <w:rPr>
          <w:bCs/>
          <w:rFonts w:ascii="Times New Roman" w:hAnsi="Times New Roman" w:cs="Times New Roman" w:eastAsia="Times New Roman"/>
          <w:b/>
          <w:sz w:val="28"/>
        </w:rPr>
        <w:t xml:space="preserve">Dissertatsiyaning tuzilishi va hajmi.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Dissertatsiya tarkibi kirish, to‘rtta bob, xulosa, foydalanilgan adabiyotlar ro‘yxati va ilovalardan iborat. Dissertatsiyaning hajmi [__] betni tashkil etgan.</w:t>
      </w:r>
    </w:p>
    <w:bookmarkEnd w:id="0"/>
    <w:p>
      <w:pPr>
        <w:pStyle w:val="Heading1"/>
        <w:pageBreakBefore/>
        <w:jc w:val="center"/>
      </w:pPr>
      <w:r>
        <w:t>I BOB. TIJORAT BANKLARI MOLIYAVIY BARQARORLIGINI BAHOLASHNING NAZARIY ASOSLARI VA XALQARO STANDARTLARI</w:t>
      </w:r>
    </w:p>
    <w:bookmarkStart w:id="1" w:name="X3bc3af2dd64aa3d859b43cc63eba0df007461c7"/>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1.1-§. Tijorat banklari moliyaviy barqarorligining iqtisodiy mazmuni va konseptual modellari</w:t>
      </w:r>
    </w:p>
    <w:p>
      <w:pPr>
        <w:pStyle w:val="FirstParagraph"/>
        <w:spacing w:line="360" w:lineRule="auto" w:before="0" w:after="0"/>
        <w:ind w:firstLine="709"/>
        <w:jc w:val="both"/>
      </w:pPr>
      <w:r>
        <w:rPr>
          <w:rFonts w:ascii="Times New Roman" w:hAnsi="Times New Roman" w:cs="Times New Roman" w:eastAsia="Times New Roman"/>
          <w:sz w:val="28"/>
        </w:rPr>
        <w:t xml:space="preserve">Tijorat banklari iqtisodiyotda pul mablag‘larini jamg‘aruvchilardan qarz oluvchilarga yo‘naltiruvchi asosiy vositachi hisoblanadi. Ayniqsa, moliya bozori hali shakllanish bosqichida bo‘lgan, korxonalar tashqi moliyalashtirishning asosiy qismini bank kreditlari hisobidan oladigan mamlakatlarda banklarning bu roli yanada ortadi. T.F. Cargill ma’lumotlariga ko‘ra, hatto Germaniya va Yaponiya kabi rivojlangan bank-markazli tizimlarda ham nomoliyaviy korxonalar tashqi moliyalashtirishning 86 foizini moliya muassasalaridan olgan</w:t>
      </w:r>
      <w:r>
        <w:rPr>
          <w:rStyle w:val="FootnoteReference"/>
        </w:rPr>
        <w:footnoteReference w:id="51"/>
      </w:r>
      <w:r>
        <w:rPr>
          <w:rFonts w:ascii="Times New Roman" w:hAnsi="Times New Roman" w:cs="Times New Roman" w:eastAsia="Times New Roman"/>
          <w:sz w:val="28"/>
        </w:rPr>
        <w:t xml:space="preserve">. O‘zbekistonda ham iqtisodiyotni moliyalashtirishda tijorat banklari hal qiluvchi o‘rin tutadi. Shu bois alohida bank yoki butun bank tizimi barqarorligining buzilishi to‘lov tizimining uzilishiga, kreditlashning qisqarishiga va oxir-oqibat iqtisodiy o‘sishning sekinlashuviga olib keladi.</w:t>
      </w:r>
    </w:p>
    <w:p>
      <w:pPr>
        <w:pStyle w:val="BodyText"/>
        <w:spacing w:line="360" w:lineRule="auto" w:before="0" w:after="0"/>
        <w:ind w:firstLine="709"/>
        <w:jc w:val="both"/>
      </w:pPr>
      <w:r>
        <w:rPr>
          <w:rFonts w:ascii="Times New Roman" w:hAnsi="Times New Roman" w:cs="Times New Roman" w:eastAsia="Times New Roman"/>
          <w:sz w:val="28"/>
        </w:rPr>
        <w:t xml:space="preserve">Biroq «moliyaviy barqarorlik» tushunchasi iqtisodiy adabiyotda ham, me’yoriy hujjatlarda ham hali yagona talqinga ega emas. Bir mualliflar uni bankning to‘lov qobiliyati bilan tenglashtirsa, boshqalari likvidlik yoki kapital yetarliligi bilan, uchinchilari esa jamiyatning bankka bo‘lgan ishonchi bilan bog‘laydi. Tushunchaning mazmuni aniq belgilanmasa, uni baholash metodikasini ham ilmiy asosda qurib bo‘lmaydi, chunki aynan nima o‘lchanayotgani noma’lum bo‘lib qoladi. Shu sababli ushbu paragrafda tijorat banklari moliyaviy barqarorligining iqtisodiy mazmuni, unga yaqin tushunchalar bilan farqi, darajalari va omillari hamda uni tushuntiruvchi asosiy konseptual modellar tahlil qilinib, muallif yondashuvi asoslanadi.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 tushunchasining mazmunini ochishni unga yaqin, ko‘pincha sinonim sifatida ishlatiladigan tushunchalardan farqlashdan boshlash maqsadga muvofiq. Rus iqtisodiy maktabida bu masalaga alohida e’tibor berilgan. O.I. Lavrushin va I.D. Mamonova G.G. Fetisov yondashuviga tayanib, «barqarorlik» va «stabillik» tushunchalarini qat’iy ajratadi: stabillik – statika, ya’ni holatning o‘zgarmay saqlanishi, barqarorlik esa dinamika, ya’ni rivojlanish tomon harakatdir. Mualliflar fikricha, barqarorlik natija, stabillik esa unga erishish sharti hisoblanadi</w:t>
      </w:r>
      <w:r>
        <w:rPr>
          <w:rStyle w:val="FootnoteReference"/>
        </w:rPr>
        <w:footnoteReference w:id="52"/>
      </w:r>
      <w:r>
        <w:rPr>
          <w:rFonts w:ascii="Times New Roman" w:hAnsi="Times New Roman" w:cs="Times New Roman" w:eastAsia="Times New Roman"/>
          <w:sz w:val="28"/>
        </w:rPr>
        <w:t xml:space="preserve">. O.I. Lavrushin tahriridagi boshqa monografiyada bu qatorga yana ikki tushuncha – «ishonchlilik» va «muvozanat» qo‘shiladi va ularning har biri barqarorlikning alohida jihatini aks ettirishi ta’kidlanadi</w:t>
      </w:r>
      <w:r>
        <w:rPr>
          <w:rStyle w:val="FootnoteReference"/>
        </w:rPr>
        <w:footnoteReference w:id="53"/>
      </w:r>
      <w:r>
        <w:rPr>
          <w:rFonts w:ascii="Times New Roman" w:hAnsi="Times New Roman" w:cs="Times New Roman" w:eastAsia="Times New Roman"/>
          <w:sz w:val="28"/>
        </w:rPr>
        <w:t xml:space="preserve">. Ushbu tushunchalar o‘rtasidagi bog‘liqlik 1.1.1-rasmda umumlashtirildi.</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286000"/>
                <wp:effectExtent l="0" t="0" r="0" b="0"/>
                <wp:docPr id="1" name="1.1.1-rasm"/>
                <wp:cNvGraphicFramePr/>
                <a:graphic>
                  <a:graphicData uri="http://schemas.microsoft.com/office/word/2010/wordprocessingGroup">
                    <wpg:wgp>
                      <wpg:cNvGrpSpPr/>
                      <wpg:grpSpPr>
                        <a:xfrm>
                          <a:off x="0" y="0"/>
                          <a:ext cx="5904000" cy="2286000"/>
                          <a:chOff x="0" y="0"/>
                          <a:chExt cx="5904000" cy="2286000"/>
                        </a:xfrm>
                      </wpg:grpSpPr>
                      <wps:wsp>
                        <wps:cNvPr id="2" name="Shape 2"/>
                        <wps:cNvSpPr/>
                        <wps:spPr>
                          <a:xfrm>
                            <a:off x="36000" y="36000"/>
                            <a:ext cx="1386000" cy="28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Stabillik</w:t>
                              </w:r>
                            </w:p>
                          </w:txbxContent>
                        </wps:txbx>
                        <wps:bodyPr rot="0" vert="horz" wrap="square" lIns="36000" tIns="18000" rIns="36000" bIns="18000" anchor="ctr" anchorCtr="0">
                          <a:noAutofit/>
                        </wps:bodyPr>
                      </wps:wsp>
                      <wps:wsp>
                        <wps:cNvPr id="3" name="Shape 3"/>
                        <wps:cNvSpPr/>
                        <wps:spPr>
                          <a:xfrm>
                            <a:off x="36000" y="360000"/>
                            <a:ext cx="1386000" cy="684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holatning saqlanishi;</w:t>
                              </w:r>
                            </w:p>
                            <w:p>
                              <w:pPr>
                                <w:spacing w:before="0" w:after="0" w:line="228" w:lineRule="auto"/>
                                <w:jc w:val="center"/>
                                <w:ind w:firstLine="0"/>
                              </w:pPr>
                              <w:r>
                                <w:rPr>
                                  <w:rFonts w:ascii="Times New Roman" w:hAnsi="Times New Roman" w:cs="Times New Roman"/>
                                  <w:color w:val="000000"/>
                                  <w:sz w:val="19"/>
                                  <w:szCs w:val="19"/>
                                </w:rPr>
                                <w:t xml:space="preserve">barqarorlik sharti</w:t>
                              </w:r>
                            </w:p>
                          </w:txbxContent>
                        </wps:txbx>
                        <wps:bodyPr rot="0" vert="horz" wrap="square" lIns="36000" tIns="18000" rIns="36000" bIns="18000" anchor="ctr" anchorCtr="0">
                          <a:noAutofit/>
                        </wps:bodyPr>
                      </wps:wsp>
                      <wps:wsp>
                        <wps:cNvPr id="4" name="Connector 4"/>
                        <wps:cNvCnPr/>
                        <wps:spPr>
                          <a:xfrm>
                            <a:off x="729000" y="1044000"/>
                            <a:ext cx="2223000" cy="252000"/>
                          </a:xfrm>
                          <a:prstGeom prst="straightConnector1">
                            <a:avLst/>
                          </a:prstGeom>
                          <a:ln w="15875">
                            <a:solidFill>
                              <a:srgbClr val="404040"/>
                            </a:solidFill>
                            <a:tailEnd type="triangle" w="med" len="med"/>
                          </a:ln>
                        </wps:spPr>
                        <wps:bodyPr/>
                      </wps:wsp>
                      <wps:wsp>
                        <wps:cNvPr id="5" name="Shape 5"/>
                        <wps:cNvSpPr/>
                        <wps:spPr>
                          <a:xfrm>
                            <a:off x="1512000" y="36000"/>
                            <a:ext cx="1386000" cy="28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Ishonchlilik</w:t>
                              </w:r>
                            </w:p>
                          </w:txbxContent>
                        </wps:txbx>
                        <wps:bodyPr rot="0" vert="horz" wrap="square" lIns="36000" tIns="18000" rIns="36000" bIns="18000" anchor="ctr" anchorCtr="0">
                          <a:noAutofit/>
                        </wps:bodyPr>
                      </wps:wsp>
                      <wps:wsp>
                        <wps:cNvPr id="6" name="Shape 6"/>
                        <wps:cNvSpPr/>
                        <wps:spPr>
                          <a:xfrm>
                            <a:off x="1512000" y="360000"/>
                            <a:ext cx="1386000" cy="684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majburiyatlarning</w:t>
                              </w:r>
                            </w:p>
                            <w:p>
                              <w:pPr>
                                <w:spacing w:before="0" w:after="0" w:line="228" w:lineRule="auto"/>
                                <w:jc w:val="center"/>
                                <w:ind w:firstLine="0"/>
                              </w:pPr>
                              <w:r>
                                <w:rPr>
                                  <w:rFonts w:ascii="Times New Roman" w:hAnsi="Times New Roman" w:cs="Times New Roman"/>
                                  <w:color w:val="000000"/>
                                  <w:sz w:val="19"/>
                                  <w:szCs w:val="19"/>
                                </w:rPr>
                                <w:t xml:space="preserve">o‘z vaqtida</w:t>
                              </w:r>
                            </w:p>
                            <w:p>
                              <w:pPr>
                                <w:spacing w:before="0" w:after="0" w:line="228" w:lineRule="auto"/>
                                <w:jc w:val="center"/>
                                <w:ind w:firstLine="0"/>
                              </w:pPr>
                              <w:r>
                                <w:rPr>
                                  <w:rFonts w:ascii="Times New Roman" w:hAnsi="Times New Roman" w:cs="Times New Roman"/>
                                  <w:color w:val="000000"/>
                                  <w:sz w:val="19"/>
                                  <w:szCs w:val="19"/>
                                </w:rPr>
                                <w:t xml:space="preserve">bajarilishi</w:t>
                              </w:r>
                            </w:p>
                          </w:txbxContent>
                        </wps:txbx>
                        <wps:bodyPr rot="0" vert="horz" wrap="square" lIns="36000" tIns="18000" rIns="36000" bIns="18000" anchor="ctr" anchorCtr="0">
                          <a:noAutofit/>
                        </wps:bodyPr>
                      </wps:wsp>
                      <wps:wsp>
                        <wps:cNvPr id="7" name="Connector 7"/>
                        <wps:cNvCnPr/>
                        <wps:spPr>
                          <a:xfrm>
                            <a:off x="2205000" y="1044000"/>
                            <a:ext cx="747000" cy="252000"/>
                          </a:xfrm>
                          <a:prstGeom prst="straightConnector1">
                            <a:avLst/>
                          </a:prstGeom>
                          <a:ln w="15875">
                            <a:solidFill>
                              <a:srgbClr val="404040"/>
                            </a:solidFill>
                            <a:tailEnd type="triangle" w="med" len="med"/>
                          </a:ln>
                        </wps:spPr>
                        <wps:bodyPr/>
                      </wps:wsp>
                      <wps:wsp>
                        <wps:cNvPr id="8" name="Shape 8"/>
                        <wps:cNvSpPr/>
                        <wps:spPr>
                          <a:xfrm>
                            <a:off x="2988000" y="36000"/>
                            <a:ext cx="1386000" cy="288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Muvozanat</w:t>
                              </w:r>
                            </w:p>
                          </w:txbxContent>
                        </wps:txbx>
                        <wps:bodyPr rot="0" vert="horz" wrap="square" lIns="36000" tIns="18000" rIns="36000" bIns="18000" anchor="ctr" anchorCtr="0">
                          <a:noAutofit/>
                        </wps:bodyPr>
                      </wps:wsp>
                      <wps:wsp>
                        <wps:cNvPr id="9" name="Shape 9"/>
                        <wps:cNvSpPr/>
                        <wps:spPr>
                          <a:xfrm>
                            <a:off x="2988000" y="360000"/>
                            <a:ext cx="1386000" cy="684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kapital, aktivlar,</w:t>
                              </w:r>
                            </w:p>
                            <w:p>
                              <w:pPr>
                                <w:spacing w:before="0" w:after="0" w:line="228" w:lineRule="auto"/>
                                <w:jc w:val="center"/>
                                <w:ind w:firstLine="0"/>
                              </w:pPr>
                              <w:r>
                                <w:rPr>
                                  <w:rFonts w:ascii="Times New Roman" w:hAnsi="Times New Roman" w:cs="Times New Roman"/>
                                  <w:color w:val="000000"/>
                                  <w:sz w:val="19"/>
                                  <w:szCs w:val="19"/>
                                </w:rPr>
                                <w:t xml:space="preserve">majburiyatlar va</w:t>
                              </w:r>
                            </w:p>
                            <w:p>
                              <w:pPr>
                                <w:spacing w:before="0" w:after="0" w:line="228" w:lineRule="auto"/>
                                <w:jc w:val="center"/>
                                <w:ind w:firstLine="0"/>
                              </w:pPr>
                              <w:r>
                                <w:rPr>
                                  <w:rFonts w:ascii="Times New Roman" w:hAnsi="Times New Roman" w:cs="Times New Roman"/>
                                  <w:color w:val="000000"/>
                                  <w:sz w:val="19"/>
                                  <w:szCs w:val="19"/>
                                </w:rPr>
                                <w:t xml:space="preserve">foydaning mutanosib</w:t>
                              </w:r>
                            </w:p>
                            <w:p>
                              <w:pPr>
                                <w:spacing w:before="0" w:after="0" w:line="228" w:lineRule="auto"/>
                                <w:jc w:val="center"/>
                                <w:ind w:firstLine="0"/>
                              </w:pPr>
                              <w:r>
                                <w:rPr>
                                  <w:rFonts w:ascii="Times New Roman" w:hAnsi="Times New Roman" w:cs="Times New Roman"/>
                                  <w:color w:val="000000"/>
                                  <w:sz w:val="19"/>
                                  <w:szCs w:val="19"/>
                                </w:rPr>
                                <w:t xml:space="preserve">o‘sishi</w:t>
                              </w:r>
                            </w:p>
                          </w:txbxContent>
                        </wps:txbx>
                        <wps:bodyPr rot="0" vert="horz" wrap="square" lIns="36000" tIns="18000" rIns="36000" bIns="18000" anchor="ctr" anchorCtr="0">
                          <a:noAutofit/>
                        </wps:bodyPr>
                      </wps:wsp>
                      <wps:wsp>
                        <wps:cNvPr id="10" name="Connector 10"/>
                        <wps:cNvCnPr/>
                        <wps:spPr>
                          <a:xfrm flipH="1">
                            <a:off x="2952000" y="1044000"/>
                            <a:ext cx="729000" cy="252000"/>
                          </a:xfrm>
                          <a:prstGeom prst="straightConnector1">
                            <a:avLst/>
                          </a:prstGeom>
                          <a:ln w="15875">
                            <a:solidFill>
                              <a:srgbClr val="404040"/>
                            </a:solidFill>
                            <a:tailEnd type="triangle" w="med" len="med"/>
                          </a:ln>
                        </wps:spPr>
                        <wps:bodyPr/>
                      </wps:wsp>
                      <wps:wsp>
                        <wps:cNvPr id="11" name="Shape 11"/>
                        <wps:cNvSpPr/>
                        <wps:spPr>
                          <a:xfrm>
                            <a:off x="4464000" y="36000"/>
                            <a:ext cx="1386000" cy="28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Rivojlanish</w:t>
                              </w:r>
                            </w:p>
                          </w:txbxContent>
                        </wps:txbx>
                        <wps:bodyPr rot="0" vert="horz" wrap="square" lIns="36000" tIns="18000" rIns="36000" bIns="18000" anchor="ctr" anchorCtr="0">
                          <a:noAutofit/>
                        </wps:bodyPr>
                      </wps:wsp>
                      <wps:wsp>
                        <wps:cNvPr id="12" name="Shape 12"/>
                        <wps:cNvSpPr/>
                        <wps:spPr>
                          <a:xfrm>
                            <a:off x="4464000" y="360000"/>
                            <a:ext cx="1386000" cy="684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resurslarni</w:t>
                              </w:r>
                            </w:p>
                            <w:p>
                              <w:pPr>
                                <w:spacing w:before="0" w:after="0" w:line="228" w:lineRule="auto"/>
                                <w:jc w:val="center"/>
                                <w:ind w:firstLine="0"/>
                              </w:pPr>
                              <w:r>
                                <w:rPr>
                                  <w:rFonts w:ascii="Times New Roman" w:hAnsi="Times New Roman" w:cs="Times New Roman"/>
                                  <w:color w:val="000000"/>
                                  <w:sz w:val="19"/>
                                  <w:szCs w:val="19"/>
                                </w:rPr>
                                <w:t xml:space="preserve">kengaytirilgan</w:t>
                              </w:r>
                            </w:p>
                            <w:p>
                              <w:pPr>
                                <w:spacing w:before="0" w:after="0" w:line="228" w:lineRule="auto"/>
                                <w:jc w:val="center"/>
                                <w:ind w:firstLine="0"/>
                              </w:pPr>
                              <w:r>
                                <w:rPr>
                                  <w:rFonts w:ascii="Times New Roman" w:hAnsi="Times New Roman" w:cs="Times New Roman"/>
                                  <w:color w:val="000000"/>
                                  <w:sz w:val="19"/>
                                  <w:szCs w:val="19"/>
                                </w:rPr>
                                <w:t xml:space="preserve">takror ishlab</w:t>
                              </w:r>
                            </w:p>
                            <w:p>
                              <w:pPr>
                                <w:spacing w:before="0" w:after="0" w:line="228" w:lineRule="auto"/>
                                <w:jc w:val="center"/>
                                <w:ind w:firstLine="0"/>
                              </w:pPr>
                              <w:r>
                                <w:rPr>
                                  <w:rFonts w:ascii="Times New Roman" w:hAnsi="Times New Roman" w:cs="Times New Roman"/>
                                  <w:color w:val="000000"/>
                                  <w:sz w:val="19"/>
                                  <w:szCs w:val="19"/>
                                </w:rPr>
                                <w:t xml:space="preserve">chiqarish</w:t>
                              </w:r>
                            </w:p>
                          </w:txbxContent>
                        </wps:txbx>
                        <wps:bodyPr rot="0" vert="horz" wrap="square" lIns="36000" tIns="18000" rIns="36000" bIns="18000" anchor="ctr" anchorCtr="0">
                          <a:noAutofit/>
                        </wps:bodyPr>
                      </wps:wsp>
                      <wps:wsp>
                        <wps:cNvPr id="13" name="Connector 13"/>
                        <wps:cNvCnPr/>
                        <wps:spPr>
                          <a:xfrm flipH="1">
                            <a:off x="2952000" y="1044000"/>
                            <a:ext cx="2205000" cy="252000"/>
                          </a:xfrm>
                          <a:prstGeom prst="straightConnector1">
                            <a:avLst/>
                          </a:prstGeom>
                          <a:ln w="15875">
                            <a:solidFill>
                              <a:srgbClr val="404040"/>
                            </a:solidFill>
                            <a:tailEnd type="triangle" w="med" len="med"/>
                          </a:ln>
                        </wps:spPr>
                        <wps:bodyPr/>
                      </wps:wsp>
                      <wps:wsp>
                        <wps:cNvPr id="14" name="Shape 14"/>
                        <wps:cNvSpPr/>
                        <wps:spPr>
                          <a:xfrm>
                            <a:off x="1152000" y="1296000"/>
                            <a:ext cx="3600000" cy="43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Moliyaviy barqarorlik</w:t>
                              </w:r>
                            </w:p>
                            <w:p>
                              <w:pPr>
                                <w:spacing w:before="0" w:after="0" w:line="228" w:lineRule="auto"/>
                                <w:jc w:val="center"/>
                                <w:ind w:firstLine="0"/>
                              </w:pPr>
                              <w:r>
                                <w:rPr>
                                  <w:rFonts w:ascii="Times New Roman" w:hAnsi="Times New Roman" w:cs="Times New Roman"/>
                                  <w:b/>
                                  <w:color w:val="FFFFFF"/>
                                  <w:sz w:val="22"/>
                                  <w:szCs w:val="22"/>
                                </w:rPr>
                                <w:t xml:space="preserve">(natija, dinamik va kompleks xususiyat)</w:t>
                              </w:r>
                            </w:p>
                          </w:txbxContent>
                        </wps:txbx>
                        <wps:bodyPr rot="0" vert="horz" wrap="square" lIns="36000" tIns="18000" rIns="36000" bIns="18000" anchor="ctr" anchorCtr="0">
                          <a:noAutofit/>
                        </wps:bodyPr>
                      </wps:wsp>
                      <wps:wsp>
                        <wps:cNvPr id="15" name="Connector 15"/>
                        <wps:cNvCnPr/>
                        <wps:spPr>
                          <a:xfrm>
                            <a:off x="2952000" y="1728000"/>
                            <a:ext cx="0" cy="198000"/>
                          </a:xfrm>
                          <a:prstGeom prst="straightConnector1">
                            <a:avLst/>
                          </a:prstGeom>
                          <a:ln w="12700">
                            <a:solidFill>
                              <a:srgbClr val="7F7F7F"/>
                            </a:solidFill>
                            <a:prstDash val="dash"/>
                            <a:tailEnd type="triangle" w="med" len="med"/>
                          </a:ln>
                        </wps:spPr>
                        <wps:bodyPr/>
                      </wps:wsp>
                      <wps:wsp>
                        <wps:cNvPr id="16" name="Shape 16"/>
                        <wps:cNvSpPr/>
                        <wps:spPr>
                          <a:xfrm>
                            <a:off x="1152000" y="1926000"/>
                            <a:ext cx="3600000" cy="306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Moliyaviy holat – muayyan sanadagi statik baho</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1.1.1-rasm. Moliyaviy barqarorlik va unga yaqin tushunchalarning o‘zaro bog‘liqligi</w:t>
      </w:r>
      <w:r>
        <w:rPr>
          <w:rStyle w:val="FootnoteReference"/>
        </w:rPr>
        <w:footnoteReference w:id="5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stabillik, ishonchlilik va muvozanat moliyaviy barqarorlikning zaruriy shartlari bo‘lsa-da, ularning har biri alohida olinganda barqarorlikni to‘liq ifodalamaydi. Masalan, bank ko‘rsatkichlari bir necha yil o‘zgarmay qolishi mumkin, ammo bu davrda bank bozordagi o‘rnini yo‘qotib, resurs bazasini kengaytira olmasa, uni barqaror deb bo‘lmaydi. Aksincha, kreditlarning keskin o‘sishi bankning rivojlanayotganidan dalolat bergandek ko‘rinadi, biroq bu o‘sish kapital, zaxiralar va depozitlar o‘sishi bilan muvozanatda bo‘lmasa, kelgusidagi beqarorlik manbaiga aylanadi. Demak, moliyaviy barqarorlik bu tushunchalarning yig‘indisi emas, balki ularning o‘zaro uyg‘unligi natijasida yuzaga keladigan sifat holatidir.</w:t>
      </w:r>
    </w:p>
    <w:p>
      <w:pPr>
        <w:pStyle w:val="BodyText"/>
        <w:spacing w:line="360" w:lineRule="auto" w:before="0" w:after="0"/>
        <w:ind w:firstLine="709"/>
        <w:jc w:val="both"/>
      </w:pPr>
      <w:r>
        <w:rPr>
          <w:rFonts w:ascii="Times New Roman" w:hAnsi="Times New Roman" w:cs="Times New Roman" w:eastAsia="Times New Roman"/>
          <w:sz w:val="28"/>
        </w:rPr>
        <w:t xml:space="preserve">Shu bilan birga, O.I. Lavrushin va I.D. Mamonova moliyaviy barqarorlikni bankning boshqa barqarorlik turlaridan ham ajratadi. Ular iqtisodiy, siyosiy, operatsion, kadrlar va tashkiliy barqarorlik kabi turlarni sanab, moliyaviy barqarorlikni ular orasida asosiy tur deb hisoblaydi; turlar o‘rtasida ziddiyat yuzaga kelsa, ustuvorlik aynan moliyaviy barqarorlikka berilishi kerak</w:t>
      </w:r>
      <w:r>
        <w:rPr>
          <w:rStyle w:val="FootnoteReference"/>
        </w:rPr>
        <w:footnoteReference w:id="55"/>
      </w:r>
      <w:r>
        <w:rPr>
          <w:rFonts w:ascii="Times New Roman" w:hAnsi="Times New Roman" w:cs="Times New Roman" w:eastAsia="Times New Roman"/>
          <w:sz w:val="28"/>
        </w:rPr>
        <w:t xml:space="preserve">. Bu fikr bilan to‘liq qo‘shilish mumkin, chunki bankning boshqa barcha barqarorlik turlari pirovardida uning moliyaviy natijalarida, kapitali va likvidligida o‘z aksini topadi.</w:t>
      </w:r>
    </w:p>
    <w:p>
      <w:pPr>
        <w:pStyle w:val="BodyText"/>
        <w:spacing w:line="360" w:lineRule="auto" w:before="0" w:after="0"/>
        <w:ind w:firstLine="709"/>
        <w:jc w:val="both"/>
      </w:pPr>
      <w:r>
        <w:rPr>
          <w:rFonts w:ascii="Times New Roman" w:hAnsi="Times New Roman" w:cs="Times New Roman" w:eastAsia="Times New Roman"/>
          <w:sz w:val="28"/>
        </w:rPr>
        <w:t xml:space="preserve">Tushunchaning chegaralari aniqlangach, uning ta’rifiga o‘tish mumkin. Iqtisodiy adabiyotda moliyaviy barqarorlikka berilgan ta’riflar juda ko‘p bo‘lib, ularni tahlil qilish natijasida ularning har biri muayyan jihatga urg‘u berishi aniqlandi (1.1.1-jadval).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 tushunchasiga berilgan ta’riflarning qiyosiy tahlili</w:t>
      </w:r>
      <w:r>
        <w:rPr>
          <w:rStyle w:val="FootnoteReference"/>
        </w:rPr>
        <w:footnoteReference w:id="56"/>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Muallif</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Ta’rifning asosiy mazmuni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Urg‘u berilgan jihat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O.I. Lavrushin, I.D. Mamonova</w:t>
            </w:r>
          </w:p>
        </w:tc>
        <w:tc>
          <w:tcPr/>
          <w:p>
            <w:pPr>
              <w:pStyle w:val="Compact"/>
              <w:spacing w:line="240" w:lineRule="auto"/>
              <w:ind w:firstLine="0"/>
              <w:jc w:val="left"/>
            </w:pPr>
            <w:r>
              <w:rPr>
                <w:rFonts w:ascii="Times New Roman" w:hAnsi="Times New Roman" w:cs="Times New Roman" w:eastAsia="Times New Roman"/>
                <w:sz w:val="22"/>
              </w:rPr>
              <w:t xml:space="preserve">Bankning o‘z moliyasini va boshqa sub’ektlar moliyasini kengaytirilgan asosda takror ishlab chiqarishi</w:t>
            </w:r>
          </w:p>
        </w:tc>
        <w:tc>
          <w:tcPr/>
          <w:p>
            <w:pPr>
              <w:pStyle w:val="Compact"/>
              <w:spacing w:line="240" w:lineRule="auto"/>
              <w:ind w:firstLine="0"/>
              <w:jc w:val="left"/>
            </w:pPr>
            <w:r>
              <w:rPr>
                <w:rFonts w:ascii="Times New Roman" w:hAnsi="Times New Roman" w:cs="Times New Roman" w:eastAsia="Times New Roman"/>
                <w:sz w:val="22"/>
              </w:rPr>
              <w:t xml:space="preserve">Resurslarning o‘sishi va rivojlanish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O.I. Lavrushin (tahr.)</w:t>
            </w:r>
          </w:p>
        </w:tc>
        <w:tc>
          <w:tcPr/>
          <w:p>
            <w:pPr>
              <w:pStyle w:val="Compact"/>
              <w:spacing w:line="240" w:lineRule="auto"/>
              <w:ind w:firstLine="0"/>
              <w:jc w:val="left"/>
            </w:pPr>
            <w:r>
              <w:rPr>
                <w:rFonts w:ascii="Times New Roman" w:hAnsi="Times New Roman" w:cs="Times New Roman" w:eastAsia="Times New Roman"/>
                <w:sz w:val="22"/>
              </w:rPr>
              <w:t xml:space="preserve">Bank tizimining ijtimoiy ehtiyojlarga muvofiq faoliyatni kengaytirilgan asosda takror ishlab chiqarishi bilan kechadigan rivojlanish xususiyati</w:t>
            </w:r>
          </w:p>
        </w:tc>
        <w:tc>
          <w:tcPr/>
          <w:p>
            <w:pPr>
              <w:pStyle w:val="Compact"/>
              <w:spacing w:line="240" w:lineRule="auto"/>
              <w:ind w:firstLine="0"/>
              <w:jc w:val="left"/>
            </w:pPr>
            <w:r>
              <w:rPr>
                <w:rFonts w:ascii="Times New Roman" w:hAnsi="Times New Roman" w:cs="Times New Roman" w:eastAsia="Times New Roman"/>
                <w:sz w:val="22"/>
              </w:rPr>
              <w:t xml:space="preserve">Ijtimoiy funksiya va institutsional yondashuv</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G.J. Schinasi</w:t>
            </w:r>
          </w:p>
        </w:tc>
        <w:tc>
          <w:tcPr/>
          <w:p>
            <w:pPr>
              <w:pStyle w:val="Compact"/>
              <w:spacing w:line="240" w:lineRule="auto"/>
              <w:ind w:firstLine="0"/>
              <w:jc w:val="left"/>
            </w:pPr>
            <w:r>
              <w:rPr>
                <w:rFonts w:ascii="Times New Roman" w:hAnsi="Times New Roman" w:cs="Times New Roman" w:eastAsia="Times New Roman"/>
                <w:sz w:val="22"/>
              </w:rPr>
              <w:t xml:space="preserve">Moliya tizimining resurslarni samarali taqsimlash, risklarni baholash va boshqarish hamda shoklarni yutish qobiliyati</w:t>
            </w:r>
          </w:p>
        </w:tc>
        <w:tc>
          <w:tcPr/>
          <w:p>
            <w:pPr>
              <w:pStyle w:val="Compact"/>
              <w:spacing w:line="240" w:lineRule="auto"/>
              <w:ind w:firstLine="0"/>
              <w:jc w:val="left"/>
            </w:pPr>
            <w:r>
              <w:rPr>
                <w:rFonts w:ascii="Times New Roman" w:hAnsi="Times New Roman" w:cs="Times New Roman" w:eastAsia="Times New Roman"/>
                <w:sz w:val="22"/>
              </w:rPr>
              <w:t xml:space="preserve">Funksiyalarni bajarish va shoklarga chidamlilik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F.S. Mishkin</w:t>
            </w:r>
          </w:p>
        </w:tc>
        <w:tc>
          <w:tcPr/>
          <w:p>
            <w:pPr>
              <w:pStyle w:val="Compact"/>
              <w:spacing w:line="240" w:lineRule="auto"/>
              <w:ind w:firstLine="0"/>
              <w:jc w:val="left"/>
            </w:pPr>
            <w:r>
              <w:rPr>
                <w:rFonts w:ascii="Times New Roman" w:hAnsi="Times New Roman" w:cs="Times New Roman" w:eastAsia="Times New Roman"/>
                <w:sz w:val="22"/>
              </w:rPr>
              <w:t xml:space="preserve">Axborot oqimining uzilishi natijasida moliya tizimi mablag‘larni samarali yo‘naltira olmay qoladigan holatning yo‘qligi</w:t>
            </w:r>
          </w:p>
        </w:tc>
        <w:tc>
          <w:tcPr/>
          <w:p>
            <w:pPr>
              <w:pStyle w:val="Compact"/>
              <w:spacing w:line="240" w:lineRule="auto"/>
              <w:ind w:firstLine="0"/>
              <w:jc w:val="left"/>
            </w:pPr>
            <w:r>
              <w:rPr>
                <w:rFonts w:ascii="Times New Roman" w:hAnsi="Times New Roman" w:cs="Times New Roman" w:eastAsia="Times New Roman"/>
                <w:sz w:val="22"/>
              </w:rPr>
              <w:t xml:space="preserve">Axborot asimmetriyasi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J.M. Hendrickson</w:t>
            </w:r>
          </w:p>
        </w:tc>
        <w:tc>
          <w:tcPr/>
          <w:p>
            <w:pPr>
              <w:pStyle w:val="Compact"/>
              <w:spacing w:line="240" w:lineRule="auto"/>
              <w:ind w:firstLine="0"/>
              <w:jc w:val="left"/>
            </w:pPr>
            <w:r>
              <w:rPr>
                <w:rFonts w:ascii="Times New Roman" w:hAnsi="Times New Roman" w:cs="Times New Roman" w:eastAsia="Times New Roman"/>
                <w:sz w:val="22"/>
              </w:rPr>
              <w:t xml:space="preserve">Asosiy moliya institutlari tashqi yordamsiz foydalanuvchilarda yuqori ishonch uyg‘otadigan holat</w:t>
            </w:r>
          </w:p>
        </w:tc>
        <w:tc>
          <w:tcPr/>
          <w:p>
            <w:pPr>
              <w:pStyle w:val="Compact"/>
              <w:spacing w:line="240" w:lineRule="auto"/>
              <w:ind w:firstLine="0"/>
              <w:jc w:val="left"/>
            </w:pPr>
            <w:r>
              <w:rPr>
                <w:rFonts w:ascii="Times New Roman" w:hAnsi="Times New Roman" w:cs="Times New Roman" w:eastAsia="Times New Roman"/>
                <w:sz w:val="22"/>
              </w:rPr>
              <w:t xml:space="preserve">Ishonch va mustaqillik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A.V. Thakor</w:t>
            </w:r>
          </w:p>
        </w:tc>
        <w:tc>
          <w:tcPr/>
          <w:p>
            <w:pPr>
              <w:pStyle w:val="Compact"/>
              <w:spacing w:line="240" w:lineRule="auto"/>
              <w:ind w:firstLine="0"/>
              <w:jc w:val="left"/>
            </w:pPr>
            <w:r>
              <w:rPr>
                <w:rFonts w:ascii="Times New Roman" w:hAnsi="Times New Roman" w:cs="Times New Roman" w:eastAsia="Times New Roman"/>
                <w:sz w:val="22"/>
              </w:rPr>
              <w:t xml:space="preserve">Sog‘lom tizim inqirozdan butunlay himoyalangan tizim emas; unda alohida banklar davlat yordamisiz bankrot bo‘lishi mumkin</w:t>
            </w:r>
          </w:p>
        </w:tc>
        <w:tc>
          <w:tcPr/>
          <w:p>
            <w:pPr>
              <w:pStyle w:val="Compact"/>
              <w:spacing w:line="240" w:lineRule="auto"/>
              <w:ind w:firstLine="0"/>
              <w:jc w:val="left"/>
            </w:pPr>
            <w:r>
              <w:rPr>
                <w:rFonts w:ascii="Times New Roman" w:hAnsi="Times New Roman" w:cs="Times New Roman" w:eastAsia="Times New Roman"/>
                <w:sz w:val="22"/>
              </w:rPr>
              <w:t xml:space="preserve">Tizim darajasidagi sog‘lomlik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G.G. Fetisov</w:t>
            </w:r>
          </w:p>
        </w:tc>
        <w:tc>
          <w:tcPr/>
          <w:p>
            <w:pPr>
              <w:pStyle w:val="Compact"/>
              <w:spacing w:line="240" w:lineRule="auto"/>
              <w:ind w:firstLine="0"/>
              <w:jc w:val="left"/>
            </w:pPr>
            <w:r>
              <w:rPr>
                <w:rFonts w:ascii="Times New Roman" w:hAnsi="Times New Roman" w:cs="Times New Roman" w:eastAsia="Times New Roman"/>
                <w:sz w:val="22"/>
              </w:rPr>
              <w:t xml:space="preserve">Bankning o‘zgaruvchan tashqi va ichki omillar sharoitida mijozlar, kreditorlar va omonatchilar oldidagi majburiyatlarini bajarish qobiliyati</w:t>
            </w:r>
          </w:p>
        </w:tc>
        <w:tc>
          <w:tcPr/>
          <w:p>
            <w:pPr>
              <w:pStyle w:val="Compact"/>
              <w:spacing w:line="240" w:lineRule="auto"/>
              <w:ind w:firstLine="0"/>
              <w:jc w:val="left"/>
            </w:pPr>
            <w:r>
              <w:rPr>
                <w:rFonts w:ascii="Times New Roman" w:hAnsi="Times New Roman" w:cs="Times New Roman" w:eastAsia="Times New Roman"/>
                <w:sz w:val="22"/>
              </w:rPr>
              <w:t xml:space="preserve">Muvozanat va majburiyatlarni bajarish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I.V. Larionova</w:t>
            </w:r>
          </w:p>
        </w:tc>
        <w:tc>
          <w:tcPr/>
          <w:p>
            <w:pPr>
              <w:pStyle w:val="Compact"/>
              <w:spacing w:line="240" w:lineRule="auto"/>
              <w:ind w:firstLine="0"/>
              <w:jc w:val="left"/>
            </w:pPr>
            <w:r>
              <w:rPr>
                <w:rFonts w:ascii="Times New Roman" w:hAnsi="Times New Roman" w:cs="Times New Roman" w:eastAsia="Times New Roman"/>
                <w:sz w:val="22"/>
              </w:rPr>
              <w:t xml:space="preserve">Ichki va tashqi ta’sirlarga qarshi turish, uzoq davr davomida barqaror muvozanat va ishonchlilikni saqlash qobiliyati</w:t>
            </w:r>
          </w:p>
        </w:tc>
        <w:tc>
          <w:tcPr/>
          <w:p>
            <w:pPr>
              <w:pStyle w:val="Compact"/>
              <w:spacing w:line="240" w:lineRule="auto"/>
              <w:ind w:firstLine="0"/>
              <w:jc w:val="left"/>
            </w:pPr>
            <w:r>
              <w:rPr>
                <w:rFonts w:ascii="Times New Roman" w:hAnsi="Times New Roman" w:cs="Times New Roman" w:eastAsia="Times New Roman"/>
                <w:sz w:val="22"/>
              </w:rPr>
              <w:t xml:space="preserve">Uzoq muddatli muvozanat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 Houben, J. Kakes, G. Schinasi</w:t>
            </w:r>
          </w:p>
        </w:tc>
        <w:tc>
          <w:tcPr/>
          <w:p>
            <w:pPr>
              <w:pStyle w:val="Compact"/>
              <w:spacing w:line="240" w:lineRule="auto"/>
              <w:ind w:firstLine="0"/>
              <w:jc w:val="left"/>
            </w:pPr>
            <w:r>
              <w:rPr>
                <w:rFonts w:ascii="Times New Roman" w:hAnsi="Times New Roman" w:cs="Times New Roman" w:eastAsia="Times New Roman"/>
                <w:sz w:val="22"/>
              </w:rPr>
              <w:t xml:space="preserve">Resurslarni samarali taqsimlash, risklarni boshqarish va shoklarni yutish qobiliyati ko‘p o‘lchovli «barqarorlik yo‘lagi» doirasida</w:t>
            </w:r>
          </w:p>
        </w:tc>
        <w:tc>
          <w:tcPr/>
          <w:p>
            <w:pPr>
              <w:pStyle w:val="Compact"/>
              <w:spacing w:line="240" w:lineRule="auto"/>
              <w:ind w:firstLine="0"/>
              <w:jc w:val="left"/>
            </w:pPr>
            <w:r>
              <w:rPr>
                <w:rFonts w:ascii="Times New Roman" w:hAnsi="Times New Roman" w:cs="Times New Roman" w:eastAsia="Times New Roman"/>
                <w:sz w:val="22"/>
              </w:rPr>
              <w:t xml:space="preserve">Mezoniy chegaralar (yo‘lak)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O.B. Sattarov</w:t>
            </w:r>
          </w:p>
        </w:tc>
        <w:tc>
          <w:tcPr/>
          <w:p>
            <w:pPr>
              <w:pStyle w:val="Compact"/>
              <w:spacing w:line="240" w:lineRule="auto"/>
              <w:ind w:firstLine="0"/>
              <w:jc w:val="left"/>
            </w:pPr>
            <w:r>
              <w:rPr>
                <w:rFonts w:ascii="Times New Roman" w:hAnsi="Times New Roman" w:cs="Times New Roman" w:eastAsia="Times New Roman"/>
                <w:sz w:val="22"/>
              </w:rPr>
              <w:t xml:space="preserve">Markaziy bank va tijorat banklari o‘z funksiyalarini to‘laqonli bajara olishini ta’minlaydigan darajani saqlagan holda rivojlanishga intilish (bank tizimi barqarorligi)</w:t>
            </w:r>
          </w:p>
        </w:tc>
        <w:tc>
          <w:tcPr/>
          <w:p>
            <w:pPr>
              <w:pStyle w:val="Compact"/>
              <w:spacing w:line="240" w:lineRule="auto"/>
              <w:ind w:firstLine="0"/>
              <w:jc w:val="left"/>
            </w:pPr>
            <w:r>
              <w:rPr>
                <w:rFonts w:ascii="Times New Roman" w:hAnsi="Times New Roman" w:cs="Times New Roman" w:eastAsia="Times New Roman"/>
                <w:sz w:val="22"/>
              </w:rPr>
              <w:t xml:space="preserve">Dinamika va rivojlanish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I.G. Sadikov</w:t>
            </w:r>
          </w:p>
        </w:tc>
        <w:tc>
          <w:tcPr/>
          <w:p>
            <w:pPr>
              <w:pStyle w:val="Compact"/>
              <w:spacing w:line="240" w:lineRule="auto"/>
              <w:ind w:firstLine="0"/>
              <w:jc w:val="left"/>
            </w:pPr>
            <w:r>
              <w:rPr>
                <w:rFonts w:ascii="Times New Roman" w:hAnsi="Times New Roman" w:cs="Times New Roman" w:eastAsia="Times New Roman"/>
                <w:sz w:val="22"/>
              </w:rPr>
              <w:t xml:space="preserve">Bankning foyda olish jarayonida bozordagi mavqeini mustahkamlash orqali ichki va tashqi muhitning salbiy oqibatlariga qarshi tura olish qobiliyati</w:t>
            </w:r>
          </w:p>
        </w:tc>
        <w:tc>
          <w:tcPr/>
          <w:p>
            <w:pPr>
              <w:pStyle w:val="Compact"/>
              <w:spacing w:line="240" w:lineRule="auto"/>
              <w:ind w:firstLine="0"/>
              <w:jc w:val="left"/>
            </w:pPr>
            <w:r>
              <w:rPr>
                <w:rFonts w:ascii="Times New Roman" w:hAnsi="Times New Roman" w:cs="Times New Roman" w:eastAsia="Times New Roman"/>
                <w:sz w:val="22"/>
              </w:rPr>
              <w:t xml:space="preserve">Daromadlilik va bozor mavqei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 Madaminov</w:t>
            </w:r>
          </w:p>
        </w:tc>
        <w:tc>
          <w:tcPr/>
          <w:p>
            <w:pPr>
              <w:pStyle w:val="Compact"/>
              <w:spacing w:line="240" w:lineRule="auto"/>
              <w:ind w:firstLine="0"/>
              <w:jc w:val="left"/>
            </w:pPr>
            <w:r>
              <w:rPr>
                <w:rFonts w:ascii="Times New Roman" w:hAnsi="Times New Roman" w:cs="Times New Roman" w:eastAsia="Times New Roman"/>
                <w:sz w:val="22"/>
              </w:rPr>
              <w:t xml:space="preserve">Endogen va ekzogen shoklarni yutib, faoliyatni to‘xtatmasdan muvozanatni tiklash salohiyatini aks ettiruvchi dinamik xususiyat</w:t>
            </w:r>
          </w:p>
        </w:tc>
        <w:tc>
          <w:tcPr/>
          <w:p>
            <w:pPr>
              <w:pStyle w:val="Compact"/>
              <w:spacing w:line="240" w:lineRule="auto"/>
              <w:ind w:firstLine="0"/>
              <w:jc w:val="left"/>
            </w:pPr>
            <w:r>
              <w:rPr>
                <w:rFonts w:ascii="Times New Roman" w:hAnsi="Times New Roman" w:cs="Times New Roman" w:eastAsia="Times New Roman"/>
                <w:sz w:val="22"/>
              </w:rPr>
              <w:t xml:space="preserve">Shoklarga bardoshlilik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N.H. Sharipova</w:t>
            </w:r>
          </w:p>
        </w:tc>
        <w:tc>
          <w:tcPr/>
          <w:p>
            <w:pPr>
              <w:pStyle w:val="Compact"/>
              <w:spacing w:line="240" w:lineRule="auto"/>
              <w:ind w:firstLine="0"/>
              <w:jc w:val="left"/>
            </w:pPr>
            <w:r>
              <w:rPr>
                <w:rFonts w:ascii="Times New Roman" w:hAnsi="Times New Roman" w:cs="Times New Roman" w:eastAsia="Times New Roman"/>
                <w:sz w:val="22"/>
              </w:rPr>
              <w:t xml:space="preserve">Bankning o‘z funksiyalarini beqaror iqtisodiy sharoitlarda ham uzluksiz va samarali bajarishini ta’minlaydigan tizimli va dinamik holat</w:t>
            </w:r>
          </w:p>
        </w:tc>
        <w:tc>
          <w:tcPr/>
          <w:p>
            <w:pPr>
              <w:pStyle w:val="Compact"/>
              <w:spacing w:line="240" w:lineRule="auto"/>
              <w:ind w:firstLine="0"/>
              <w:jc w:val="left"/>
            </w:pPr>
            <w:r>
              <w:rPr>
                <w:rFonts w:ascii="Times New Roman" w:hAnsi="Times New Roman" w:cs="Times New Roman" w:eastAsia="Times New Roman"/>
                <w:sz w:val="22"/>
              </w:rPr>
              <w:t xml:space="preserve">Uzluksizlik va dinamika</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ta’riflardagi farqlar asosan ikki omil bilan izohlanadi: birinchidan, qaysi daraja – alohida bank yoki butun moliya tizimi nazarda tutilayotgani, ikkinchidan, barqarorlikning qaysi belgisi asosiy deb olinayotgani. O.I. Lavrushin va I.D. Mamonova ta’rifida bankning o‘z moliyasi, ya’ni kapital, foyda, zaxiralar va fondlar markazga qo‘yiladi va mualliflar barqarorlikni aktiv va passivlar muvozanati bilan emas, aynan shu resurslarning barqaror o‘sishi bilan bog‘lash kerakligini ta’kidlaydi</w:t>
      </w:r>
      <w:r>
        <w:rPr>
          <w:rStyle w:val="FootnoteReference"/>
        </w:rPr>
        <w:footnoteReference w:id="57"/>
      </w:r>
      <w:r>
        <w:rPr>
          <w:rFonts w:ascii="Times New Roman" w:hAnsi="Times New Roman" w:cs="Times New Roman" w:eastAsia="Times New Roman"/>
          <w:sz w:val="28"/>
        </w:rPr>
        <w:t xml:space="preserve">. Monografiyada esa bank ijtimoiy institut sifatida qaraladi va uning barqarorligi jamiyat ehtiyojlariga mosligi bilan o‘lchanadi</w:t>
      </w:r>
      <w:r>
        <w:rPr>
          <w:rStyle w:val="FootnoteReference"/>
        </w:rPr>
        <w:footnoteReference w:id="58"/>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Rossiya iqtisodiy maktabining boshqa vakillari ham bu tushunchani turlicha talqin qiladi. G.G. Fetisov barqarorlikni muvozanat nuqtai nazaridan qarab, bankning o‘zgaruvchan tashqi va ichki omillar ta’siri sharoitida mijozlar, kreditorlar va omonatchilar oldidagi majburiyatlarini bajarish qobiliyati sifatida ta’riflaydi, Ye.B. Gerasimova esa «barqarorlik» va «ishonchlilik» kategoriyalarini aynan bir xil deb hisoblab, ularni turg‘unlik emas, balki barqaror rivojlanish holati, ya’ni «harakatdagi muvozanatning sifat holati» deb belgilaydi</w:t>
      </w:r>
      <w:r>
        <w:rPr>
          <w:rStyle w:val="FootnoteReference"/>
        </w:rPr>
        <w:footnoteReference w:id="59"/>
      </w:r>
      <w:r>
        <w:rPr>
          <w:rFonts w:ascii="Times New Roman" w:hAnsi="Times New Roman" w:cs="Times New Roman" w:eastAsia="Times New Roman"/>
          <w:sz w:val="28"/>
        </w:rPr>
        <w:t xml:space="preserve">. I.V. Larionova moliyaviy barqarorlikni ichki va tashqi ta’sirlarga qarshi turish, uzoq vaqt davomida barqaror muvozanat va ishonchlilikni saqlash qobiliyati sifatida, V.V. Ivanov esa bank faoliyatining o‘rta va uzoq muddatli istiqboldagi barqarorligi sifatida ta’riflaydi</w:t>
      </w:r>
      <w:r>
        <w:rPr>
          <w:rStyle w:val="FootnoteReference"/>
        </w:rPr>
        <w:footnoteReference w:id="60"/>
      </w:r>
      <w:r>
        <w:rPr>
          <w:rFonts w:ascii="Times New Roman" w:hAnsi="Times New Roman" w:cs="Times New Roman" w:eastAsia="Times New Roman"/>
          <w:sz w:val="28"/>
        </w:rPr>
        <w:t xml:space="preserve">. Z.A. Timofeeva mavjud ta’riflarni tizimlashtirib, ularni besh yo‘nalishga ajratadi: moliyaviy ko‘rsatkichlarning mezoniy qiymatlariga mos kelish, resurslar va risklarni transformatsiya qilish tizimining dinamik kategoriyasi, likvidlik va to‘lovga qobiliyatlilik bilan tenglashtirish, daromadlilik bilan tenglashtirish hamda bankning umumiy barqarorligining tarkibiy qismi. Muallif birinchi yo‘nalishni tanqid qilib, moliyaviy barqarorlikni faqat me’yoriy ko‘rsatkichlarga mos kelish bilan belgilash uni statik holatda, ya’ni ko‘rsatkichlar to‘plami doirasida tushunish ekanini ta’kidlaydi</w:t>
      </w:r>
      <w:r>
        <w:rPr>
          <w:rStyle w:val="FootnoteReference"/>
        </w:rPr>
        <w:footnoteReference w:id="61"/>
      </w:r>
      <w:r>
        <w:rPr>
          <w:rFonts w:ascii="Times New Roman" w:hAnsi="Times New Roman" w:cs="Times New Roman" w:eastAsia="Times New Roman"/>
          <w:sz w:val="28"/>
        </w:rPr>
        <w:t xml:space="preserve">. Bu fikr muhim xulosaga olib keladi: me’yoriy ko‘rsatkichlar barqarorlikning yetarli emas, balki zaruriy mezoni bo‘lib, ularni dinamika va risk omillari bilan to‘ldirish talab etiladi.</w:t>
      </w:r>
    </w:p>
    <w:p>
      <w:pPr>
        <w:pStyle w:val="BodyText"/>
        <w:spacing w:line="360" w:lineRule="auto" w:before="0" w:after="0"/>
        <w:ind w:firstLine="709"/>
        <w:jc w:val="both"/>
      </w:pPr>
      <w:r>
        <w:rPr>
          <w:rFonts w:ascii="Times New Roman" w:hAnsi="Times New Roman" w:cs="Times New Roman" w:eastAsia="Times New Roman"/>
          <w:sz w:val="28"/>
        </w:rPr>
        <w:t xml:space="preserve">G‘arb adabiyotida esa moliyaviy barqarorlik ko‘proq tizim darajasida va funksional nuqtai nazardan talqin qilinadi. G.J. Schinasi moliyaviy barqarorlikni moliya tizimining iqtisodiy resurslarni samarali taqsimlash, moliyaviy risklarni baholash va boshqarish hamda shoklarni yutish qobiliyati sifatida ta’riflaydi va uni ikki holat orasidagi uzluksiz chiziq, ya’ni «kontinuum» deb qaraydi</w:t>
      </w:r>
      <w:r>
        <w:rPr>
          <w:rStyle w:val="FootnoteReference"/>
        </w:rPr>
        <w:footnoteReference w:id="62"/>
      </w:r>
      <w:r>
        <w:rPr>
          <w:rFonts w:ascii="Times New Roman" w:hAnsi="Times New Roman" w:cs="Times New Roman" w:eastAsia="Times New Roman"/>
          <w:sz w:val="28"/>
        </w:rPr>
        <w:t xml:space="preserve">. F.S. Mishkin esa beqarorlikdan kelib chiqib, uni axborot oqimining keskin uzilishi natijasida moliya tizimi mablag‘larni eng samarali investitsiya imkoniyatlariga yo‘naltira olmay qoladigan holat sifatida izohlaydi</w:t>
      </w:r>
      <w:r>
        <w:rPr>
          <w:rStyle w:val="FootnoteReference"/>
        </w:rPr>
        <w:footnoteReference w:id="63"/>
      </w:r>
      <w:r>
        <w:rPr>
          <w:rFonts w:ascii="Times New Roman" w:hAnsi="Times New Roman" w:cs="Times New Roman" w:eastAsia="Times New Roman"/>
          <w:sz w:val="28"/>
        </w:rPr>
        <w:t xml:space="preserve">. J.M. Hendrickson ta’rifida esa asosiy o‘rinni ishonch egallaydi: muallif fikricha, beqarorlikning kaliti iste’molchilar ishonchining kutilmaganda keskin yo‘qolishidir. U yana bir muhim fikrni ilgari suradi: bank inqirozi har doim moliyaviy beqarorlikka olib keladi, biroq moliyaviy beqarorlik bank inqirozisiz ham yuzaga kelishi mumkin</w:t>
      </w:r>
      <w:r>
        <w:rPr>
          <w:rStyle w:val="FootnoteReference"/>
        </w:rPr>
        <w:footnoteReference w:id="6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G.J. Schinasi g‘oyasi A. Houben, J. Kakes va G. Schinasi ishida yanada rivojlantirilgan. Mualliflar moliyaviy barqarorlikni moliya tizimi resurslarni faoliyat turlari va vaqt bo‘yicha samarali taqsimlay oladigan, moliyaviy risklarni baholab boshqara oladigan va shoklarni yuta oladigan holat sifatida ta’riflab, bu holat ko‘p o‘lchovli «barqarorlik yo‘lagi» doirasida kechishini ko‘rsatadi: masalan, foiz spredlari tebranuvchanligi va bank tizimi kapitalining ayrim kombinatsiyalari barqarorlikka mos keladi, boshqalari esa bu yo‘lakdan tashqarida bo‘ladi</w:t>
      </w:r>
      <w:r>
        <w:rPr>
          <w:rStyle w:val="FootnoteReference"/>
        </w:rPr>
        <w:footnoteReference w:id="65"/>
      </w:r>
      <w:r>
        <w:rPr>
          <w:rFonts w:ascii="Times New Roman" w:hAnsi="Times New Roman" w:cs="Times New Roman" w:eastAsia="Times New Roman"/>
          <w:sz w:val="28"/>
        </w:rPr>
        <w:t xml:space="preserve">. Yevropa Markaziy banki ham moliyaviy barqarorlikni moliyaviy vositachilar, bozorlar va bozor infratuzilmasidan iborat moliya tizimining shoklarga va moliyaviy nomutanosibliklarning yechilishiga bardosh bera olishi bilan ta’riflaydi</w:t>
      </w:r>
      <w:r>
        <w:rPr>
          <w:rStyle w:val="FootnoteReference"/>
        </w:rPr>
        <w:footnoteReference w:id="66"/>
      </w:r>
      <w:r>
        <w:rPr>
          <w:rFonts w:ascii="Times New Roman" w:hAnsi="Times New Roman" w:cs="Times New Roman" w:eastAsia="Times New Roman"/>
          <w:sz w:val="28"/>
        </w:rPr>
        <w:t xml:space="preserve">. M. Čihák esa 2006-yilda markaziy banklarning moliyaviy barqarorlik sharhlarini tahlil qilib, ularning aksariyatida barqarorlik juda umumiy tarzda ta’riflanganini aniqlagan va moliyaviy barqarorlikni nafaqat umumiy, balki kuzatiladigan asosiy ko‘rsatkichlarni aniq ko‘rsatuvchi «operatsion» ta’rif bilan ham belgilash zarurligini asoslagan</w:t>
      </w:r>
      <w:r>
        <w:rPr>
          <w:rStyle w:val="FootnoteReference"/>
        </w:rPr>
        <w:footnoteReference w:id="67"/>
      </w:r>
      <w:r>
        <w:rPr>
          <w:rFonts w:ascii="Times New Roman" w:hAnsi="Times New Roman" w:cs="Times New Roman" w:eastAsia="Times New Roman"/>
          <w:sz w:val="28"/>
        </w:rPr>
        <w:t xml:space="preserve">. Bu talab baholash metodologiyasi uchun muhim ahamiyatga ega, chunki barqarorlikning umumiy ta’rifi uni o‘lchash usulini belgilab bermaydi.</w:t>
      </w:r>
    </w:p>
    <w:p>
      <w:pPr>
        <w:pStyle w:val="BodyText"/>
        <w:spacing w:line="360" w:lineRule="auto" w:before="0" w:after="0"/>
        <w:ind w:firstLine="709"/>
        <w:jc w:val="both"/>
      </w:pPr>
      <w:r>
        <w:rPr>
          <w:rFonts w:ascii="Times New Roman" w:hAnsi="Times New Roman" w:cs="Times New Roman" w:eastAsia="Times New Roman"/>
          <w:sz w:val="28"/>
        </w:rPr>
        <w:t xml:space="preserve">Mahalliy iqtisodchi olimlar ham moliyaviy barqarorlik tushunchasini turli nuqtai nazardan talqin qilgan. O.B. Sattarov avvalo «barqarorlik» kategoriyasining o‘zini tahlil qilib, uni statik holat emas, balki dinamik jarayon, ya’ni erishilgan darajani saqlagan holda rivojlanishga intilish sifatida qaraydi va shu asosda bank tizimi barqarorligini «Markaziy bank va tijorat banklari faoliyati davomida o‘z funksiyalarini to‘laqonli bajara olishini ta’minlash imkonini beradigan darajani saqlagan holatda, rivojlanishga qarab intilish» deb ta’riflaydi</w:t>
      </w:r>
      <w:r>
        <w:rPr>
          <w:rStyle w:val="FootnoteReference"/>
        </w:rPr>
        <w:footnoteReference w:id="68"/>
      </w:r>
      <w:r>
        <w:rPr>
          <w:rFonts w:ascii="Times New Roman" w:hAnsi="Times New Roman" w:cs="Times New Roman" w:eastAsia="Times New Roman"/>
          <w:sz w:val="28"/>
        </w:rPr>
        <w:t xml:space="preserve">. R.X. Bozorov esa moliyaviy barqarorlikni ikki darajada ko‘rib chiqadi: mikrodarajada u bankning har qanday sharoitda mijozlar oldidagi vazifalarini bajarishda faoliyatining hayotiyligi va davomiyligini ta’minlashni, makrodarajada esa bank tizimining turli iqtisodiy qiyinchiliklarning oldini olishi va tizim barqarorligini ta’minlashini anglatadi</w:t>
      </w:r>
      <w:r>
        <w:rPr>
          <w:rStyle w:val="FootnoteReference"/>
        </w:rPr>
        <w:footnoteReference w:id="69"/>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Keyingi yillardagi tadqiqotlarda ta’riflarning urg‘usi sezilarli darajada o‘zgargan. I.G. Sadikov ta’rifida bozor mavqei va daromadlilik birinchi o‘ringa chiqadi: muallif moliyaviy barqarorlikni bankning foyda olish jarayonida moliyaviy ko‘rsatkichlari va faoliyatining ijobiy holatini ta’minlagan holda bank xizmatlari bozorida o‘z mavqeini mustahkamlash orqali ichki va tashqi muhitning salbiy oqibatlariga qarshi tura olish qobiliyati sifatida ta’riflaydi</w:t>
      </w:r>
      <w:r>
        <w:rPr>
          <w:rStyle w:val="FootnoteReference"/>
        </w:rPr>
        <w:footnoteReference w:id="70"/>
      </w:r>
      <w:r>
        <w:rPr>
          <w:rFonts w:ascii="Times New Roman" w:hAnsi="Times New Roman" w:cs="Times New Roman" w:eastAsia="Times New Roman"/>
          <w:sz w:val="28"/>
        </w:rPr>
        <w:t xml:space="preserve">. B.A. Madaminov esa barqarorlikni likvidlik va to‘lovga qobiliyatlilik bilan tenglashtiruvchi yondashuvni statik deb tanqid qilib, uni bankning nafaqat muayyan vaqtda majburiyatlarni bajarish, balki endogen va ekzogen shoklarni yutib, faoliyatni to‘xtatmasdan muvozanatni tiklash salohiyatini aks ettiruvchi dinamik xususiyat sifatida belgilaydi</w:t>
      </w:r>
      <w:r>
        <w:rPr>
          <w:rStyle w:val="FootnoteReference"/>
        </w:rPr>
        <w:footnoteReference w:id="71"/>
      </w:r>
      <w:r>
        <w:rPr>
          <w:rFonts w:ascii="Times New Roman" w:hAnsi="Times New Roman" w:cs="Times New Roman" w:eastAsia="Times New Roman"/>
          <w:sz w:val="28"/>
        </w:rPr>
        <w:t xml:space="preserve">. Sh.Sh. Abdishukurov likvidlik, kapital yetarliligi va rentabellikni «moliyaviy barqarorlik uchburchagi» sifatida qarab, barqarorlikni bitta ko‘rsatkichni optimal darajada ushlab turish emas, balki shu ko‘rsatkichlar o‘rtasidagi muvozanatni ta’minlash qobiliyati deb hisoblaydi</w:t>
      </w:r>
      <w:r>
        <w:rPr>
          <w:rStyle w:val="FootnoteReference"/>
        </w:rPr>
        <w:footnoteReference w:id="7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N.H. Sharipova tijorat banki moliyaviy barqarorligini bankning o‘z funksiyalarini beqaror iqtisodiy sharoitlarda ham uzluksiz va samarali bajarish qobiliyatini ta’minlaydigan, moliyaviy resurslar, kapital va likvidlikni optimal boshqarish orqali barqaror rivojlanishga erishadigan tizimli va dinamik holat sifatida ta’riflaydi</w:t>
      </w:r>
      <w:r>
        <w:rPr>
          <w:rStyle w:val="FootnoteReference"/>
        </w:rPr>
        <w:footnoteReference w:id="73"/>
      </w:r>
      <w:r>
        <w:rPr>
          <w:rFonts w:ascii="Times New Roman" w:hAnsi="Times New Roman" w:cs="Times New Roman" w:eastAsia="Times New Roman"/>
          <w:sz w:val="28"/>
        </w:rPr>
        <w:t xml:space="preserve">. Bu ta’rifda uzluksizlik va dinamikaga urg‘u berilgani e’tiborga loyiq.</w:t>
      </w:r>
    </w:p>
    <w:p>
      <w:pPr>
        <w:pStyle w:val="BodyText"/>
        <w:spacing w:line="360" w:lineRule="auto" w:before="0" w:after="0"/>
        <w:ind w:firstLine="709"/>
        <w:jc w:val="both"/>
      </w:pPr>
      <w:r>
        <w:rPr>
          <w:rFonts w:ascii="Times New Roman" w:hAnsi="Times New Roman" w:cs="Times New Roman" w:eastAsia="Times New Roman"/>
          <w:sz w:val="28"/>
        </w:rPr>
        <w:t xml:space="preserve">Mahalliy olimlarning ta’riflarini umumlashtirish shuni ko‘rsatadiki, ularda ikki umumiy jihat kuzatiladi. Birinchidan, deyarli barcha mualliflar barqarorlikning dinamik tabiatini ta’kidlaydi va uni muayyan sanadagi holat bilan emas, balki shoklarga bardosh berish va rivojlanishni davom ettirish qobiliyati bilan bog‘laydi. Ikkinchidan, ta’riflarning birortasida ham barqarorlikni qaysi me’yorlar va qaysi hisobot standarti asosida o‘lchash kerakligi, ya’ni uning miqdoriy chegaralari aniq ko‘rsatilmagan. Bu masala amaliy ahamiyatga ega, chunki ikkinchi bobda ko‘rsatilganidek, bir xil bankning aktivlar sifati milliy hisobot va MHXS bo‘yicha bir necha barobar farq qiladigan natija berishi mumkin. Demak, moliyaviy barqarorlik ta’rifi uning xalqaro standartlarda belgilangan chegaralarga nisbatan o‘lchanishini ham nazarda tutishi lozim.</w:t>
      </w:r>
    </w:p>
    <w:p>
      <w:pPr>
        <w:pStyle w:val="BodyText"/>
        <w:spacing w:line="360" w:lineRule="auto" w:before="0" w:after="0"/>
        <w:ind w:firstLine="709"/>
        <w:jc w:val="both"/>
      </w:pPr>
      <w:r>
        <w:rPr>
          <w:rFonts w:ascii="Times New Roman" w:hAnsi="Times New Roman" w:cs="Times New Roman" w:eastAsia="Times New Roman"/>
          <w:sz w:val="28"/>
        </w:rPr>
        <w:t xml:space="preserve">Ta’riflardagi xilma-xillikka qaramay, ularning aksariyatida uchta umumiy mezon kuzatiladi. Birinchisi – statik mezon, ya’ni bankning muayyan sanada majburiyatlarini qoplash uchun yetarli kapital va sifatli aktivlarga ega bo‘lishi, boshqacha aytganda, to‘lovga qobiliyatliligi. Ikkinchisi – dinamik mezon, ya’ni kutilmagan shoklar va bozor tebranishlari yuzaga kelganda zararlarni yutib, o‘z holatini tiklay olish qobiliyati. Uchinchisi – funksional mezon, ya’ni stress sharoitida ham iqtisodiyotni kreditlash va to‘lovlarni amalga oshirish funksiyalarini yo‘qotmaslik. A. Krokett ham moliyaviy barqarorlikni asosiy moliya institutlari va bozorlarning barqarorligi sifatida ta’riflab, uning mezoni sifatida institutlarning o‘z shartnoma majburiyatlarini tashqi yordamsiz bajara olishi va bozorlarda narxlarning fundamental omillarni aks ettirishini ko‘rsatadi</w:t>
      </w:r>
      <w:r>
        <w:rPr>
          <w:rStyle w:val="FootnoteReference"/>
        </w:rPr>
        <w:footnoteReference w:id="74"/>
      </w:r>
      <w:r>
        <w:rPr>
          <w:rFonts w:ascii="Times New Roman" w:hAnsi="Times New Roman" w:cs="Times New Roman" w:eastAsia="Times New Roman"/>
          <w:sz w:val="28"/>
        </w:rPr>
        <w:t xml:space="preserve">. Bundan kelib chiqadiki, moliyaviy barqarorlik buxgalteriya balansi ko‘rsatkichlarining normativ talablarga shunchaki mos kelishi emas, balki kapital va likvidlik zaxiralarining kutilayotgan va kutilmagan zararlarga nisbatan miqdor va sifat jihatidan yetarliligini anglatuvchi keng qamrovli iqtisodiy kategoriyadir.</w:t>
      </w:r>
    </w:p>
    <w:p>
      <w:pPr>
        <w:pStyle w:val="BodyText"/>
        <w:spacing w:line="360" w:lineRule="auto" w:before="0" w:after="0"/>
        <w:ind w:firstLine="709"/>
        <w:jc w:val="both"/>
      </w:pPr>
      <w:r>
        <w:rPr>
          <w:rFonts w:ascii="Times New Roman" w:hAnsi="Times New Roman" w:cs="Times New Roman" w:eastAsia="Times New Roman"/>
          <w:sz w:val="28"/>
        </w:rPr>
        <w:t xml:space="preserve">Ta’riflarni umumlashtirib, moliyaviy barqarorlikni tushunishdagi to‘rt asosiy yondashuvni ajratish mumkin (1.1.2-rasm).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538000"/>
                <wp:effectExtent l="0" t="0" r="0" b="0"/>
                <wp:docPr id="2" name="1.1.2-rasm"/>
                <wp:cNvGraphicFramePr/>
                <a:graphic>
                  <a:graphicData uri="http://schemas.microsoft.com/office/word/2010/wordprocessingGroup">
                    <wpg:wgp>
                      <wpg:cNvGrpSpPr/>
                      <wpg:grpSpPr>
                        <a:xfrm>
                          <a:off x="0" y="0"/>
                          <a:ext cx="5904000" cy="2538000"/>
                          <a:chOff x="0" y="0"/>
                          <a:chExt cx="5904000" cy="2538000"/>
                        </a:xfrm>
                      </wpg:grpSpPr>
                      <wps:wsp>
                        <wps:cNvPr id="17" name="Shape 17"/>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Moliyaviy barqarorlik tushunchasi</w:t>
                              </w:r>
                            </w:p>
                          </w:txbxContent>
                        </wps:txbx>
                        <wps:bodyPr rot="0" vert="horz" wrap="square" lIns="36000" tIns="18000" rIns="36000" bIns="18000" anchor="ctr" anchorCtr="0">
                          <a:noAutofit/>
                        </wps:bodyPr>
                      </wps:wsp>
                      <wps:wsp>
                        <wps:cNvPr id="18" name="Connector 18"/>
                        <wps:cNvCnPr/>
                        <wps:spPr>
                          <a:xfrm flipH="1">
                            <a:off x="729000" y="360000"/>
                            <a:ext cx="2223000" cy="216000"/>
                          </a:xfrm>
                          <a:prstGeom prst="straightConnector1">
                            <a:avLst/>
                          </a:prstGeom>
                          <a:ln w="15875">
                            <a:solidFill>
                              <a:srgbClr val="404040"/>
                            </a:solidFill>
                            <a:tailEnd type="triangle" w="med" len="med"/>
                          </a:ln>
                        </wps:spPr>
                        <wps:bodyPr/>
                      </wps:wsp>
                      <wps:wsp>
                        <wps:cNvPr id="19" name="Shape 19"/>
                        <wps:cNvSpPr/>
                        <wps:spPr>
                          <a:xfrm>
                            <a:off x="36000" y="576000"/>
                            <a:ext cx="138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Resurs</w:t>
                              </w:r>
                            </w:p>
                            <w:p>
                              <w:pPr>
                                <w:spacing w:before="0" w:after="0" w:line="228" w:lineRule="auto"/>
                                <w:jc w:val="center"/>
                                <w:ind w:firstLine="0"/>
                              </w:pPr>
                              <w:r>
                                <w:rPr>
                                  <w:rFonts w:ascii="Times New Roman" w:hAnsi="Times New Roman" w:cs="Times New Roman"/>
                                  <w:b/>
                                  <w:color w:val="FFFFFF"/>
                                  <w:sz w:val="21"/>
                                  <w:szCs w:val="21"/>
                                </w:rPr>
                                <w:t xml:space="preserve">yondashuvi</w:t>
                              </w:r>
                            </w:p>
                          </w:txbxContent>
                        </wps:txbx>
                        <wps:bodyPr rot="0" vert="horz" wrap="square" lIns="36000" tIns="18000" rIns="36000" bIns="18000" anchor="ctr" anchorCtr="0">
                          <a:noAutofit/>
                        </wps:bodyPr>
                      </wps:wsp>
                      <wps:wsp>
                        <wps:cNvPr id="20" name="Shape 20"/>
                        <wps:cNvSpPr/>
                        <wps:spPr>
                          <a:xfrm>
                            <a:off x="36000" y="1026000"/>
                            <a:ext cx="1386000" cy="93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foyda,</w:t>
                              </w:r>
                            </w:p>
                            <w:p>
                              <w:pPr>
                                <w:spacing w:before="0" w:after="0" w:line="228" w:lineRule="auto"/>
                                <w:jc w:val="center"/>
                                <w:ind w:firstLine="0"/>
                              </w:pPr>
                              <w:r>
                                <w:rPr>
                                  <w:rFonts w:ascii="Times New Roman" w:hAnsi="Times New Roman" w:cs="Times New Roman"/>
                                  <w:color w:val="000000"/>
                                  <w:sz w:val="18"/>
                                  <w:szCs w:val="18"/>
                                </w:rPr>
                                <w:t xml:space="preserve">zaxiralarning</w:t>
                              </w:r>
                            </w:p>
                            <w:p>
                              <w:pPr>
                                <w:spacing w:before="0" w:after="0" w:line="228" w:lineRule="auto"/>
                                <w:jc w:val="center"/>
                                <w:ind w:firstLine="0"/>
                              </w:pPr>
                              <w:r>
                                <w:rPr>
                                  <w:rFonts w:ascii="Times New Roman" w:hAnsi="Times New Roman" w:cs="Times New Roman"/>
                                  <w:color w:val="000000"/>
                                  <w:sz w:val="18"/>
                                  <w:szCs w:val="18"/>
                                </w:rPr>
                                <w:t xml:space="preserve">barqaror o‘sishi</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(O.I. Lavrushin,</w:t>
                              </w:r>
                            </w:p>
                            <w:p>
                              <w:pPr>
                                <w:spacing w:before="0" w:after="0" w:line="228" w:lineRule="auto"/>
                                <w:jc w:val="center"/>
                                <w:ind w:firstLine="0"/>
                              </w:pPr>
                              <w:r>
                                <w:rPr>
                                  <w:rFonts w:ascii="Times New Roman" w:hAnsi="Times New Roman" w:cs="Times New Roman"/>
                                  <w:color w:val="000000"/>
                                  <w:sz w:val="18"/>
                                  <w:szCs w:val="18"/>
                                </w:rPr>
                                <w:t xml:space="preserve">I.D. Mamonova)</w:t>
                              </w:r>
                            </w:p>
                          </w:txbxContent>
                        </wps:txbx>
                        <wps:bodyPr rot="0" vert="horz" wrap="square" lIns="36000" tIns="18000" rIns="36000" bIns="18000" anchor="ctr" anchorCtr="0">
                          <a:noAutofit/>
                        </wps:bodyPr>
                      </wps:wsp>
                      <wps:wsp>
                        <wps:cNvPr id="21" name="Connector 21"/>
                        <wps:cNvCnPr/>
                        <wps:spPr>
                          <a:xfrm>
                            <a:off x="729000" y="1962000"/>
                            <a:ext cx="2223000" cy="198000"/>
                          </a:xfrm>
                          <a:prstGeom prst="straightConnector1">
                            <a:avLst/>
                          </a:prstGeom>
                          <a:ln w="12700">
                            <a:solidFill>
                              <a:srgbClr val="7F7F7F"/>
                            </a:solidFill>
                            <a:tailEnd type="triangle" w="med" len="med"/>
                          </a:ln>
                        </wps:spPr>
                        <wps:bodyPr/>
                      </wps:wsp>
                      <wps:wsp>
                        <wps:cNvPr id="22" name="Connector 22"/>
                        <wps:cNvCnPr/>
                        <wps:spPr>
                          <a:xfrm flipH="1">
                            <a:off x="2205000" y="360000"/>
                            <a:ext cx="747000" cy="216000"/>
                          </a:xfrm>
                          <a:prstGeom prst="straightConnector1">
                            <a:avLst/>
                          </a:prstGeom>
                          <a:ln w="15875">
                            <a:solidFill>
                              <a:srgbClr val="404040"/>
                            </a:solidFill>
                            <a:tailEnd type="triangle" w="med" len="med"/>
                          </a:ln>
                        </wps:spPr>
                        <wps:bodyPr/>
                      </wps:wsp>
                      <wps:wsp>
                        <wps:cNvPr id="23" name="Shape 23"/>
                        <wps:cNvSpPr/>
                        <wps:spPr>
                          <a:xfrm>
                            <a:off x="1512000" y="576000"/>
                            <a:ext cx="138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Institutsional-</w:t>
                              </w:r>
                            </w:p>
                            <w:p>
                              <w:pPr>
                                <w:spacing w:before="0" w:after="0" w:line="228" w:lineRule="auto"/>
                                <w:jc w:val="center"/>
                                <w:ind w:firstLine="0"/>
                              </w:pPr>
                              <w:r>
                                <w:rPr>
                                  <w:rFonts w:ascii="Times New Roman" w:hAnsi="Times New Roman" w:cs="Times New Roman"/>
                                  <w:b/>
                                  <w:color w:val="FFFFFF"/>
                                  <w:sz w:val="21"/>
                                  <w:szCs w:val="21"/>
                                </w:rPr>
                                <w:t xml:space="preserve">funksional</w:t>
                              </w:r>
                            </w:p>
                          </w:txbxContent>
                        </wps:txbx>
                        <wps:bodyPr rot="0" vert="horz" wrap="square" lIns="36000" tIns="18000" rIns="36000" bIns="18000" anchor="ctr" anchorCtr="0">
                          <a:noAutofit/>
                        </wps:bodyPr>
                      </wps:wsp>
                      <wps:wsp>
                        <wps:cNvPr id="24" name="Shape 24"/>
                        <wps:cNvSpPr/>
                        <wps:spPr>
                          <a:xfrm>
                            <a:off x="1512000" y="1026000"/>
                            <a:ext cx="1386000" cy="93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Vositachilik</w:t>
                              </w:r>
                            </w:p>
                            <w:p>
                              <w:pPr>
                                <w:spacing w:before="0" w:after="0" w:line="228" w:lineRule="auto"/>
                                <w:jc w:val="center"/>
                                <w:ind w:firstLine="0"/>
                              </w:pPr>
                              <w:r>
                                <w:rPr>
                                  <w:rFonts w:ascii="Times New Roman" w:hAnsi="Times New Roman" w:cs="Times New Roman"/>
                                  <w:color w:val="000000"/>
                                  <w:sz w:val="18"/>
                                  <w:szCs w:val="18"/>
                                </w:rPr>
                                <w:t xml:space="preserve">funksiyalarini</w:t>
                              </w:r>
                            </w:p>
                            <w:p>
                              <w:pPr>
                                <w:spacing w:before="0" w:after="0" w:line="228" w:lineRule="auto"/>
                                <w:jc w:val="center"/>
                                <w:ind w:firstLine="0"/>
                              </w:pPr>
                              <w:r>
                                <w:rPr>
                                  <w:rFonts w:ascii="Times New Roman" w:hAnsi="Times New Roman" w:cs="Times New Roman"/>
                                  <w:color w:val="000000"/>
                                  <w:sz w:val="18"/>
                                  <w:szCs w:val="18"/>
                                </w:rPr>
                                <w:t xml:space="preserve">uzluksiz bajarish</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(O.I. Lavrushin,</w:t>
                              </w:r>
                            </w:p>
                            <w:p>
                              <w:pPr>
                                <w:spacing w:before="0" w:after="0" w:line="228" w:lineRule="auto"/>
                                <w:jc w:val="center"/>
                                <w:ind w:firstLine="0"/>
                              </w:pPr>
                              <w:r>
                                <w:rPr>
                                  <w:rFonts w:ascii="Times New Roman" w:hAnsi="Times New Roman" w:cs="Times New Roman"/>
                                  <w:color w:val="000000"/>
                                  <w:sz w:val="18"/>
                                  <w:szCs w:val="18"/>
                                </w:rPr>
                                <w:t xml:space="preserve">G.J. Schinasi)</w:t>
                              </w:r>
                            </w:p>
                          </w:txbxContent>
                        </wps:txbx>
                        <wps:bodyPr rot="0" vert="horz" wrap="square" lIns="36000" tIns="18000" rIns="36000" bIns="18000" anchor="ctr" anchorCtr="0">
                          <a:noAutofit/>
                        </wps:bodyPr>
                      </wps:wsp>
                      <wps:wsp>
                        <wps:cNvPr id="25" name="Connector 25"/>
                        <wps:cNvCnPr/>
                        <wps:spPr>
                          <a:xfrm>
                            <a:off x="2205000" y="1962000"/>
                            <a:ext cx="747000" cy="198000"/>
                          </a:xfrm>
                          <a:prstGeom prst="straightConnector1">
                            <a:avLst/>
                          </a:prstGeom>
                          <a:ln w="12700">
                            <a:solidFill>
                              <a:srgbClr val="7F7F7F"/>
                            </a:solidFill>
                            <a:tailEnd type="triangle" w="med" len="med"/>
                          </a:ln>
                        </wps:spPr>
                        <wps:bodyPr/>
                      </wps:wsp>
                      <wps:wsp>
                        <wps:cNvPr id="26" name="Connector 26"/>
                        <wps:cNvCnPr/>
                        <wps:spPr>
                          <a:xfrm>
                            <a:off x="2952000" y="360000"/>
                            <a:ext cx="729000" cy="216000"/>
                          </a:xfrm>
                          <a:prstGeom prst="straightConnector1">
                            <a:avLst/>
                          </a:prstGeom>
                          <a:ln w="15875">
                            <a:solidFill>
                              <a:srgbClr val="404040"/>
                            </a:solidFill>
                            <a:tailEnd type="triangle" w="med" len="med"/>
                          </a:ln>
                        </wps:spPr>
                        <wps:bodyPr/>
                      </wps:wsp>
                      <wps:wsp>
                        <wps:cNvPr id="27" name="Shape 27"/>
                        <wps:cNvSpPr/>
                        <wps:spPr>
                          <a:xfrm>
                            <a:off x="2988000" y="576000"/>
                            <a:ext cx="1386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Ishonch</w:t>
                              </w:r>
                            </w:p>
                            <w:p>
                              <w:pPr>
                                <w:spacing w:before="0" w:after="0" w:line="228" w:lineRule="auto"/>
                                <w:jc w:val="center"/>
                                <w:ind w:firstLine="0"/>
                              </w:pPr>
                              <w:r>
                                <w:rPr>
                                  <w:rFonts w:ascii="Times New Roman" w:hAnsi="Times New Roman" w:cs="Times New Roman"/>
                                  <w:b/>
                                  <w:color w:val="000000"/>
                                  <w:sz w:val="21"/>
                                  <w:szCs w:val="21"/>
                                </w:rPr>
                                <w:t xml:space="preserve">yondashuvi</w:t>
                              </w:r>
                            </w:p>
                          </w:txbxContent>
                        </wps:txbx>
                        <wps:bodyPr rot="0" vert="horz" wrap="square" lIns="36000" tIns="18000" rIns="36000" bIns="18000" anchor="ctr" anchorCtr="0">
                          <a:noAutofit/>
                        </wps:bodyPr>
                      </wps:wsp>
                      <wps:wsp>
                        <wps:cNvPr id="28" name="Shape 28"/>
                        <wps:cNvSpPr/>
                        <wps:spPr>
                          <a:xfrm>
                            <a:off x="2988000" y="1026000"/>
                            <a:ext cx="1386000" cy="936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Tashqi yordamsiz</w:t>
                              </w:r>
                            </w:p>
                            <w:p>
                              <w:pPr>
                                <w:spacing w:before="0" w:after="0" w:line="228" w:lineRule="auto"/>
                                <w:jc w:val="center"/>
                                <w:ind w:firstLine="0"/>
                              </w:pPr>
                              <w:r>
                                <w:rPr>
                                  <w:rFonts w:ascii="Times New Roman" w:hAnsi="Times New Roman" w:cs="Times New Roman"/>
                                  <w:color w:val="000000"/>
                                  <w:sz w:val="18"/>
                                  <w:szCs w:val="18"/>
                                </w:rPr>
                                <w:t xml:space="preserve">yuqori ishonch</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(J.M. Hendrickson,</w:t>
                              </w:r>
                            </w:p>
                            <w:p>
                              <w:pPr>
                                <w:spacing w:before="0" w:after="0" w:line="228" w:lineRule="auto"/>
                                <w:jc w:val="center"/>
                                <w:ind w:firstLine="0"/>
                              </w:pPr>
                              <w:r>
                                <w:rPr>
                                  <w:rFonts w:ascii="Times New Roman" w:hAnsi="Times New Roman" w:cs="Times New Roman"/>
                                  <w:color w:val="000000"/>
                                  <w:sz w:val="18"/>
                                  <w:szCs w:val="18"/>
                                </w:rPr>
                                <w:t xml:space="preserve">A. Krokett)</w:t>
                              </w:r>
                            </w:p>
                          </w:txbxContent>
                        </wps:txbx>
                        <wps:bodyPr rot="0" vert="horz" wrap="square" lIns="36000" tIns="18000" rIns="36000" bIns="18000" anchor="ctr" anchorCtr="0">
                          <a:noAutofit/>
                        </wps:bodyPr>
                      </wps:wsp>
                      <wps:wsp>
                        <wps:cNvPr id="29" name="Connector 29"/>
                        <wps:cNvCnPr/>
                        <wps:spPr>
                          <a:xfrm flipH="1">
                            <a:off x="2952000" y="1962000"/>
                            <a:ext cx="729000" cy="198000"/>
                          </a:xfrm>
                          <a:prstGeom prst="straightConnector1">
                            <a:avLst/>
                          </a:prstGeom>
                          <a:ln w="12700">
                            <a:solidFill>
                              <a:srgbClr val="7F7F7F"/>
                            </a:solidFill>
                            <a:tailEnd type="triangle" w="med" len="med"/>
                          </a:ln>
                        </wps:spPr>
                        <wps:bodyPr/>
                      </wps:wsp>
                      <wps:wsp>
                        <wps:cNvPr id="30" name="Connector 30"/>
                        <wps:cNvCnPr/>
                        <wps:spPr>
                          <a:xfrm>
                            <a:off x="2952000" y="360000"/>
                            <a:ext cx="2205000" cy="216000"/>
                          </a:xfrm>
                          <a:prstGeom prst="straightConnector1">
                            <a:avLst/>
                          </a:prstGeom>
                          <a:ln w="15875">
                            <a:solidFill>
                              <a:srgbClr val="404040"/>
                            </a:solidFill>
                            <a:tailEnd type="triangle" w="med" len="med"/>
                          </a:ln>
                        </wps:spPr>
                        <wps:bodyPr/>
                      </wps:wsp>
                      <wps:wsp>
                        <wps:cNvPr id="31" name="Shape 31"/>
                        <wps:cNvSpPr/>
                        <wps:spPr>
                          <a:xfrm>
                            <a:off x="4464000" y="576000"/>
                            <a:ext cx="138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Risk va</w:t>
                              </w:r>
                            </w:p>
                            <w:p>
                              <w:pPr>
                                <w:spacing w:before="0" w:after="0" w:line="228" w:lineRule="auto"/>
                                <w:jc w:val="center"/>
                                <w:ind w:firstLine="0"/>
                              </w:pPr>
                              <w:r>
                                <w:rPr>
                                  <w:rFonts w:ascii="Times New Roman" w:hAnsi="Times New Roman" w:cs="Times New Roman"/>
                                  <w:b/>
                                  <w:color w:val="FFFFFF"/>
                                  <w:sz w:val="21"/>
                                  <w:szCs w:val="21"/>
                                </w:rPr>
                                <w:t xml:space="preserve">chidamlilik</w:t>
                              </w:r>
                            </w:p>
                          </w:txbxContent>
                        </wps:txbx>
                        <wps:bodyPr rot="0" vert="horz" wrap="square" lIns="36000" tIns="18000" rIns="36000" bIns="18000" anchor="ctr" anchorCtr="0">
                          <a:noAutofit/>
                        </wps:bodyPr>
                      </wps:wsp>
                      <wps:wsp>
                        <wps:cNvPr id="32" name="Shape 32"/>
                        <wps:cNvSpPr/>
                        <wps:spPr>
                          <a:xfrm>
                            <a:off x="4464000" y="1026000"/>
                            <a:ext cx="1386000" cy="93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va likvidlik</w:t>
                              </w:r>
                            </w:p>
                            <w:p>
                              <w:pPr>
                                <w:spacing w:before="0" w:after="0" w:line="228" w:lineRule="auto"/>
                                <w:jc w:val="center"/>
                                <w:ind w:firstLine="0"/>
                              </w:pPr>
                              <w:r>
                                <w:rPr>
                                  <w:rFonts w:ascii="Times New Roman" w:hAnsi="Times New Roman" w:cs="Times New Roman"/>
                                  <w:color w:val="000000"/>
                                  <w:sz w:val="18"/>
                                  <w:szCs w:val="18"/>
                                </w:rPr>
                                <w:t xml:space="preserve">buferlari, shoklarga</w:t>
                              </w:r>
                            </w:p>
                            <w:p>
                              <w:pPr>
                                <w:spacing w:before="0" w:after="0" w:line="228" w:lineRule="auto"/>
                                <w:jc w:val="center"/>
                                <w:ind w:firstLine="0"/>
                              </w:pPr>
                              <w:r>
                                <w:rPr>
                                  <w:rFonts w:ascii="Times New Roman" w:hAnsi="Times New Roman" w:cs="Times New Roman"/>
                                  <w:color w:val="000000"/>
                                  <w:sz w:val="18"/>
                                  <w:szCs w:val="18"/>
                                </w:rPr>
                                <w:t xml:space="preserve">chidamlilik</w:t>
                              </w:r>
                            </w:p>
                            <w:p>
                              <w:pPr>
                                <w:spacing w:before="0" w:after="0" w:line="228" w:lineRule="auto"/>
                                <w:jc w:val="center"/>
                                <w:ind w:firstLine="0"/>
                              </w:pPr>
                              <w:r>
                                <w:rPr>
                                  <w:rFonts w:ascii="Times New Roman" w:hAnsi="Times New Roman" w:cs="Times New Roman"/>
                                  <w:color w:val="000000"/>
                                  <w:sz w:val="18"/>
                                  <w:szCs w:val="18"/>
                                </w:rPr>
                                <w:t xml:space="preserve"/>
                              </w:r>
                            </w:p>
                            <w:p>
                              <w:pPr>
                                <w:spacing w:before="0" w:after="0" w:line="228" w:lineRule="auto"/>
                                <w:jc w:val="center"/>
                                <w:ind w:firstLine="0"/>
                              </w:pPr>
                              <w:r>
                                <w:rPr>
                                  <w:rFonts w:ascii="Times New Roman" w:hAnsi="Times New Roman" w:cs="Times New Roman"/>
                                  <w:color w:val="000000"/>
                                  <w:sz w:val="18"/>
                                  <w:szCs w:val="18"/>
                                </w:rPr>
                                <w:t xml:space="preserve">(Bazel qo‘mitasi,</w:t>
                              </w:r>
                            </w:p>
                            <w:p>
                              <w:pPr>
                                <w:spacing w:before="0" w:after="0" w:line="228" w:lineRule="auto"/>
                                <w:jc w:val="center"/>
                                <w:ind w:firstLine="0"/>
                              </w:pPr>
                              <w:r>
                                <w:rPr>
                                  <w:rFonts w:ascii="Times New Roman" w:hAnsi="Times New Roman" w:cs="Times New Roman"/>
                                  <w:color w:val="000000"/>
                                  <w:sz w:val="18"/>
                                  <w:szCs w:val="18"/>
                                </w:rPr>
                                <w:t xml:space="preserve">XVJ)</w:t>
                              </w:r>
                            </w:p>
                          </w:txbxContent>
                        </wps:txbx>
                        <wps:bodyPr rot="0" vert="horz" wrap="square" lIns="36000" tIns="18000" rIns="36000" bIns="18000" anchor="ctr" anchorCtr="0">
                          <a:noAutofit/>
                        </wps:bodyPr>
                      </wps:wsp>
                      <wps:wsp>
                        <wps:cNvPr id="33" name="Connector 33"/>
                        <wps:cNvCnPr/>
                        <wps:spPr>
                          <a:xfrm flipH="1">
                            <a:off x="2952000" y="1962000"/>
                            <a:ext cx="2205000" cy="198000"/>
                          </a:xfrm>
                          <a:prstGeom prst="straightConnector1">
                            <a:avLst/>
                          </a:prstGeom>
                          <a:ln w="12700">
                            <a:solidFill>
                              <a:srgbClr val="7F7F7F"/>
                            </a:solidFill>
                            <a:tailEnd type="triangle" w="med" len="med"/>
                          </a:ln>
                        </wps:spPr>
                        <wps:bodyPr/>
                      </wps:wsp>
                      <wps:wsp>
                        <wps:cNvPr id="34" name="Shape 34"/>
                        <wps:cNvSpPr/>
                        <wps:spPr>
                          <a:xfrm>
                            <a:off x="972000" y="2160000"/>
                            <a:ext cx="3960000" cy="324000"/>
                          </a:xfrm>
                          <a:prstGeom prst="roundRect">
                            <a:avLst>
                              <a:gd name="adj" fmla="val 10000"/>
                            </a:avLst>
                          </a:prstGeom>
                          <a:solidFill>
                            <a:srgbClr val="DEEBF7"/>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Integral yondashuv: daraja + dinamika + muvozanat</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1.1.2-rasm. Moliyaviy barqarorlik tushunchasini talqin qilishdagi asosiy yondashuvlar</w:t>
      </w:r>
      <w:r>
        <w:rPr>
          <w:rStyle w:val="FootnoteReference"/>
        </w:rPr>
        <w:footnoteReference w:id="75"/>
      </w:r>
    </w:p>
    <w:p>
      <w:pPr>
        <w:pStyle w:val="BodyText"/>
        <w:spacing w:line="360" w:lineRule="auto" w:before="0" w:after="0"/>
        <w:ind w:firstLine="709"/>
        <w:jc w:val="both"/>
      </w:pPr>
      <w:r>
        <w:rPr>
          <w:rFonts w:ascii="Times New Roman" w:hAnsi="Times New Roman" w:cs="Times New Roman" w:eastAsia="Times New Roman"/>
          <w:sz w:val="28"/>
        </w:rPr>
        <w:t xml:space="preserve">Rasmda keltirilgan yondashuvlar bir-birini inkor etmaydi, balki barqarorlikning turli qirralarini yoritadi. Resurs yondashuvi barqarorlikning moddiy asosini, institutsional-funksional yondashuv uning ijtimoiy mazmunini, ishonch yondashuvi bozor ishtirokchilarining xulq-atvorini, risk va chidamlilik yondashuvi esa uni o‘lchash imkoniyatini ko‘rsatadi. Ta’kidlash lozimki, aynan to‘rtinchi yondashuv Bazel qo‘mitasi standartlari va Xalqaro valyuta jamg‘armasining moliyaviy barqarorlik ko‘rsatkichlari tizimiga asos bo‘lgan. Biroq u ham alohida olinganda yetarli emas: kapital va likvidlik me’yorlari bajarilgan bank ham ishonch yo‘qolgan sharoitda inqirozga uchrashi mumkinligini 2023-yilgi AQSh bank inqirozi yaqqol ko‘rsatdi.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barqarorlikning mazmunini to‘liq ochish uchun uning darajalarini ham farqlash zarur. Odatda uch daraja ajratiladi: alohida bank, bank tizimi (bank sektori) va butun moliya tizimi. O.I. Lavrushin va I.D. Mamonova bank tizimining barqarorligi alohida banklar barqarorligining oddiy yig‘indisi emasligini ta’kidlaydi. Ularning fikricha, bank uchun tashqi bo‘lgan omil tizim uchun ichki omil bo‘ladi, agregat ko‘rsatkichlar esa «bank sektori»ga tegishli, chunki bank tizimi tarkibiga markaziy bank ham kiradi</w:t>
      </w:r>
      <w:r>
        <w:rPr>
          <w:rStyle w:val="FootnoteReference"/>
        </w:rPr>
        <w:footnoteReference w:id="76"/>
      </w:r>
      <w:r>
        <w:rPr>
          <w:rFonts w:ascii="Times New Roman" w:hAnsi="Times New Roman" w:cs="Times New Roman" w:eastAsia="Times New Roman"/>
          <w:sz w:val="28"/>
        </w:rPr>
        <w:t xml:space="preserve">. Ushbu darajalar va ular o‘rtasidagi bog‘liqlik 1.1.3-rasmda ko‘rsatildi.</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1926000"/>
                <wp:effectExtent l="0" t="0" r="0" b="0"/>
                <wp:docPr id="3" name="1.1.3-rasm"/>
                <wp:cNvGraphicFramePr/>
                <a:graphic>
                  <a:graphicData uri="http://schemas.microsoft.com/office/word/2010/wordprocessingGroup">
                    <wpg:wgp>
                      <wpg:cNvGrpSpPr/>
                      <wpg:grpSpPr>
                        <a:xfrm>
                          <a:off x="0" y="0"/>
                          <a:ext cx="5904000" cy="1926000"/>
                          <a:chOff x="0" y="0"/>
                          <a:chExt cx="5904000" cy="1926000"/>
                        </a:xfrm>
                      </wpg:grpSpPr>
                      <wps:wsp>
                        <wps:cNvPr id="35" name="Shape 35"/>
                        <wps:cNvSpPr/>
                        <wps:spPr>
                          <a:xfrm>
                            <a:off x="36000" y="36000"/>
                            <a:ext cx="5832000" cy="36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Moliya tizimi: banklar, nobank moliya tashkilotlari, moliya bozorlari, infratuzilma</w:t>
                              </w:r>
                            </w:p>
                          </w:txbxContent>
                        </wps:txbx>
                        <wps:bodyPr rot="0" vert="horz" wrap="square" lIns="36000" tIns="18000" rIns="36000" bIns="18000" anchor="ctr" anchorCtr="0">
                          <a:noAutofit/>
                        </wps:bodyPr>
                      </wps:wsp>
                      <wps:wsp>
                        <wps:cNvPr id="36" name="Shape 36"/>
                        <wps:cNvSpPr/>
                        <wps:spPr>
                          <a:xfrm>
                            <a:off x="720000" y="522000"/>
                            <a:ext cx="4464000" cy="36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Bank tizimi (bank sektori): Markaziy bank va tijorat banklari</w:t>
                              </w:r>
                            </w:p>
                          </w:txbxContent>
                        </wps:txbx>
                        <wps:bodyPr rot="0" vert="horz" wrap="square" lIns="36000" tIns="18000" rIns="36000" bIns="18000" anchor="ctr" anchorCtr="0">
                          <a:noAutofit/>
                        </wps:bodyPr>
                      </wps:wsp>
                      <wps:wsp>
                        <wps:cNvPr id="37" name="Shape 37"/>
                        <wps:cNvSpPr/>
                        <wps:spPr>
                          <a:xfrm>
                            <a:off x="1404000" y="1008000"/>
                            <a:ext cx="3096000" cy="360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Alohida tijorat banki</w:t>
                              </w:r>
                            </w:p>
                          </w:txbxContent>
                        </wps:txbx>
                        <wps:bodyPr rot="0" vert="horz" wrap="square" lIns="36000" tIns="18000" rIns="36000" bIns="18000" anchor="ctr" anchorCtr="0">
                          <a:noAutofit/>
                        </wps:bodyPr>
                      </wps:wsp>
                      <wps:wsp>
                        <wps:cNvPr id="38" name="Connector 38"/>
                        <wps:cNvCnPr/>
                        <wps:spPr>
                          <a:xfrm>
                            <a:off x="5256000" y="396000"/>
                            <a:ext cx="0" cy="1008000"/>
                          </a:xfrm>
                          <a:prstGeom prst="straightConnector1">
                            <a:avLst/>
                          </a:prstGeom>
                          <a:ln w="28575">
                            <a:solidFill>
                              <a:srgbClr val="EB6834"/>
                            </a:solidFill>
                            <a:tailEnd type="triangle" w="med" len="med"/>
                          </a:ln>
                        </wps:spPr>
                        <wps:bodyPr/>
                      </wps:wsp>
                      <wps:wsp>
                        <wps:cNvPr id="39" name="Shape 39"/>
                        <wps:cNvSpPr/>
                        <wps:spPr>
                          <a:xfrm>
                            <a:off x="4680000" y="1440000"/>
                            <a:ext cx="1188000" cy="432000"/>
                          </a:xfrm>
                          <a:prstGeom prst="roundRect">
                            <a:avLst>
                              <a:gd name="adj" fmla="val 10000"/>
                            </a:avLst>
                          </a:prstGeom>
                          <a:solidFill>
                            <a:srgbClr val="FBE5D6"/>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Makroshoklar,</w:t>
                              </w:r>
                            </w:p>
                            <w:p>
                              <w:pPr>
                                <w:spacing w:before="0" w:after="0" w:line="228" w:lineRule="auto"/>
                                <w:jc w:val="center"/>
                                <w:ind w:firstLine="0"/>
                              </w:pPr>
                              <w:r>
                                <w:rPr>
                                  <w:rFonts w:ascii="Times New Roman" w:hAnsi="Times New Roman" w:cs="Times New Roman"/>
                                  <w:color w:val="000000"/>
                                  <w:sz w:val="18"/>
                                  <w:szCs w:val="18"/>
                                </w:rPr>
                                <w:t xml:space="preserve">umumiy risklar</w:t>
                              </w:r>
                            </w:p>
                          </w:txbxContent>
                        </wps:txbx>
                        <wps:bodyPr rot="0" vert="horz" wrap="square" lIns="36000" tIns="18000" rIns="36000" bIns="18000" anchor="ctr" anchorCtr="0">
                          <a:noAutofit/>
                        </wps:bodyPr>
                      </wps:wsp>
                      <wps:wsp>
                        <wps:cNvPr id="40" name="Connector 40"/>
                        <wps:cNvCnPr/>
                        <wps:spPr>
                          <a:xfrm flipV="1">
                            <a:off x="648000" y="396000"/>
                            <a:ext cx="0" cy="972000"/>
                          </a:xfrm>
                          <a:prstGeom prst="straightConnector1">
                            <a:avLst/>
                          </a:prstGeom>
                          <a:ln w="28575">
                            <a:solidFill>
                              <a:srgbClr val="70AD47"/>
                            </a:solidFill>
                            <a:tailEnd type="triangle" w="med" len="med"/>
                          </a:ln>
                        </wps:spPr>
                        <wps:bodyPr/>
                      </wps:wsp>
                      <wps:wsp>
                        <wps:cNvPr id="41" name="Shape 41"/>
                        <wps:cNvSpPr/>
                        <wps:spPr>
                          <a:xfrm>
                            <a:off x="36000" y="1440000"/>
                            <a:ext cx="1224000" cy="432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Zararlanish,</w:t>
                              </w:r>
                            </w:p>
                            <w:p>
                              <w:pPr>
                                <w:spacing w:before="0" w:after="0" w:line="228" w:lineRule="auto"/>
                                <w:jc w:val="center"/>
                                <w:ind w:firstLine="0"/>
                              </w:pPr>
                              <w:r>
                                <w:rPr>
                                  <w:rFonts w:ascii="Times New Roman" w:hAnsi="Times New Roman" w:cs="Times New Roman"/>
                                  <w:color w:val="000000"/>
                                  <w:sz w:val="18"/>
                                  <w:szCs w:val="18"/>
                                </w:rPr>
                                <w:t xml:space="preserve">tizimli risk</w:t>
                              </w:r>
                            </w:p>
                          </w:txbxContent>
                        </wps:txbx>
                        <wps:bodyPr rot="0" vert="horz" wrap="square" lIns="36000" tIns="18000" rIns="36000" bIns="18000" anchor="ctr" anchorCtr="0">
                          <a:noAutofit/>
                        </wps:bodyPr>
                      </wps:wsp>
                      <wps:wsp>
                        <wps:cNvPr id="42" name="Shape 42"/>
                        <wps:cNvSpPr/>
                        <wps:spPr>
                          <a:xfrm>
                            <a:off x="1404000" y="1512000"/>
                            <a:ext cx="3096000" cy="360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Tizim ≠ banklarning oddiy yig‘indisi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1.1.3-rasm. Moliyaviy barqarorlik darajalari va ularning o‘zaro ta’siri</w:t>
      </w:r>
      <w:r>
        <w:rPr>
          <w:rStyle w:val="FootnoteReference"/>
        </w:rPr>
        <w:footnoteReference w:id="77"/>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darajalar o‘rtasidagi ta’sir ikki yo‘nalishda kechadi. Bir tomondan, alohida, ayniqsa, tizimli ahamiyatga ega bankdagi muammo zararlanish orqali butun tizimga tarqalishi mumkin. O.N. Afanasyeva va S.E. Dubova tizimli riskning uchta belgisini ko‘rsatadi: moliyaviy xizmatlar ko‘rsatilishining uzilishi, tizimning katta qismini qamrab olishi va shokning zararlanish orqali boshqa institutlarga uzatilishi</w:t>
      </w:r>
      <w:r>
        <w:rPr>
          <w:rStyle w:val="FootnoteReference"/>
        </w:rPr>
        <w:footnoteReference w:id="78"/>
      </w:r>
      <w:r>
        <w:rPr>
          <w:rFonts w:ascii="Times New Roman" w:hAnsi="Times New Roman" w:cs="Times New Roman" w:eastAsia="Times New Roman"/>
          <w:sz w:val="28"/>
        </w:rPr>
        <w:t xml:space="preserve">. Boshqa tomondan, makroiqtisodiy shoklar, valyuta kursining keskin o‘zgarishi yoki ko‘chmas mulk narxlarining tushishi bir vaqtning o‘zida ko‘plab banklarga ta’sir qiladi. Shu sababli alohida bank barqarorligini baholash metodikasi makroiqtisodiy muhit va tizimli risklarni ham hisobga olishi lozim.</w:t>
      </w:r>
    </w:p>
    <w:p>
      <w:pPr>
        <w:pStyle w:val="BodyText"/>
        <w:spacing w:line="360" w:lineRule="auto" w:before="0" w:after="0"/>
        <w:ind w:firstLine="709"/>
        <w:jc w:val="both"/>
      </w:pPr>
      <w:r>
        <w:rPr>
          <w:rFonts w:ascii="Times New Roman" w:hAnsi="Times New Roman" w:cs="Times New Roman" w:eastAsia="Times New Roman"/>
          <w:sz w:val="28"/>
        </w:rPr>
        <w:t xml:space="preserve">Barqarorlik darajalari aniqlangach, uning belgilarini ham belgilab olish kerak, chunki aynan belgilar keyinchalik baholash ko‘rsatkichlariga aylanadi. O.I. Lavrushin va I.D. Mamonova moliyaviy barqaror bankning belgilari sifatida moliyaviy faoliyatning uzluksiz ijobiy dinamikasini, kapital, zaxiralar va foydaning muvozanatli o‘sishini, faoliyat sifatining yaxshilanishini, bir tekis rivojlanishni, diversifikatsiyani, aktiv va passivlar muddatlarining mosligini, majburiyatlarning o‘z vaqtida bajarilishini hamda obro‘ va shaffoflikni ko‘rsatadi</w:t>
      </w:r>
      <w:r>
        <w:rPr>
          <w:rStyle w:val="FootnoteReference"/>
        </w:rPr>
        <w:footnoteReference w:id="79"/>
      </w:r>
      <w:r>
        <w:rPr>
          <w:rFonts w:ascii="Times New Roman" w:hAnsi="Times New Roman" w:cs="Times New Roman" w:eastAsia="Times New Roman"/>
          <w:sz w:val="28"/>
        </w:rPr>
        <w:t xml:space="preserve">. E’tiborli jihati shundaki, mualliflar inqirozdan keyingi bir martalik o‘sishni barqarorlik belgisi deb hisoblamaydi, keskin o‘sishni esa xavfli deb biladi. Bu fikr baholash metodikasi uchun muhim: ko‘rsatkichning yuqori darajasi emas, balki uning barqaror va muvozanatli dinamikasi ijobiy baholanishi kerak.</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barqarorlikka ta’sir etuvchi omillar masalasida ham iqtisodchilar o‘rtasida umumiy yondashuv shakllangan bo‘lib, ular odatda tashqi va ichki omillarga ajratiladi. O.I. Lavrushin va I.D. Mamonova o‘nta tashqi va to‘qqizta ichki omilni ajratadi</w:t>
      </w:r>
      <w:r>
        <w:rPr>
          <w:rStyle w:val="FootnoteReference"/>
        </w:rPr>
        <w:footnoteReference w:id="80"/>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(1.1.4-rasm).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610000"/>
                <wp:effectExtent l="0" t="0" r="0" b="0"/>
                <wp:docPr id="4" name="1.1.4-rasm"/>
                <wp:cNvGraphicFramePr/>
                <a:graphic>
                  <a:graphicData uri="http://schemas.microsoft.com/office/word/2010/wordprocessingGroup">
                    <wpg:wgp>
                      <wpg:cNvGrpSpPr/>
                      <wpg:grpSpPr>
                        <a:xfrm>
                          <a:off x="0" y="0"/>
                          <a:ext cx="5904000" cy="2610000"/>
                          <a:chOff x="0" y="0"/>
                          <a:chExt cx="5904000" cy="2610000"/>
                        </a:xfrm>
                      </wpg:grpSpPr>
                      <wps:wsp>
                        <wps:cNvPr id="43" name="Shape 43"/>
                        <wps:cNvSpPr/>
                        <wps:spPr>
                          <a:xfrm>
                            <a:off x="1692000" y="36000"/>
                            <a:ext cx="2520000" cy="324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Moliyaviy barqarorlik omillari</w:t>
                              </w:r>
                            </w:p>
                          </w:txbxContent>
                        </wps:txbx>
                        <wps:bodyPr rot="0" vert="horz" wrap="square" lIns="36000" tIns="18000" rIns="36000" bIns="18000" anchor="ctr" anchorCtr="0">
                          <a:noAutofit/>
                        </wps:bodyPr>
                      </wps:wsp>
                      <wps:wsp>
                        <wps:cNvPr id="44" name="Connector 44"/>
                        <wps:cNvCnPr/>
                        <wps:spPr>
                          <a:xfrm flipH="1">
                            <a:off x="1458000" y="360000"/>
                            <a:ext cx="1494000" cy="198000"/>
                          </a:xfrm>
                          <a:prstGeom prst="straightConnector1">
                            <a:avLst/>
                          </a:prstGeom>
                          <a:ln w="15875">
                            <a:solidFill>
                              <a:srgbClr val="404040"/>
                            </a:solidFill>
                            <a:tailEnd type="triangle" w="med" len="med"/>
                          </a:ln>
                        </wps:spPr>
                        <wps:bodyPr/>
                      </wps:wsp>
                      <wps:wsp>
                        <wps:cNvPr id="45" name="Shape 45"/>
                        <wps:cNvSpPr/>
                        <wps:spPr>
                          <a:xfrm>
                            <a:off x="36000" y="558000"/>
                            <a:ext cx="2844000" cy="30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Tashqi omillar (10)</w:t>
                              </w:r>
                            </w:p>
                          </w:txbxContent>
                        </wps:txbx>
                        <wps:bodyPr rot="0" vert="horz" wrap="square" lIns="36000" tIns="18000" rIns="36000" bIns="18000" anchor="ctr" anchorCtr="0">
                          <a:noAutofit/>
                        </wps:bodyPr>
                      </wps:wsp>
                      <wps:wsp>
                        <wps:cNvPr id="46" name="Shape 46"/>
                        <wps:cNvSpPr/>
                        <wps:spPr>
                          <a:xfrm>
                            <a:off x="36000" y="900000"/>
                            <a:ext cx="2844000" cy="1656000"/>
                          </a:xfrm>
                          <a:prstGeom prst="roundRect">
                            <a:avLst>
                              <a:gd name="adj" fmla="val 10000"/>
                            </a:avLst>
                          </a:prstGeom>
                          <a:solidFill>
                            <a:srgbClr val="F2F2F2"/>
                          </a:solidFill>
                          <a:ln w="12700">
                            <a:solidFill>
                              <a:srgbClr val="EB6834"/>
                            </a:solidFill>
                          </a:ln>
                        </wps:spPr>
                        <wps:txbx>
                          <w:txbxContent>
                            <w:p>
                              <w:pPr>
                                <w:spacing w:before="0" w:after="0" w:line="228" w:lineRule="auto"/>
                                <w:jc w:val="left"/>
                                <w:ind w:firstLine="0"/>
                              </w:pPr>
                              <w:r>
                                <w:rPr>
                                  <w:rFonts w:ascii="Times New Roman" w:hAnsi="Times New Roman" w:cs="Times New Roman"/>
                                  <w:color w:val="000000"/>
                                  <w:sz w:val="19"/>
                                  <w:szCs w:val="19"/>
                                </w:rPr>
                                <w:t xml:space="preserve">1. Makroiqtisodiy holat</w:t>
                              </w:r>
                            </w:p>
                            <w:p>
                              <w:pPr>
                                <w:spacing w:before="0" w:after="0" w:line="228" w:lineRule="auto"/>
                                <w:jc w:val="left"/>
                                <w:ind w:firstLine="0"/>
                              </w:pPr>
                              <w:r>
                                <w:rPr>
                                  <w:rFonts w:ascii="Times New Roman" w:hAnsi="Times New Roman" w:cs="Times New Roman"/>
                                  <w:color w:val="000000"/>
                                  <w:sz w:val="19"/>
                                  <w:szCs w:val="19"/>
                                </w:rPr>
                                <w:t xml:space="preserve">2. Davlatning maqsadli mo‘ljallari</w:t>
                              </w:r>
                            </w:p>
                            <w:p>
                              <w:pPr>
                                <w:spacing w:before="0" w:after="0" w:line="228" w:lineRule="auto"/>
                                <w:jc w:val="left"/>
                                <w:ind w:firstLine="0"/>
                              </w:pPr>
                              <w:r>
                                <w:rPr>
                                  <w:rFonts w:ascii="Times New Roman" w:hAnsi="Times New Roman" w:cs="Times New Roman"/>
                                  <w:color w:val="000000"/>
                                  <w:sz w:val="19"/>
                                  <w:szCs w:val="19"/>
                                </w:rPr>
                                <w:t xml:space="preserve">3. Talab va to‘lov qobiliyati</w:t>
                              </w:r>
                            </w:p>
                            <w:p>
                              <w:pPr>
                                <w:spacing w:before="0" w:after="0" w:line="228" w:lineRule="auto"/>
                                <w:jc w:val="left"/>
                                <w:ind w:firstLine="0"/>
                              </w:pPr>
                              <w:r>
                                <w:rPr>
                                  <w:rFonts w:ascii="Times New Roman" w:hAnsi="Times New Roman" w:cs="Times New Roman"/>
                                  <w:color w:val="000000"/>
                                  <w:sz w:val="19"/>
                                  <w:szCs w:val="19"/>
                                </w:rPr>
                                <w:t xml:space="preserve">4. Pul bozori holati</w:t>
                              </w:r>
                            </w:p>
                            <w:p>
                              <w:pPr>
                                <w:spacing w:before="0" w:after="0" w:line="228" w:lineRule="auto"/>
                                <w:jc w:val="left"/>
                                <w:ind w:firstLine="0"/>
                              </w:pPr>
                              <w:r>
                                <w:rPr>
                                  <w:rFonts w:ascii="Times New Roman" w:hAnsi="Times New Roman" w:cs="Times New Roman"/>
                                  <w:color w:val="000000"/>
                                  <w:sz w:val="19"/>
                                  <w:szCs w:val="19"/>
                                </w:rPr>
                                <w:t xml:space="preserve">5. Pul muomalasi va inflyatsiya</w:t>
                              </w:r>
                            </w:p>
                            <w:p>
                              <w:pPr>
                                <w:spacing w:before="0" w:after="0" w:line="228" w:lineRule="auto"/>
                                <w:jc w:val="left"/>
                                <w:ind w:firstLine="0"/>
                              </w:pPr>
                              <w:r>
                                <w:rPr>
                                  <w:rFonts w:ascii="Times New Roman" w:hAnsi="Times New Roman" w:cs="Times New Roman"/>
                                  <w:color w:val="000000"/>
                                  <w:sz w:val="19"/>
                                  <w:szCs w:val="19"/>
                                </w:rPr>
                                <w:t xml:space="preserve">6. Raqobat</w:t>
                              </w:r>
                            </w:p>
                            <w:p>
                              <w:pPr>
                                <w:spacing w:before="0" w:after="0" w:line="228" w:lineRule="auto"/>
                                <w:jc w:val="left"/>
                                <w:ind w:firstLine="0"/>
                              </w:pPr>
                              <w:r>
                                <w:rPr>
                                  <w:rFonts w:ascii="Times New Roman" w:hAnsi="Times New Roman" w:cs="Times New Roman"/>
                                  <w:color w:val="000000"/>
                                  <w:sz w:val="19"/>
                                  <w:szCs w:val="19"/>
                                </w:rPr>
                                <w:t xml:space="preserve">7. Bank tizimining holati</w:t>
                              </w:r>
                            </w:p>
                            <w:p>
                              <w:pPr>
                                <w:spacing w:before="0" w:after="0" w:line="228" w:lineRule="auto"/>
                                <w:jc w:val="left"/>
                                <w:ind w:firstLine="0"/>
                              </w:pPr>
                              <w:r>
                                <w:rPr>
                                  <w:rFonts w:ascii="Times New Roman" w:hAnsi="Times New Roman" w:cs="Times New Roman"/>
                                  <w:color w:val="000000"/>
                                  <w:sz w:val="19"/>
                                  <w:szCs w:val="19"/>
                                </w:rPr>
                                <w:t xml:space="preserve">8. Qonunchilik</w:t>
                              </w:r>
                            </w:p>
                            <w:p>
                              <w:pPr>
                                <w:spacing w:before="0" w:after="0" w:line="228" w:lineRule="auto"/>
                                <w:jc w:val="left"/>
                                <w:ind w:firstLine="0"/>
                              </w:pPr>
                              <w:r>
                                <w:rPr>
                                  <w:rFonts w:ascii="Times New Roman" w:hAnsi="Times New Roman" w:cs="Times New Roman"/>
                                  <w:color w:val="000000"/>
                                  <w:sz w:val="19"/>
                                  <w:szCs w:val="19"/>
                                </w:rPr>
                                <w:t xml:space="preserve">9. Infratuzilma</w:t>
                              </w:r>
                            </w:p>
                            <w:p>
                              <w:pPr>
                                <w:spacing w:before="0" w:after="0" w:line="228" w:lineRule="auto"/>
                                <w:jc w:val="left"/>
                                <w:ind w:firstLine="0"/>
                              </w:pPr>
                              <w:r>
                                <w:rPr>
                                  <w:rFonts w:ascii="Times New Roman" w:hAnsi="Times New Roman" w:cs="Times New Roman"/>
                                  <w:color w:val="000000"/>
                                  <w:sz w:val="19"/>
                                  <w:szCs w:val="19"/>
                                </w:rPr>
                                <w:t xml:space="preserve">10. Ishonch (fundamental omil)</w:t>
                              </w:r>
                            </w:p>
                          </w:txbxContent>
                        </wps:txbx>
                        <wps:bodyPr rot="0" vert="horz" wrap="square" lIns="36000" tIns="18000" rIns="36000" bIns="18000" anchor="ctr" anchorCtr="0">
                          <a:noAutofit/>
                        </wps:bodyPr>
                      </wps:wsp>
                      <wps:wsp>
                        <wps:cNvPr id="47" name="Connector 47"/>
                        <wps:cNvCnPr/>
                        <wps:spPr>
                          <a:xfrm>
                            <a:off x="2952000" y="360000"/>
                            <a:ext cx="1476000" cy="198000"/>
                          </a:xfrm>
                          <a:prstGeom prst="straightConnector1">
                            <a:avLst/>
                          </a:prstGeom>
                          <a:ln w="15875">
                            <a:solidFill>
                              <a:srgbClr val="404040"/>
                            </a:solidFill>
                            <a:tailEnd type="triangle" w="med" len="med"/>
                          </a:ln>
                        </wps:spPr>
                        <wps:bodyPr/>
                      </wps:wsp>
                      <wps:wsp>
                        <wps:cNvPr id="48" name="Shape 48"/>
                        <wps:cNvSpPr/>
                        <wps:spPr>
                          <a:xfrm>
                            <a:off x="3006000" y="558000"/>
                            <a:ext cx="2844000" cy="30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Ichki omillar (9)</w:t>
                              </w:r>
                            </w:p>
                          </w:txbxContent>
                        </wps:txbx>
                        <wps:bodyPr rot="0" vert="horz" wrap="square" lIns="36000" tIns="18000" rIns="36000" bIns="18000" anchor="ctr" anchorCtr="0">
                          <a:noAutofit/>
                        </wps:bodyPr>
                      </wps:wsp>
                      <wps:wsp>
                        <wps:cNvPr id="49" name="Shape 49"/>
                        <wps:cNvSpPr/>
                        <wps:spPr>
                          <a:xfrm>
                            <a:off x="3006000" y="900000"/>
                            <a:ext cx="2844000" cy="1656000"/>
                          </a:xfrm>
                          <a:prstGeom prst="roundRect">
                            <a:avLst>
                              <a:gd name="adj" fmla="val 10000"/>
                            </a:avLst>
                          </a:prstGeom>
                          <a:solidFill>
                            <a:srgbClr val="F2F2F2"/>
                          </a:solidFill>
                          <a:ln w="12700">
                            <a:solidFill>
                              <a:srgbClr val="70AD47"/>
                            </a:solidFill>
                          </a:ln>
                        </wps:spPr>
                        <wps:txbx>
                          <w:txbxContent>
                            <w:p>
                              <w:pPr>
                                <w:spacing w:before="0" w:after="0" w:line="228" w:lineRule="auto"/>
                                <w:jc w:val="left"/>
                                <w:ind w:firstLine="0"/>
                              </w:pPr>
                              <w:r>
                                <w:rPr>
                                  <w:rFonts w:ascii="Times New Roman" w:hAnsi="Times New Roman" w:cs="Times New Roman"/>
                                  <w:color w:val="000000"/>
                                  <w:sz w:val="19"/>
                                  <w:szCs w:val="19"/>
                                </w:rPr>
                                <w:t xml:space="preserve">1. Strategiya va prognozlash</w:t>
                              </w:r>
                            </w:p>
                            <w:p>
                              <w:pPr>
                                <w:spacing w:before="0" w:after="0" w:line="228" w:lineRule="auto"/>
                                <w:jc w:val="left"/>
                                <w:ind w:firstLine="0"/>
                              </w:pPr>
                              <w:r>
                                <w:rPr>
                                  <w:rFonts w:ascii="Times New Roman" w:hAnsi="Times New Roman" w:cs="Times New Roman"/>
                                  <w:color w:val="000000"/>
                                  <w:sz w:val="19"/>
                                  <w:szCs w:val="19"/>
                                </w:rPr>
                                <w:t xml:space="preserve">2. Miqdor va sifat ko‘rsatkichlari o‘sishi</w:t>
                              </w:r>
                            </w:p>
                            <w:p>
                              <w:pPr>
                                <w:spacing w:before="0" w:after="0" w:line="228" w:lineRule="auto"/>
                                <w:jc w:val="left"/>
                                <w:ind w:firstLine="0"/>
                              </w:pPr>
                              <w:r>
                                <w:rPr>
                                  <w:rFonts w:ascii="Times New Roman" w:hAnsi="Times New Roman" w:cs="Times New Roman"/>
                                  <w:color w:val="000000"/>
                                  <w:sz w:val="19"/>
                                  <w:szCs w:val="19"/>
                                </w:rPr>
                                <w:t xml:space="preserve">3. Resurslarni jalb qilish va likvidlik</w:t>
                              </w:r>
                            </w:p>
                            <w:p>
                              <w:pPr>
                                <w:spacing w:before="0" w:after="0" w:line="228" w:lineRule="auto"/>
                                <w:jc w:val="left"/>
                                <w:ind w:firstLine="0"/>
                              </w:pPr>
                              <w:r>
                                <w:rPr>
                                  <w:rFonts w:ascii="Times New Roman" w:hAnsi="Times New Roman" w:cs="Times New Roman"/>
                                  <w:color w:val="000000"/>
                                  <w:sz w:val="19"/>
                                  <w:szCs w:val="19"/>
                                </w:rPr>
                                <w:t xml:space="preserve">4. Risklarga qarshi tura olish</w:t>
                              </w:r>
                            </w:p>
                            <w:p>
                              <w:pPr>
                                <w:spacing w:before="0" w:after="0" w:line="228" w:lineRule="auto"/>
                                <w:jc w:val="left"/>
                                <w:ind w:firstLine="0"/>
                              </w:pPr>
                              <w:r>
                                <w:rPr>
                                  <w:rFonts w:ascii="Times New Roman" w:hAnsi="Times New Roman" w:cs="Times New Roman"/>
                                  <w:color w:val="000000"/>
                                  <w:sz w:val="19"/>
                                  <w:szCs w:val="19"/>
                                </w:rPr>
                                <w:t xml:space="preserve">5. Xarajatlarni tejash</w:t>
                              </w:r>
                            </w:p>
                            <w:p>
                              <w:pPr>
                                <w:spacing w:before="0" w:after="0" w:line="228" w:lineRule="auto"/>
                                <w:jc w:val="left"/>
                                <w:ind w:firstLine="0"/>
                              </w:pPr>
                              <w:r>
                                <w:rPr>
                                  <w:rFonts w:ascii="Times New Roman" w:hAnsi="Times New Roman" w:cs="Times New Roman"/>
                                  <w:color w:val="000000"/>
                                  <w:sz w:val="19"/>
                                  <w:szCs w:val="19"/>
                                </w:rPr>
                                <w:t xml:space="preserve">6. Ichki infratuzilma va kadrlar</w:t>
                              </w:r>
                            </w:p>
                            <w:p>
                              <w:pPr>
                                <w:spacing w:before="0" w:after="0" w:line="228" w:lineRule="auto"/>
                                <w:jc w:val="left"/>
                                <w:ind w:firstLine="0"/>
                              </w:pPr>
                              <w:r>
                                <w:rPr>
                                  <w:rFonts w:ascii="Times New Roman" w:hAnsi="Times New Roman" w:cs="Times New Roman"/>
                                  <w:color w:val="000000"/>
                                  <w:sz w:val="19"/>
                                  <w:szCs w:val="19"/>
                                </w:rPr>
                                <w:t xml:space="preserve">7. Marketing va boshqaruv</w:t>
                              </w:r>
                            </w:p>
                            <w:p>
                              <w:pPr>
                                <w:spacing w:before="0" w:after="0" w:line="228" w:lineRule="auto"/>
                                <w:jc w:val="left"/>
                                <w:ind w:firstLine="0"/>
                              </w:pPr>
                              <w:r>
                                <w:rPr>
                                  <w:rFonts w:ascii="Times New Roman" w:hAnsi="Times New Roman" w:cs="Times New Roman"/>
                                  <w:color w:val="000000"/>
                                  <w:sz w:val="19"/>
                                  <w:szCs w:val="19"/>
                                </w:rPr>
                                <w:t xml:space="preserve">8. Texnologiyalar</w:t>
                              </w:r>
                            </w:p>
                            <w:p>
                              <w:pPr>
                                <w:spacing w:before="0" w:after="0" w:line="228" w:lineRule="auto"/>
                                <w:jc w:val="left"/>
                                <w:ind w:firstLine="0"/>
                              </w:pPr>
                              <w:r>
                                <w:rPr>
                                  <w:rFonts w:ascii="Times New Roman" w:hAnsi="Times New Roman" w:cs="Times New Roman"/>
                                  <w:color w:val="000000"/>
                                  <w:sz w:val="19"/>
                                  <w:szCs w:val="19"/>
                                </w:rPr>
                                <w:t xml:space="preserve">9. Ish tashkiloti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1.1.4-rasm. Tijorat banklari moliyaviy barqarorligiga ta’sir etuvchi omillar</w:t>
      </w:r>
      <w:r>
        <w:rPr>
          <w:rStyle w:val="FootnoteReference"/>
        </w:rPr>
        <w:footnoteReference w:id="81"/>
      </w:r>
    </w:p>
    <w:p>
      <w:pPr>
        <w:pStyle w:val="BodyText"/>
        <w:spacing w:line="360" w:lineRule="auto" w:before="0" w:after="0"/>
        <w:ind w:firstLine="709"/>
        <w:jc w:val="both"/>
      </w:pPr>
      <w:r>
        <w:rPr>
          <w:rFonts w:ascii="Times New Roman" w:hAnsi="Times New Roman" w:cs="Times New Roman" w:eastAsia="Times New Roman"/>
          <w:sz w:val="28"/>
        </w:rPr>
        <w:t xml:space="preserve">Tashqi omillar orasida mualliflar ishonchni «fundamental omil» deb alohida ajratadi</w:t>
      </w:r>
      <w:r>
        <w:rPr>
          <w:rStyle w:val="FootnoteReference"/>
        </w:rPr>
        <w:footnoteReference w:id="82"/>
      </w:r>
      <w:r>
        <w:rPr>
          <w:rFonts w:ascii="Times New Roman" w:hAnsi="Times New Roman" w:cs="Times New Roman" w:eastAsia="Times New Roman"/>
          <w:sz w:val="28"/>
        </w:rPr>
        <w:t xml:space="preserve">. Bu J.M. Hendrickson ta’rifi bilan to‘liq hamohang bo‘lib, turli maktab vakillarining bir xulosaga kelganini ko‘rsatadi. Ichki omillar esa bank boshqaruvi nazorat qila oladigan omillar bo‘lib, ularning ta’siri amaliyotda hal qiluvchi ahamiyatga ega. Buni AQSh bank tizimi tajribasi ham tasdiqlaydi (1.1.5-rasm).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5" name="1.1.5-rasm"/>
            <wp:cNvGraphicFramePr/>
            <a:graphic>
              <a:graphicData uri="http://schemas.openxmlformats.org/drawingml/2006/chart">
                <c:chart r:id="rId1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1.1.5-rasm. AQSh banklarida moliyaviy barqarorlik pasayishining sabablari, muammoli banklar sonidagi ulushi, %</w:t>
      </w:r>
      <w:r>
        <w:rPr>
          <w:rStyle w:val="FootnoteReference"/>
        </w:rPr>
        <w:footnoteReference w:id="83"/>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muammoli banklarning deyarli barchasida (98 foiz) aktivlar sifatining yomonligi, 90 foizida esa rejalashtirish va boshqaruvning zaifligi qayd etilganini ko‘rsatadi. Ichki auditning yo‘qligi va firibgarlik kamroq uchraydi, ammo ular ham muhim omil bo‘lib qolmoqda</w:t>
      </w:r>
      <w:r>
        <w:rPr>
          <w:rStyle w:val="FootnoteReference"/>
        </w:rPr>
        <w:footnoteReference w:id="84"/>
      </w:r>
      <w:r>
        <w:rPr>
          <w:rFonts w:ascii="Times New Roman" w:hAnsi="Times New Roman" w:cs="Times New Roman" w:eastAsia="Times New Roman"/>
          <w:sz w:val="28"/>
        </w:rPr>
        <w:t xml:space="preserve">. Bundan kelib chiqadiki, moliyaviy barqarorlikni baholashda aktivlar sifati va boshqaruv sifati eng muhim bloklar qatorida bo‘lishi lozim. Shu bilan birga, mualliflar erta ogohlantirish signallari sifatida aktivlar daromadliligining pasayishi, kredit portfelining keskin o‘sishi, depozitlarning qisqarishi va ular bo‘yicha stavkalarning oshishi, umidsiz kreditlar ulushining 5 foizdan oshishi kabi belgilarni keltiradi</w:t>
      </w:r>
      <w:r>
        <w:rPr>
          <w:rStyle w:val="FootnoteReference"/>
        </w:rPr>
        <w:footnoteReference w:id="85"/>
      </w:r>
      <w:r>
        <w:rPr>
          <w:rFonts w:ascii="Times New Roman" w:hAnsi="Times New Roman" w:cs="Times New Roman" w:eastAsia="Times New Roman"/>
          <w:sz w:val="28"/>
        </w:rPr>
        <w:t xml:space="preserve">. Bu signallar keyinchalik erta ogohlantirish tizimini ishlab chiqishda asos bo‘lib xizmat qiladi.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barqarorlikning mazmuni va omillari tahlili uning nima ekanini ko‘rsatsa, konseptual modellar uning qanday yuzaga kelishi va nima sababdan buzilishini tushuntiradi. Ushbu modellarning umumiy nazariy negizi bozor nosozliklari nazariyasidir. C.M. Peláez va C.A. Peláez bozor nosozliklari tasnifida axborot asimmetriyasi, salbiy tanlov va moral xavfni alohida guruhga ajratib, ularga qarshi vosita sifatida prudensial nazorat va tartibga solishni, uning maqsadi sifatida esa moliyaviy va iqtisodiy barqarorlikni ko‘rsatadi</w:t>
      </w:r>
      <w:r>
        <w:rPr>
          <w:rStyle w:val="FootnoteReference"/>
        </w:rPr>
        <w:footnoteReference w:id="86"/>
      </w:r>
      <w:r>
        <w:rPr>
          <w:rFonts w:ascii="Times New Roman" w:hAnsi="Times New Roman" w:cs="Times New Roman" w:eastAsia="Times New Roman"/>
          <w:sz w:val="28"/>
        </w:rPr>
        <w:t xml:space="preserve">. D.K. Tarullo ham bank faoliyatini tartibga solishning uchta nazariy asosini keltiradi: bank aktivlarini tashqaridan baholashning qiyinligi, depozitlarni sug‘urtalash va oxirgi instansiya kreditori mavjudligi tug‘diradigan moral xavf hamda tizimli risk</w:t>
      </w:r>
      <w:r>
        <w:rPr>
          <w:rStyle w:val="FootnoteReference"/>
        </w:rPr>
        <w:footnoteReference w:id="87"/>
      </w:r>
      <w:r>
        <w:rPr>
          <w:rFonts w:ascii="Times New Roman" w:hAnsi="Times New Roman" w:cs="Times New Roman" w:eastAsia="Times New Roman"/>
          <w:sz w:val="28"/>
        </w:rPr>
        <w:t xml:space="preserve">. Ana shu nazariy asosda moliyaviy barqarorlikni tushuntiruvchi bir nechta konseptual modellar shakllangan.</w:t>
      </w:r>
    </w:p>
    <w:p>
      <w:pPr>
        <w:pStyle w:val="BodyText"/>
        <w:spacing w:line="360" w:lineRule="auto" w:before="0" w:after="0"/>
        <w:ind w:firstLine="709"/>
        <w:jc w:val="both"/>
      </w:pPr>
      <w:r>
        <w:rPr>
          <w:rFonts w:ascii="Times New Roman" w:hAnsi="Times New Roman" w:cs="Times New Roman" w:eastAsia="Times New Roman"/>
          <w:sz w:val="28"/>
        </w:rPr>
        <w:t xml:space="preserve">Ulardan birinchisi bankning likvidlik yaratish funksiyasi va uning zaifligini tushuntiruvchi model bo‘lib, D. Diamond va P. Dybvig tomonidan ishlab chiqilgan. Model bo‘yicha bank qisqa muddatli depozitlarni uzoq muddatli, nolikvid aktivlarga aylantirib, iqtisodiyotga likvidlik yaratadi. Biroq aynan shu transformatsiya bankni zaif qiladi: omonatchilar boshqalar mablag‘ini qaytarib olishidan qo‘rqsa, bank sog‘lom bo‘lgan taqdirda ham ommaviy mablag‘ talab qilish yuz berishi mumkin</w:t>
      </w:r>
      <w:r>
        <w:rPr>
          <w:rStyle w:val="FootnoteReference"/>
        </w:rPr>
        <w:footnoteReference w:id="88"/>
      </w:r>
      <w:r>
        <w:rPr>
          <w:rFonts w:ascii="Times New Roman" w:hAnsi="Times New Roman" w:cs="Times New Roman" w:eastAsia="Times New Roman"/>
          <w:sz w:val="28"/>
        </w:rPr>
        <w:t xml:space="preserve">. Keyinchalik D. Diamond va R. Rajan bu modelni rivojlantirib, kapitalning bunday shoklarga qarshi bufer vazifasini bajarishini, shu bilan birga uning narxi ham borligini, ya’ni ortiqcha kapital talabi kreditlashning qisqarishiga olib kelishini ko‘rsatgan</w:t>
      </w:r>
      <w:r>
        <w:rPr>
          <w:rStyle w:val="FootnoteReference"/>
        </w:rPr>
        <w:footnoteReference w:id="89"/>
      </w:r>
      <w:r>
        <w:rPr>
          <w:rFonts w:ascii="Times New Roman" w:hAnsi="Times New Roman" w:cs="Times New Roman" w:eastAsia="Times New Roman"/>
          <w:sz w:val="28"/>
        </w:rPr>
        <w:t xml:space="preserve">. Ushbu model likvidlik va fondlash barqarorligini moliyaviy barqarorlikning alohida tarkibiy qismi sifatida baholash zarurligini nazariy jihatdan asoslaydi.</w:t>
      </w:r>
    </w:p>
    <w:p>
      <w:pPr>
        <w:pStyle w:val="BodyText"/>
        <w:spacing w:line="360" w:lineRule="auto" w:before="0" w:after="0"/>
        <w:ind w:firstLine="709"/>
        <w:jc w:val="both"/>
      </w:pPr>
      <w:r>
        <w:rPr>
          <w:rFonts w:ascii="Times New Roman" w:hAnsi="Times New Roman" w:cs="Times New Roman" w:eastAsia="Times New Roman"/>
          <w:sz w:val="28"/>
        </w:rPr>
        <w:t xml:space="preserve">Ikkinchi model – H.P. Minskiyning moliyaviy beqarorlik gipotezasi. Unga ko‘ra, iqtisodiy barqarorlikning uzoq davom etishi o‘z-o‘zidan beqarorlikni keltirib chiqaradi: muvaffaqiyatli yillar bank va qarz oluvchilarning riskka moyilligini oshiradi, natijada moliyalashtirish tuzilmasi daromadi qarz va foizlarni to‘liq qoplaydigan «himoyalangan» moliyalashtirishdan faqat foizlarni qoplaydigan «spekulyativ» va hatto foizlarni ham yangi qarz hisobidan to‘laydigan «Ponzi» moliyalashtirishiga siljiydi</w:t>
      </w:r>
      <w:r>
        <w:rPr>
          <w:rStyle w:val="FootnoteReference"/>
        </w:rPr>
        <w:footnoteReference w:id="90"/>
      </w:r>
      <w:r>
        <w:rPr>
          <w:rFonts w:ascii="Times New Roman" w:hAnsi="Times New Roman" w:cs="Times New Roman" w:eastAsia="Times New Roman"/>
          <w:sz w:val="28"/>
        </w:rPr>
        <w:t xml:space="preserve">. J.M. Hendrickson ham bank inqirozining to‘rt elementi sifatida tashqi shok va optimizmni, Minskiy ta’riflagan kredit kengayishini, ishonchning yo‘qolishini va banklarning ommaviy inqiroziga o‘tishni ko‘rsatadi</w:t>
      </w:r>
      <w:r>
        <w:rPr>
          <w:rStyle w:val="FootnoteReference"/>
        </w:rPr>
        <w:footnoteReference w:id="91"/>
      </w:r>
      <w:r>
        <w:rPr>
          <w:rFonts w:ascii="Times New Roman" w:hAnsi="Times New Roman" w:cs="Times New Roman" w:eastAsia="Times New Roman"/>
          <w:sz w:val="28"/>
        </w:rPr>
        <w:t xml:space="preserve">. A.V. Thakor esa bu jarayonni yanada aniqroq ifodalaydi: uzoq muvaffaqiyat bankirlar mahoratiga bo‘lgan ishonchni oshiradi, shok kelganda esa moliyalashtirish to‘xtaydi va «likvidlik inqiroziga o‘xshagan, aslida to‘lov qobiliyati inqirozi» yuzaga keladi</w:t>
      </w:r>
      <w:r>
        <w:rPr>
          <w:rStyle w:val="FootnoteReference"/>
        </w:rPr>
        <w:footnoteReference w:id="92"/>
      </w:r>
      <w:r>
        <w:rPr>
          <w:rFonts w:ascii="Times New Roman" w:hAnsi="Times New Roman" w:cs="Times New Roman" w:eastAsia="Times New Roman"/>
          <w:sz w:val="28"/>
        </w:rPr>
        <w:t xml:space="preserve">. Minskiy modelining baholash metodikasi uchun ahamiyati shundaki, u moliyaviy barqarorlikni bir sanadagi ko‘rsatkichlar bilan emas, balki kredit o‘sishi va qarz yukining dinamikasi orqali kuzatish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Uchinchi model kapitalni bankning yo‘qotishlarga qarshi asosiy himoya vositasi sifatida qaraydi. D.K. Tarullo kapitalning uchta funksiyasini ajratadi: kutilmagan yo‘qotishlarga qarshi bufer, bank yiqilgan taqdirda kreditorlarni himoya qilish va mulkdorlarning ortiqcha risk olishiga to‘siq bo‘lish</w:t>
      </w:r>
      <w:r>
        <w:rPr>
          <w:rStyle w:val="FootnoteReference"/>
        </w:rPr>
        <w:footnoteReference w:id="93"/>
      </w:r>
      <w:r>
        <w:rPr>
          <w:rFonts w:ascii="Times New Roman" w:hAnsi="Times New Roman" w:cs="Times New Roman" w:eastAsia="Times New Roman"/>
          <w:sz w:val="28"/>
        </w:rPr>
        <w:t xml:space="preserve">. Ushbu mantiqni R. Merton tomonidan ishlab chiqilgan tarkibiy model miqdoriy shaklga keltiradi: kompaniya aktivlarining qiymati majburiyatlardan pastga tushganda defolt yuz beradi, demak, defoltgacha bo‘lgan masofa kapital zaxirasi va aktivlar qiymatining o‘zgaruvchanligiga bog‘liq</w:t>
      </w:r>
      <w:r>
        <w:rPr>
          <w:rStyle w:val="FootnoteReference"/>
        </w:rPr>
        <w:footnoteReference w:id="94"/>
      </w:r>
      <w:r>
        <w:rPr>
          <w:rFonts w:ascii="Times New Roman" w:hAnsi="Times New Roman" w:cs="Times New Roman" w:eastAsia="Times New Roman"/>
          <w:sz w:val="28"/>
        </w:rPr>
        <w:t xml:space="preserve">. Biroq bu model aksiyalari birjada faol savdo qilinadigan banklar uchungina qo‘llanishi mumkin.</w:t>
      </w:r>
    </w:p>
    <w:p>
      <w:pPr>
        <w:pStyle w:val="BodyText"/>
        <w:spacing w:line="360" w:lineRule="auto" w:before="0" w:after="0"/>
        <w:ind w:firstLine="709"/>
        <w:jc w:val="both"/>
      </w:pPr>
      <w:r>
        <w:rPr>
          <w:rFonts w:ascii="Times New Roman" w:hAnsi="Times New Roman" w:cs="Times New Roman" w:eastAsia="Times New Roman"/>
          <w:sz w:val="28"/>
        </w:rPr>
        <w:t xml:space="preserve">To‘rtinchi model ana shu mantiqdan kelib chiqadi. Aksiyalari bozorda savdo qilinmaydigan banklar uchun shu g‘oyaning buxgalteriya hisobi ma’lumotlariga asoslangan varianti – Z-score ko‘rsatkichi qo‘llanadi. Uning nazariy asosi A.D. Roy tomonidan qo‘yilgan bo‘lib</w:t>
      </w:r>
      <w:r>
        <w:rPr>
          <w:rStyle w:val="FootnoteReference"/>
        </w:rPr>
        <w:footnoteReference w:id="95"/>
      </w:r>
      <w:r>
        <w:rPr>
          <w:rFonts w:ascii="Times New Roman" w:hAnsi="Times New Roman" w:cs="Times New Roman" w:eastAsia="Times New Roman"/>
          <w:sz w:val="28"/>
        </w:rPr>
        <w:t xml:space="preserve">, bank faoliyatiga J.H. Boyd va S.L. Graham tomonidan tatbiq etilgan</w:t>
      </w:r>
      <w:r>
        <w:rPr>
          <w:rStyle w:val="FootnoteReference"/>
        </w:rPr>
        <w:footnoteReference w:id="96"/>
      </w:r>
      <w:r>
        <w:rPr>
          <w:rFonts w:ascii="Times New Roman" w:hAnsi="Times New Roman" w:cs="Times New Roman" w:eastAsia="Times New Roman"/>
          <w:sz w:val="28"/>
        </w:rPr>
        <w:t xml:space="preserve">. Ko‘rsatkich kapitalning aktivlarga nisbati va aktivlar rentabelligi yig‘indisining aktivlar rentabelligi standart og‘ishiga nisbati sifatida hisoblanadi va bank zararlari kapitalni to‘liq yeb qo‘yishi uchun rentabellik o‘rtacha darajadan necha standart og‘ishga pasayishi kerakligini ko‘rsatadi. Bu ko‘rsatkichning amaliy samaradorligini L. Chiaramonte va F. Poli tadqiqoti yaqqol tasdiqlaydi (1.1.6-rasm).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6" name="1.1.6-rasm"/>
            <wp:cNvGraphicFramePr/>
            <a:graphic>
              <a:graphicData uri="http://schemas.openxmlformats.org/drawingml/2006/chart">
                <c:chart r:id="rId1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1.1.6-rasm. Z-score ko‘rsatkichiga asoslangan modelning Yevropa banklari muammolarini bashorat qilish aniqligi, %</w:t>
      </w:r>
      <w:r>
        <w:rPr>
          <w:rStyle w:val="FootnoteReference"/>
        </w:rPr>
        <w:footnoteReference w:id="97"/>
      </w:r>
    </w:p>
    <w:p>
      <w:pPr>
        <w:pStyle w:val="BodyText"/>
        <w:spacing w:line="360" w:lineRule="auto" w:before="0" w:after="0"/>
        <w:ind w:firstLine="709"/>
        <w:jc w:val="both"/>
      </w:pPr>
      <w:r>
        <w:rPr>
          <w:rFonts w:ascii="Times New Roman" w:hAnsi="Times New Roman" w:cs="Times New Roman" w:eastAsia="Times New Roman"/>
          <w:sz w:val="28"/>
        </w:rPr>
        <w:t xml:space="preserve">Mualliflar 12 mamlakatdagi 3125 ta bankning 2001–2011-yillardagi ma’lumotlari asosida faqat Z-score ko‘rsatkichining o‘zi muammoga uchragan banklarning 75 foizini, sog‘lom banklarning esa 81 foizini to‘g‘ri aniqlaganini ko‘rsatgan. Boshqa ko‘rsatkichlar qo‘shilganda bu ko‘rsatkichlar 81 va 87 foizga, inqiroz davrida esa muammoli banklar bo‘yicha 91 foizga yetgan. Tadqiqot xulosasiga ko‘ra, Z-score «kam ma’lumot talab qilsa-da, bashorat kuchini yo‘qotmaydigan ishonchli va tejamkor ko‘rsatkich» bo‘lib, nazorat organlari undan erta ogohlantirish vositasi sifatida foydalanishi mumkin</w:t>
      </w:r>
      <w:r>
        <w:rPr>
          <w:rStyle w:val="FootnoteReference"/>
        </w:rPr>
        <w:footnoteReference w:id="98"/>
      </w:r>
      <w:r>
        <w:rPr>
          <w:rFonts w:ascii="Times New Roman" w:hAnsi="Times New Roman" w:cs="Times New Roman" w:eastAsia="Times New Roman"/>
          <w:sz w:val="28"/>
        </w:rPr>
        <w:t xml:space="preserve">. Bu xulosa aksiyalar bozori rivojlanmagan O‘zbekiston sharoitida buxgalteriya ma’lumotlariga asoslangan integral baholash usullarining afzalligini asoslaydi.</w:t>
      </w:r>
    </w:p>
    <w:p>
      <w:pPr>
        <w:pStyle w:val="BodyText"/>
        <w:spacing w:line="360" w:lineRule="auto" w:before="0" w:after="0"/>
        <w:ind w:firstLine="709"/>
        <w:jc w:val="both"/>
      </w:pPr>
      <w:r>
        <w:rPr>
          <w:rFonts w:ascii="Times New Roman" w:hAnsi="Times New Roman" w:cs="Times New Roman" w:eastAsia="Times New Roman"/>
          <w:sz w:val="28"/>
        </w:rPr>
        <w:t xml:space="preserve">Beshinchi guruh modellar alohida bankdan butun tizimga o‘tadi. C. Borio makroprudensial yondashuvni asoslab, tizimli riskning ikki o‘lchovini ajratgan: vaqt o‘lchovida risk moliyaviy tsikl davomida to‘planib boradi (prosiklik), kesim o‘lchovida esa banklarning o‘zaro bog‘liqligi va bir xil risklarga duch kelishi orqali yuzaga keladi</w:t>
      </w:r>
      <w:r>
        <w:rPr>
          <w:rStyle w:val="FootnoteReference"/>
        </w:rPr>
        <w:footnoteReference w:id="99"/>
      </w:r>
      <w:r>
        <w:rPr>
          <w:rFonts w:ascii="Times New Roman" w:hAnsi="Times New Roman" w:cs="Times New Roman" w:eastAsia="Times New Roman"/>
          <w:sz w:val="28"/>
        </w:rPr>
        <w:t xml:space="preserve">. Keyinchalik bu yondashuv asosida T. Adrian va M. Brunnermeier taklif etgan CoVaR kabi bozor ma’lumotlariga asoslangan tizimli risk ko‘rsatkichlari ishlab chiqildi</w:t>
      </w:r>
      <w:r>
        <w:rPr>
          <w:rStyle w:val="FootnoteReference"/>
        </w:rPr>
        <w:footnoteReference w:id="100"/>
      </w:r>
      <w:r>
        <w:rPr>
          <w:rFonts w:ascii="Times New Roman" w:hAnsi="Times New Roman" w:cs="Times New Roman" w:eastAsia="Times New Roman"/>
          <w:sz w:val="28"/>
        </w:rPr>
        <w:t xml:space="preserve">. O.N. Afanasyeva va S.E. Dubova ham tizimli riskni baholashning «yuqoridan pastga» va «pastdan yuqoriga» konsepsiyalarini ajratib, ikkinchisida avval alohida bankning bankrotlik ehtimoli, so‘ngra banklar o‘rtasidagi bog‘liqlik va nihoyat har bir bankning tizimli riskka qo‘shgan hissasi baholanishini ko‘rsatadi</w:t>
      </w:r>
      <w:r>
        <w:rPr>
          <w:rStyle w:val="FootnoteReference"/>
        </w:rPr>
        <w:footnoteReference w:id="101"/>
      </w:r>
      <w:r>
        <w:rPr>
          <w:rFonts w:ascii="Times New Roman" w:hAnsi="Times New Roman" w:cs="Times New Roman" w:eastAsia="Times New Roman"/>
          <w:sz w:val="28"/>
        </w:rPr>
        <w:t xml:space="preserve">. Makroprudensial yondashuvning paydo bo‘lishi bank nazoratidagi muhim paradigma o‘zgarishini aks ettiradi. Uzoq vaqt davomida nazorat «tizimdagi har bir bank barqaror bo‘lsa, butun tizim ham o‘z-o‘zidan barqaror bo‘ladi» degan mikroprudensial g‘oyaga tayangan. CAMELS reyting tizimi va Bazel qo‘mitasining dastlabki kelishuvlari aynan shu g‘oyaga asoslangan edi. 2007–2009-yillardagi global inqiroz esa bu g‘oyaning cheklanganligini ko‘rsatdi: har bir bank o‘zi uchun oqilona va ehtiyotkor qaror qabul qilgan taqdirda ham, masalan, bir vaqtda aktivlarni sotish yoki kreditlashni qisqartirish orqali, ularning birgalikdagi harakati butun tizimni inqirozga olib kelishi mumkin. Iqtisodiyot nazariyasida bu holat «kompozitsiya xatosi» deb ataladi. Shundan so‘ng nazoratda banklarning o‘zaro bog‘liqligi, «qulashiga yo‘l qo‘yib bo‘lmaydigan darajada yirik» banklar muammosi va iqtisodiy tsiklning bank faoliyatiga ta’siri alohida hisobga olina boshlandi.</w:t>
      </w:r>
    </w:p>
    <w:p>
      <w:pPr>
        <w:pStyle w:val="BodyText"/>
        <w:spacing w:line="360" w:lineRule="auto" w:before="0" w:after="0"/>
        <w:ind w:firstLine="709"/>
        <w:jc w:val="both"/>
      </w:pPr>
      <w:r>
        <w:rPr>
          <w:rFonts w:ascii="Times New Roman" w:hAnsi="Times New Roman" w:cs="Times New Roman" w:eastAsia="Times New Roman"/>
          <w:sz w:val="28"/>
        </w:rPr>
        <w:t xml:space="preserve">So‘nggi yillarda bu ikki konsepsiyaga uchinchisi – kelajakka yo‘naltirilgan, risklarga asoslangan konsepsiya qo‘shildi. Ilgari bank barqarorligi asosan o‘tgan davr hisobotlari bo‘yicha baholangan bo‘lsa, Bazel III standartlari va Moliyaviy hisobotning xalqaro standartlari (MHXS) 9 bu yondashuvni tubdan o‘zgartirdi. Xususan, MHXS 9 da zarar yuz bergandan keyin zaxira yaratish o‘rniga kredit berilgan kundanoq kutilayotgan kredit zararlarini baholab, ular uchun oldindan zaxira shakllantirish talab qilinadi</w:t>
      </w:r>
      <w:r>
        <w:rPr>
          <w:rStyle w:val="FootnoteReference"/>
        </w:rPr>
        <w:footnoteReference w:id="102"/>
      </w:r>
      <w:r>
        <w:rPr>
          <w:rFonts w:ascii="Times New Roman" w:hAnsi="Times New Roman" w:cs="Times New Roman" w:eastAsia="Times New Roman"/>
          <w:sz w:val="28"/>
        </w:rPr>
        <w:t xml:space="preserve">. Stress-testlar ham xuddi shu mantiqqa asoslanadi: ular bankning hozirgi emas, balki noqulay ssenariydagi kelgusi holatini baholaydi. Natijada moliyaviy barqarorlikni baholash ex-post, ya’ni o‘tgan davrga qaratilgan tahlildan ex-ante, ya’ni kelajakni oldindan ko‘ruvchi tahlilga o‘tmoqda. Ko‘rib chiqilgan modellarning asosiy xususiyatlari 1.1.2-jadvalda umumlashtirildi.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 tushuntiruvchi konseptual modellarning qiyosiy tavsifi</w:t>
      </w:r>
      <w:r>
        <w:rPr>
          <w:rStyle w:val="FootnoteReference"/>
        </w:rPr>
        <w:footnoteReference w:id="103"/>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Model</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g‘oyasi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ko‘rsatkichi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Baholash metodikasi uchun xulosa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Likvidlik yaratish va ommaviy mablag‘ talab qilish modeli (Diamond–Dybvig, Diamond–Rajan)</w:t>
            </w:r>
          </w:p>
        </w:tc>
        <w:tc>
          <w:tcPr/>
          <w:p>
            <w:pPr>
              <w:pStyle w:val="Compact"/>
              <w:spacing w:line="240" w:lineRule="auto"/>
              <w:ind w:firstLine="0"/>
              <w:jc w:val="left"/>
            </w:pPr>
            <w:r>
              <w:rPr>
                <w:rFonts w:ascii="Times New Roman" w:hAnsi="Times New Roman" w:cs="Times New Roman" w:eastAsia="Times New Roman"/>
                <w:sz w:val="22"/>
              </w:rPr>
              <w:t xml:space="preserve">Muddatlar transformatsiyasi bankni ishonch yo‘qolishiga zaif qiladi</w:t>
            </w:r>
          </w:p>
        </w:tc>
        <w:tc>
          <w:tcPr/>
          <w:p>
            <w:pPr>
              <w:pStyle w:val="Compact"/>
              <w:spacing w:line="240" w:lineRule="auto"/>
              <w:ind w:firstLine="0"/>
              <w:jc w:val="left"/>
            </w:pPr>
            <w:r>
              <w:rPr>
                <w:rFonts w:ascii="Times New Roman" w:hAnsi="Times New Roman" w:cs="Times New Roman" w:eastAsia="Times New Roman"/>
                <w:sz w:val="22"/>
              </w:rPr>
              <w:t xml:space="preserve">Likvid aktivlar, barqaror moliyalashtirish</w:t>
            </w:r>
          </w:p>
        </w:tc>
        <w:tc>
          <w:tcPr/>
          <w:p>
            <w:pPr>
              <w:pStyle w:val="Compact"/>
              <w:spacing w:line="240" w:lineRule="auto"/>
              <w:ind w:firstLine="0"/>
              <w:jc w:val="left"/>
            </w:pPr>
            <w:r>
              <w:rPr>
                <w:rFonts w:ascii="Times New Roman" w:hAnsi="Times New Roman" w:cs="Times New Roman" w:eastAsia="Times New Roman"/>
                <w:sz w:val="22"/>
              </w:rPr>
              <w:t xml:space="preserve">Likvidlik va fondlash alohida blok sifatida baholanadi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Moliyaviy beqarorlik gipotezasi (Minskiy)</w:t>
            </w:r>
          </w:p>
        </w:tc>
        <w:tc>
          <w:tcPr/>
          <w:p>
            <w:pPr>
              <w:pStyle w:val="Compact"/>
              <w:spacing w:line="240" w:lineRule="auto"/>
              <w:ind w:firstLine="0"/>
              <w:jc w:val="left"/>
            </w:pPr>
            <w:r>
              <w:rPr>
                <w:rFonts w:ascii="Times New Roman" w:hAnsi="Times New Roman" w:cs="Times New Roman" w:eastAsia="Times New Roman"/>
                <w:sz w:val="22"/>
              </w:rPr>
              <w:t xml:space="preserve">Uzoq barqarorlik riskka moyillikni oshiradi</w:t>
            </w:r>
          </w:p>
        </w:tc>
        <w:tc>
          <w:tcPr/>
          <w:p>
            <w:pPr>
              <w:pStyle w:val="Compact"/>
              <w:spacing w:line="240" w:lineRule="auto"/>
              <w:ind w:firstLine="0"/>
              <w:jc w:val="left"/>
            </w:pPr>
            <w:r>
              <w:rPr>
                <w:rFonts w:ascii="Times New Roman" w:hAnsi="Times New Roman" w:cs="Times New Roman" w:eastAsia="Times New Roman"/>
                <w:sz w:val="22"/>
              </w:rPr>
              <w:t xml:space="preserve">Kredit o‘sishi, qarz yuki</w:t>
            </w:r>
          </w:p>
        </w:tc>
        <w:tc>
          <w:tcPr/>
          <w:p>
            <w:pPr>
              <w:pStyle w:val="Compact"/>
              <w:spacing w:line="240" w:lineRule="auto"/>
              <w:ind w:firstLine="0"/>
              <w:jc w:val="left"/>
            </w:pPr>
            <w:r>
              <w:rPr>
                <w:rFonts w:ascii="Times New Roman" w:hAnsi="Times New Roman" w:cs="Times New Roman" w:eastAsia="Times New Roman"/>
                <w:sz w:val="22"/>
              </w:rPr>
              <w:t xml:space="preserve">Ko‘rsatkichlarning dinamikasi va kredit o‘sishi kuzatiladi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Kapital-bufer va tarkibiy model (Tarullo, Merton)</w:t>
            </w:r>
          </w:p>
        </w:tc>
        <w:tc>
          <w:tcPr/>
          <w:p>
            <w:pPr>
              <w:pStyle w:val="Compact"/>
              <w:spacing w:line="240" w:lineRule="auto"/>
              <w:ind w:firstLine="0"/>
              <w:jc w:val="left"/>
            </w:pPr>
            <w:r>
              <w:rPr>
                <w:rFonts w:ascii="Times New Roman" w:hAnsi="Times New Roman" w:cs="Times New Roman" w:eastAsia="Times New Roman"/>
                <w:sz w:val="22"/>
              </w:rPr>
              <w:t xml:space="preserve">Kapital kutilmagan yo‘qotishlarni qoplaydi</w:t>
            </w:r>
          </w:p>
        </w:tc>
        <w:tc>
          <w:tcPr/>
          <w:p>
            <w:pPr>
              <w:pStyle w:val="Compact"/>
              <w:spacing w:line="240" w:lineRule="auto"/>
              <w:ind w:firstLine="0"/>
              <w:jc w:val="left"/>
            </w:pPr>
            <w:r>
              <w:rPr>
                <w:rFonts w:ascii="Times New Roman" w:hAnsi="Times New Roman" w:cs="Times New Roman" w:eastAsia="Times New Roman"/>
                <w:sz w:val="22"/>
              </w:rPr>
              <w:t xml:space="preserve">Kapital yetarliligi, defoltgacha masofa</w:t>
            </w:r>
          </w:p>
        </w:tc>
        <w:tc>
          <w:tcPr/>
          <w:p>
            <w:pPr>
              <w:pStyle w:val="Compact"/>
              <w:spacing w:line="240" w:lineRule="auto"/>
              <w:ind w:firstLine="0"/>
              <w:jc w:val="left"/>
            </w:pPr>
            <w:r>
              <w:rPr>
                <w:rFonts w:ascii="Times New Roman" w:hAnsi="Times New Roman" w:cs="Times New Roman" w:eastAsia="Times New Roman"/>
                <w:sz w:val="22"/>
              </w:rPr>
              <w:t xml:space="preserve">Kapital markaziy blok; baho minimumdan ortiq zaxiraga qarab beriladi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Z-score modeli (Roy, Boyd–Graham)</w:t>
            </w:r>
          </w:p>
        </w:tc>
        <w:tc>
          <w:tcPr/>
          <w:p>
            <w:pPr>
              <w:pStyle w:val="Compact"/>
              <w:spacing w:line="240" w:lineRule="auto"/>
              <w:ind w:firstLine="0"/>
              <w:jc w:val="left"/>
            </w:pPr>
            <w:r>
              <w:rPr>
                <w:rFonts w:ascii="Times New Roman" w:hAnsi="Times New Roman" w:cs="Times New Roman" w:eastAsia="Times New Roman"/>
                <w:sz w:val="22"/>
              </w:rPr>
              <w:t xml:space="preserve">To‘lovga qobiliyatsizlikkacha bo‘lgan masofa</w:t>
            </w:r>
          </w:p>
        </w:tc>
        <w:tc>
          <w:tcPr/>
          <w:p>
            <w:pPr>
              <w:pStyle w:val="Compact"/>
              <w:spacing w:line="240" w:lineRule="auto"/>
              <w:ind w:firstLine="0"/>
              <w:jc w:val="left"/>
            </w:pPr>
            <w:r>
              <w:rPr>
                <w:rFonts w:ascii="Times New Roman" w:hAnsi="Times New Roman" w:cs="Times New Roman" w:eastAsia="Times New Roman"/>
                <w:sz w:val="22"/>
              </w:rPr>
              <w:t xml:space="preserve">Kapital/aktivlar, ROA va uning o‘zgaruvchanligi</w:t>
            </w:r>
          </w:p>
        </w:tc>
        <w:tc>
          <w:tcPr/>
          <w:p>
            <w:pPr>
              <w:pStyle w:val="Compact"/>
              <w:spacing w:line="240" w:lineRule="auto"/>
              <w:ind w:firstLine="0"/>
              <w:jc w:val="left"/>
            </w:pPr>
            <w:r>
              <w:rPr>
                <w:rFonts w:ascii="Times New Roman" w:hAnsi="Times New Roman" w:cs="Times New Roman" w:eastAsia="Times New Roman"/>
                <w:sz w:val="22"/>
              </w:rPr>
              <w:t xml:space="preserve">Buxgalteriya ma’lumotlari asosida integral baho va bashorat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Makroprudensial modellar (Borio, Adrian–Brunnermeier)</w:t>
            </w:r>
          </w:p>
        </w:tc>
        <w:tc>
          <w:tcPr/>
          <w:p>
            <w:pPr>
              <w:pStyle w:val="Compact"/>
              <w:spacing w:line="240" w:lineRule="auto"/>
              <w:ind w:firstLine="0"/>
              <w:jc w:val="left"/>
            </w:pPr>
            <w:r>
              <w:rPr>
                <w:rFonts w:ascii="Times New Roman" w:hAnsi="Times New Roman" w:cs="Times New Roman" w:eastAsia="Times New Roman"/>
                <w:sz w:val="22"/>
              </w:rPr>
              <w:t xml:space="preserve">Tizimli risk vaqt va kesim o‘lchovida to‘planadi</w:t>
            </w:r>
          </w:p>
        </w:tc>
        <w:tc>
          <w:tcPr/>
          <w:p>
            <w:pPr>
              <w:pStyle w:val="Compact"/>
              <w:spacing w:line="240" w:lineRule="auto"/>
              <w:ind w:firstLine="0"/>
              <w:jc w:val="left"/>
            </w:pPr>
            <w:r>
              <w:rPr>
                <w:rFonts w:ascii="Times New Roman" w:hAnsi="Times New Roman" w:cs="Times New Roman" w:eastAsia="Times New Roman"/>
                <w:sz w:val="22"/>
              </w:rPr>
              <w:t xml:space="preserve">Kredit gepi, CoVaR, o‘zaro bog‘liqlik</w:t>
            </w:r>
          </w:p>
        </w:tc>
        <w:tc>
          <w:tcPr/>
          <w:p>
            <w:pPr>
              <w:pStyle w:val="Compact"/>
              <w:spacing w:line="240" w:lineRule="auto"/>
              <w:ind w:firstLine="0"/>
              <w:jc w:val="left"/>
            </w:pPr>
            <w:r>
              <w:rPr>
                <w:rFonts w:ascii="Times New Roman" w:hAnsi="Times New Roman" w:cs="Times New Roman" w:eastAsia="Times New Roman"/>
                <w:sz w:val="22"/>
              </w:rPr>
              <w:t xml:space="preserve">Mikro va makro baholash uyg‘unlashtiriladi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Kelajakka yo‘naltirilgan risk modeli (Bazel III, MHXS 9)</w:t>
            </w:r>
          </w:p>
        </w:tc>
        <w:tc>
          <w:tcPr/>
          <w:p>
            <w:pPr>
              <w:pStyle w:val="Compact"/>
              <w:spacing w:line="240" w:lineRule="auto"/>
              <w:ind w:firstLine="0"/>
              <w:jc w:val="left"/>
            </w:pPr>
            <w:r>
              <w:rPr>
                <w:rFonts w:ascii="Times New Roman" w:hAnsi="Times New Roman" w:cs="Times New Roman" w:eastAsia="Times New Roman"/>
                <w:sz w:val="22"/>
              </w:rPr>
              <w:t xml:space="preserve">Zararlar yuz berishidan oldin baholanadi va qoplanadi</w:t>
            </w:r>
          </w:p>
        </w:tc>
        <w:tc>
          <w:tcPr/>
          <w:p>
            <w:pPr>
              <w:pStyle w:val="Compact"/>
              <w:spacing w:line="240" w:lineRule="auto"/>
              <w:ind w:firstLine="0"/>
              <w:jc w:val="left"/>
            </w:pPr>
            <w:r>
              <w:rPr>
                <w:rFonts w:ascii="Times New Roman" w:hAnsi="Times New Roman" w:cs="Times New Roman" w:eastAsia="Times New Roman"/>
                <w:sz w:val="22"/>
              </w:rPr>
              <w:t xml:space="preserve">Kutilgan kredit zararlari, stress-test natijalari</w:t>
            </w:r>
          </w:p>
        </w:tc>
        <w:tc>
          <w:tcPr/>
          <w:p>
            <w:pPr>
              <w:pStyle w:val="Compact"/>
              <w:spacing w:line="240" w:lineRule="auto"/>
              <w:ind w:firstLine="0"/>
              <w:jc w:val="left"/>
            </w:pPr>
            <w:r>
              <w:rPr>
                <w:rFonts w:ascii="Times New Roman" w:hAnsi="Times New Roman" w:cs="Times New Roman" w:eastAsia="Times New Roman"/>
                <w:sz w:val="22"/>
              </w:rPr>
              <w:t xml:space="preserve">Baholashga prognoz va stress elementlari kiritiladi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har bir model moliyaviy barqarorlikning muayyan bir tomonini tushuntiradi va shunga mos ravishda baholash metodikasiga o‘z talabini qo‘yadi. Likvidlik modeli likvidlik blokini, kapital-bufer modeli kapital blokini, Minskiy gipotezasi dinamik tahlilni, Z-score modeli integral miqdoriy bahoni, makroprudensial modellar esa tizimli darajani zarur qiladi. Biroq ularning birortasi ham alohida olinganda tijorat bankining moliyaviy barqarorligini to‘liq tavsiflab bera olmaydi. Masalan, Z-score ko‘rsatkichi aktivlar sifati va likvidlikni bevosita hisobga olmaydi, kapital-bufer modeli esa kapitalning yetarliligi likvidlik inqirozidan himoya qilmasligini e’tiborga olmaydi.</w:t>
      </w:r>
    </w:p>
    <w:p>
      <w:pPr>
        <w:pStyle w:val="BodyText"/>
        <w:spacing w:line="360" w:lineRule="auto" w:before="0" w:after="0"/>
        <w:ind w:firstLine="709"/>
        <w:jc w:val="both"/>
      </w:pPr>
      <w:r>
        <w:rPr>
          <w:rFonts w:ascii="Times New Roman" w:hAnsi="Times New Roman" w:cs="Times New Roman" w:eastAsia="Times New Roman"/>
          <w:sz w:val="28"/>
        </w:rPr>
        <w:t xml:space="preserve">Shu sababli O‘zbekiston tijorat banklarining moliyaviy barqarorligini baholashda bir tomonlama yondashuv o‘zini oqlamaydi. Tadqiqot doirasida mikroprudensial va makroprudensial konsepsiyalarni sintez qiluvchi, xalqaro standartlarning kelajakka yo‘naltirilgan tamoyillariga tayanadigan va yuqoridagi modellarning afzalliklarini birlashtiruvchi yaxlit konseptual yondashuv ishlab chiqildi. Muallif fikricha, tijorat bankining moliyaviy barqarorligi – bu bankning kapital, aktivlar sifati, likvidlik va daromadlilik o‘rtasidagi muvozanatni saqlagan holda ichki va tashqi shoklarni tashqi yordamsiz yutib, o‘z vositachilik funksiyalarini uzluksiz bajarish hamda moliyaviy resurslarini kengaytirilgan asosda takror ishlab chiqarish qobiliyatidir. Bu qobiliyat muayyan sanadagi holat bilan emas, balki ko‘rsatkichlarning dinamikasi va xalqaro standartlarda belgilangan chegaralarga nisbatan zaxirasi bilan o‘lchanadi. Ushbu ta’rif asosida tijorat banklari moliyaviy barqarorligini baholashning konseptual modeli taklif etildi (1.1.7-rasm).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808000"/>
                <wp:effectExtent l="0" t="0" r="0" b="0"/>
                <wp:docPr id="7" name="1.1.7-rasm"/>
                <wp:cNvGraphicFramePr/>
                <a:graphic>
                  <a:graphicData uri="http://schemas.microsoft.com/office/word/2010/wordprocessingGroup">
                    <wpg:wgp>
                      <wpg:cNvGrpSpPr/>
                      <wpg:grpSpPr>
                        <a:xfrm>
                          <a:off x="0" y="0"/>
                          <a:ext cx="5904000" cy="2808000"/>
                          <a:chOff x="0" y="0"/>
                          <a:chExt cx="5904000" cy="2808000"/>
                        </a:xfrm>
                      </wpg:grpSpPr>
                      <wps:wsp>
                        <wps:cNvPr id="50" name="Shape 50"/>
                        <wps:cNvSpPr/>
                        <wps:spPr>
                          <a:xfrm>
                            <a:off x="36000" y="36000"/>
                            <a:ext cx="5832000" cy="270000"/>
                          </a:xfrm>
                          <a:prstGeom prst="roundRect">
                            <a:avLst>
                              <a:gd name="adj" fmla="val 10000"/>
                            </a:avLst>
                          </a:prstGeom>
                          <a:solidFill>
                            <a:srgbClr val="FBE5D6"/>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Makroiqtisodiy muhit va tizimli risklar</w:t>
                              </w:r>
                            </w:p>
                          </w:txbxContent>
                        </wps:txbx>
                        <wps:bodyPr rot="0" vert="horz" wrap="square" lIns="36000" tIns="18000" rIns="36000" bIns="18000" anchor="ctr" anchorCtr="0">
                          <a:noAutofit/>
                        </wps:bodyPr>
                      </wps:wsp>
                      <wps:wsp>
                        <wps:cNvPr id="51" name="Shape 51"/>
                        <wps:cNvSpPr/>
                        <wps:spPr>
                          <a:xfrm>
                            <a:off x="36000" y="396000"/>
                            <a:ext cx="1098000" cy="37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w:t>
                              </w:r>
                            </w:p>
                          </w:txbxContent>
                        </wps:txbx>
                        <wps:bodyPr rot="0" vert="horz" wrap="square" lIns="36000" tIns="18000" rIns="36000" bIns="18000" anchor="ctr" anchorCtr="0">
                          <a:noAutofit/>
                        </wps:bodyPr>
                      </wps:wsp>
                      <wps:wsp>
                        <wps:cNvPr id="52" name="Connector 52"/>
                        <wps:cNvCnPr/>
                        <wps:spPr>
                          <a:xfrm>
                            <a:off x="585000" y="774000"/>
                            <a:ext cx="2367000" cy="162000"/>
                          </a:xfrm>
                          <a:prstGeom prst="straightConnector1">
                            <a:avLst/>
                          </a:prstGeom>
                          <a:ln w="12700">
                            <a:solidFill>
                              <a:srgbClr val="7F7F7F"/>
                            </a:solidFill>
                          </a:ln>
                        </wps:spPr>
                        <wps:bodyPr/>
                      </wps:wsp>
                      <wps:wsp>
                        <wps:cNvPr id="53" name="Shape 53"/>
                        <wps:cNvSpPr/>
                        <wps:spPr>
                          <a:xfrm>
                            <a:off x="1220400" y="396000"/>
                            <a:ext cx="1098000" cy="37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Aktivlar</w:t>
                              </w:r>
                            </w:p>
                            <w:p>
                              <w:pPr>
                                <w:spacing w:before="0" w:after="0" w:line="228" w:lineRule="auto"/>
                                <w:jc w:val="center"/>
                                <w:ind w:firstLine="0"/>
                              </w:pPr>
                              <w:r>
                                <w:rPr>
                                  <w:rFonts w:ascii="Times New Roman" w:hAnsi="Times New Roman" w:cs="Times New Roman"/>
                                  <w:b/>
                                  <w:color w:val="FFFFFF"/>
                                  <w:sz w:val="20"/>
                                  <w:szCs w:val="20"/>
                                </w:rPr>
                                <w:t xml:space="preserve">sifati</w:t>
                              </w:r>
                            </w:p>
                          </w:txbxContent>
                        </wps:txbx>
                        <wps:bodyPr rot="0" vert="horz" wrap="square" lIns="36000" tIns="18000" rIns="36000" bIns="18000" anchor="ctr" anchorCtr="0">
                          <a:noAutofit/>
                        </wps:bodyPr>
                      </wps:wsp>
                      <wps:wsp>
                        <wps:cNvPr id="54" name="Connector 54"/>
                        <wps:cNvCnPr/>
                        <wps:spPr>
                          <a:xfrm>
                            <a:off x="1769400" y="774000"/>
                            <a:ext cx="1182600" cy="162000"/>
                          </a:xfrm>
                          <a:prstGeom prst="straightConnector1">
                            <a:avLst/>
                          </a:prstGeom>
                          <a:ln w="12700">
                            <a:solidFill>
                              <a:srgbClr val="7F7F7F"/>
                            </a:solidFill>
                          </a:ln>
                        </wps:spPr>
                        <wps:bodyPr/>
                      </wps:wsp>
                      <wps:wsp>
                        <wps:cNvPr id="55" name="Shape 55"/>
                        <wps:cNvSpPr/>
                        <wps:spPr>
                          <a:xfrm>
                            <a:off x="2404800" y="396000"/>
                            <a:ext cx="1098000" cy="37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Likvidlik</w:t>
                              </w:r>
                            </w:p>
                          </w:txbxContent>
                        </wps:txbx>
                        <wps:bodyPr rot="0" vert="horz" wrap="square" lIns="36000" tIns="18000" rIns="36000" bIns="18000" anchor="ctr" anchorCtr="0">
                          <a:noAutofit/>
                        </wps:bodyPr>
                      </wps:wsp>
                      <wps:wsp>
                        <wps:cNvPr id="56" name="Connector 56"/>
                        <wps:cNvCnPr/>
                        <wps:spPr>
                          <a:xfrm flipH="1">
                            <a:off x="2952000" y="774000"/>
                            <a:ext cx="1800" cy="162000"/>
                          </a:xfrm>
                          <a:prstGeom prst="straightConnector1">
                            <a:avLst/>
                          </a:prstGeom>
                          <a:ln w="12700">
                            <a:solidFill>
                              <a:srgbClr val="7F7F7F"/>
                            </a:solidFill>
                          </a:ln>
                        </wps:spPr>
                        <wps:bodyPr/>
                      </wps:wsp>
                      <wps:wsp>
                        <wps:cNvPr id="57" name="Shape 57"/>
                        <wps:cNvSpPr/>
                        <wps:spPr>
                          <a:xfrm>
                            <a:off x="3589200" y="396000"/>
                            <a:ext cx="1098000" cy="378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Daromad-</w:t>
                              </w:r>
                            </w:p>
                            <w:p>
                              <w:pPr>
                                <w:spacing w:before="0" w:after="0" w:line="228" w:lineRule="auto"/>
                                <w:jc w:val="center"/>
                                <w:ind w:firstLine="0"/>
                              </w:pPr>
                              <w:r>
                                <w:rPr>
                                  <w:rFonts w:ascii="Times New Roman" w:hAnsi="Times New Roman" w:cs="Times New Roman"/>
                                  <w:b/>
                                  <w:color w:val="000000"/>
                                  <w:sz w:val="20"/>
                                  <w:szCs w:val="20"/>
                                </w:rPr>
                                <w:t xml:space="preserve">lilik</w:t>
                              </w:r>
                            </w:p>
                          </w:txbxContent>
                        </wps:txbx>
                        <wps:bodyPr rot="0" vert="horz" wrap="square" lIns="36000" tIns="18000" rIns="36000" bIns="18000" anchor="ctr" anchorCtr="0">
                          <a:noAutofit/>
                        </wps:bodyPr>
                      </wps:wsp>
                      <wps:wsp>
                        <wps:cNvPr id="58" name="Connector 58"/>
                        <wps:cNvCnPr/>
                        <wps:spPr>
                          <a:xfrm flipH="1">
                            <a:off x="2952000" y="774000"/>
                            <a:ext cx="1186200" cy="162000"/>
                          </a:xfrm>
                          <a:prstGeom prst="straightConnector1">
                            <a:avLst/>
                          </a:prstGeom>
                          <a:ln w="12700">
                            <a:solidFill>
                              <a:srgbClr val="7F7F7F"/>
                            </a:solidFill>
                          </a:ln>
                        </wps:spPr>
                        <wps:bodyPr/>
                      </wps:wsp>
                      <wps:wsp>
                        <wps:cNvPr id="59" name="Shape 59"/>
                        <wps:cNvSpPr/>
                        <wps:spPr>
                          <a:xfrm>
                            <a:off x="4773600" y="396000"/>
                            <a:ext cx="1098000" cy="378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Boshqaruv</w:t>
                              </w:r>
                            </w:p>
                            <w:p>
                              <w:pPr>
                                <w:spacing w:before="0" w:after="0" w:line="228" w:lineRule="auto"/>
                                <w:jc w:val="center"/>
                                <w:ind w:firstLine="0"/>
                              </w:pPr>
                              <w:r>
                                <w:rPr>
                                  <w:rFonts w:ascii="Times New Roman" w:hAnsi="Times New Roman" w:cs="Times New Roman"/>
                                  <w:b/>
                                  <w:color w:val="000000"/>
                                  <w:sz w:val="20"/>
                                  <w:szCs w:val="20"/>
                                </w:rPr>
                                <w:t xml:space="preserve">sifati</w:t>
                              </w:r>
                            </w:p>
                          </w:txbxContent>
                        </wps:txbx>
                        <wps:bodyPr rot="0" vert="horz" wrap="square" lIns="36000" tIns="18000" rIns="36000" bIns="18000" anchor="ctr" anchorCtr="0">
                          <a:noAutofit/>
                        </wps:bodyPr>
                      </wps:wsp>
                      <wps:wsp>
                        <wps:cNvPr id="60" name="Connector 60"/>
                        <wps:cNvCnPr/>
                        <wps:spPr>
                          <a:xfrm flipH="1">
                            <a:off x="2952000" y="774000"/>
                            <a:ext cx="2370600" cy="162000"/>
                          </a:xfrm>
                          <a:prstGeom prst="straightConnector1">
                            <a:avLst/>
                          </a:prstGeom>
                          <a:ln w="12700">
                            <a:solidFill>
                              <a:srgbClr val="7F7F7F"/>
                            </a:solidFill>
                          </a:ln>
                        </wps:spPr>
                        <wps:bodyPr/>
                      </wps:wsp>
                      <wps:wsp>
                        <wps:cNvPr id="61" name="Shape 61"/>
                        <wps:cNvSpPr/>
                        <wps:spPr>
                          <a:xfrm>
                            <a:off x="36000" y="936000"/>
                            <a:ext cx="1872000" cy="45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Daraja</w:t>
                              </w:r>
                            </w:p>
                            <w:p>
                              <w:pPr>
                                <w:spacing w:before="0" w:after="0" w:line="228" w:lineRule="auto"/>
                                <w:jc w:val="center"/>
                                <w:ind w:firstLine="0"/>
                              </w:pPr>
                              <w:r>
                                <w:rPr>
                                  <w:rFonts w:ascii="Times New Roman" w:hAnsi="Times New Roman" w:cs="Times New Roman"/>
                                  <w:color w:val="000000"/>
                                  <w:sz w:val="18"/>
                                  <w:szCs w:val="18"/>
                                </w:rPr>
                                <w:t xml:space="preserve">xalqaro va milliy</w:t>
                              </w:r>
                            </w:p>
                            <w:p>
                              <w:pPr>
                                <w:spacing w:before="0" w:after="0" w:line="228" w:lineRule="auto"/>
                                <w:jc w:val="center"/>
                                <w:ind w:firstLine="0"/>
                              </w:pPr>
                              <w:r>
                                <w:rPr>
                                  <w:rFonts w:ascii="Times New Roman" w:hAnsi="Times New Roman" w:cs="Times New Roman"/>
                                  <w:color w:val="000000"/>
                                  <w:sz w:val="18"/>
                                  <w:szCs w:val="18"/>
                                </w:rPr>
                                <w:t xml:space="preserve">chegaralarga nisbatan</w:t>
                              </w:r>
                            </w:p>
                          </w:txbxContent>
                        </wps:txbx>
                        <wps:bodyPr rot="0" vert="horz" wrap="square" lIns="36000" tIns="18000" rIns="36000" bIns="18000" anchor="ctr" anchorCtr="0">
                          <a:noAutofit/>
                        </wps:bodyPr>
                      </wps:wsp>
                      <wps:wsp>
                        <wps:cNvPr id="62" name="Shape 62"/>
                        <wps:cNvSpPr/>
                        <wps:spPr>
                          <a:xfrm>
                            <a:off x="1998000" y="936000"/>
                            <a:ext cx="1872000" cy="45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Dinamika</w:t>
                              </w:r>
                            </w:p>
                            <w:p>
                              <w:pPr>
                                <w:spacing w:before="0" w:after="0" w:line="228" w:lineRule="auto"/>
                                <w:jc w:val="center"/>
                                <w:ind w:firstLine="0"/>
                              </w:pPr>
                              <w:r>
                                <w:rPr>
                                  <w:rFonts w:ascii="Times New Roman" w:hAnsi="Times New Roman" w:cs="Times New Roman"/>
                                  <w:color w:val="000000"/>
                                  <w:sz w:val="18"/>
                                  <w:szCs w:val="18"/>
                                </w:rPr>
                                <w:t xml:space="preserve">3–5 yillik trend</w:t>
                              </w:r>
                            </w:p>
                            <w:p>
                              <w:pPr>
                                <w:spacing w:before="0" w:after="0" w:line="228" w:lineRule="auto"/>
                                <w:jc w:val="center"/>
                                <w:ind w:firstLine="0"/>
                              </w:pPr>
                              <w:r>
                                <w:rPr>
                                  <w:rFonts w:ascii="Times New Roman" w:hAnsi="Times New Roman" w:cs="Times New Roman"/>
                                  <w:color w:val="000000"/>
                                  <w:sz w:val="18"/>
                                  <w:szCs w:val="18"/>
                                </w:rPr>
                                <w:t xml:space="preserve">va tebranish</w:t>
                              </w:r>
                            </w:p>
                          </w:txbxContent>
                        </wps:txbx>
                        <wps:bodyPr rot="0" vert="horz" wrap="square" lIns="36000" tIns="18000" rIns="36000" bIns="18000" anchor="ctr" anchorCtr="0">
                          <a:noAutofit/>
                        </wps:bodyPr>
                      </wps:wsp>
                      <wps:wsp>
                        <wps:cNvPr id="63" name="Shape 63"/>
                        <wps:cNvSpPr/>
                        <wps:spPr>
                          <a:xfrm>
                            <a:off x="3960000" y="936000"/>
                            <a:ext cx="1872000" cy="45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Muvozanat</w:t>
                              </w:r>
                            </w:p>
                            <w:p>
                              <w:pPr>
                                <w:spacing w:before="0" w:after="0" w:line="228" w:lineRule="auto"/>
                                <w:jc w:val="center"/>
                                <w:ind w:firstLine="0"/>
                              </w:pPr>
                              <w:r>
                                <w:rPr>
                                  <w:rFonts w:ascii="Times New Roman" w:hAnsi="Times New Roman" w:cs="Times New Roman"/>
                                  <w:color w:val="000000"/>
                                  <w:sz w:val="18"/>
                                  <w:szCs w:val="18"/>
                                </w:rPr>
                                <w:t xml:space="preserve">bloklar o‘rtasidagi</w:t>
                              </w:r>
                            </w:p>
                            <w:p>
                              <w:pPr>
                                <w:spacing w:before="0" w:after="0" w:line="228" w:lineRule="auto"/>
                                <w:jc w:val="center"/>
                                <w:ind w:firstLine="0"/>
                              </w:pPr>
                              <w:r>
                                <w:rPr>
                                  <w:rFonts w:ascii="Times New Roman" w:hAnsi="Times New Roman" w:cs="Times New Roman"/>
                                  <w:color w:val="000000"/>
                                  <w:sz w:val="18"/>
                                  <w:szCs w:val="18"/>
                                </w:rPr>
                                <w:t xml:space="preserve">mutanosiblik</w:t>
                              </w:r>
                            </w:p>
                          </w:txbxContent>
                        </wps:txbx>
                        <wps:bodyPr rot="0" vert="horz" wrap="square" lIns="36000" tIns="18000" rIns="36000" bIns="18000" anchor="ctr" anchorCtr="0">
                          <a:noAutofit/>
                        </wps:bodyPr>
                      </wps:wsp>
                      <wps:wsp>
                        <wps:cNvPr id="64" name="Connector 64"/>
                        <wps:cNvCnPr/>
                        <wps:spPr>
                          <a:xfrm>
                            <a:off x="2952000" y="1386000"/>
                            <a:ext cx="0" cy="162000"/>
                          </a:xfrm>
                          <a:prstGeom prst="straightConnector1">
                            <a:avLst/>
                          </a:prstGeom>
                          <a:ln w="19050">
                            <a:solidFill>
                              <a:srgbClr val="404040"/>
                            </a:solidFill>
                            <a:tailEnd type="triangle" w="med" len="med"/>
                          </a:ln>
                        </wps:spPr>
                        <wps:bodyPr/>
                      </wps:wsp>
                      <wps:wsp>
                        <wps:cNvPr id="65" name="Shape 65"/>
                        <wps:cNvSpPr/>
                        <wps:spPr>
                          <a:xfrm>
                            <a:off x="1332000" y="1548000"/>
                            <a:ext cx="3240000" cy="34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Integral moliyaviy barqarorlik ko‘rsatkichi</w:t>
                              </w:r>
                            </w:p>
                          </w:txbxContent>
                        </wps:txbx>
                        <wps:bodyPr rot="0" vert="horz" wrap="square" lIns="36000" tIns="18000" rIns="36000" bIns="18000" anchor="ctr" anchorCtr="0">
                          <a:noAutofit/>
                        </wps:bodyPr>
                      </wps:wsp>
                      <wps:wsp>
                        <wps:cNvPr id="66" name="Connector 66"/>
                        <wps:cNvCnPr/>
                        <wps:spPr>
                          <a:xfrm flipH="1">
                            <a:off x="1512000" y="1890000"/>
                            <a:ext cx="648000" cy="180000"/>
                          </a:xfrm>
                          <a:prstGeom prst="straightConnector1">
                            <a:avLst/>
                          </a:prstGeom>
                          <a:ln w="15875">
                            <a:solidFill>
                              <a:srgbClr val="404040"/>
                            </a:solidFill>
                            <a:tailEnd type="triangle" w="med" len="med"/>
                          </a:ln>
                        </wps:spPr>
                        <wps:bodyPr/>
                      </wps:wsp>
                      <wps:wsp>
                        <wps:cNvPr id="67" name="Connector 67"/>
                        <wps:cNvCnPr/>
                        <wps:spPr>
                          <a:xfrm>
                            <a:off x="3744000" y="1890000"/>
                            <a:ext cx="648000" cy="180000"/>
                          </a:xfrm>
                          <a:prstGeom prst="straightConnector1">
                            <a:avLst/>
                          </a:prstGeom>
                          <a:ln w="15875">
                            <a:solidFill>
                              <a:srgbClr val="404040"/>
                            </a:solidFill>
                            <a:tailEnd type="triangle" w="med" len="med"/>
                          </a:ln>
                        </wps:spPr>
                        <wps:bodyPr/>
                      </wps:wsp>
                      <wps:wsp>
                        <wps:cNvPr id="68" name="Shape 68"/>
                        <wps:cNvSpPr/>
                        <wps:spPr>
                          <a:xfrm>
                            <a:off x="36000" y="2070000"/>
                            <a:ext cx="2844000" cy="342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Erta ogohlantirish signallari</w:t>
                              </w:r>
                            </w:p>
                          </w:txbxContent>
                        </wps:txbx>
                        <wps:bodyPr rot="0" vert="horz" wrap="square" lIns="36000" tIns="18000" rIns="36000" bIns="18000" anchor="ctr" anchorCtr="0">
                          <a:noAutofit/>
                        </wps:bodyPr>
                      </wps:wsp>
                      <wps:wsp>
                        <wps:cNvPr id="69" name="Shape 69"/>
                        <wps:cNvSpPr/>
                        <wps:spPr>
                          <a:xfrm>
                            <a:off x="3024000" y="2070000"/>
                            <a:ext cx="2844000" cy="342000"/>
                          </a:xfrm>
                          <a:prstGeom prst="roundRect">
                            <a:avLst>
                              <a:gd name="adj" fmla="val 10000"/>
                            </a:avLst>
                          </a:prstGeom>
                          <a:solidFill>
                            <a:srgbClr val="E2EFDA"/>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Nazorat choralari</w:t>
                              </w:r>
                            </w:p>
                          </w:txbxContent>
                        </wps:txbx>
                        <wps:bodyPr rot="0" vert="horz" wrap="square" lIns="36000" tIns="18000" rIns="36000" bIns="18000" anchor="ctr" anchorCtr="0">
                          <a:noAutofit/>
                        </wps:bodyPr>
                      </wps:wsp>
                      <wps:wsp>
                        <wps:cNvPr id="70" name="Shape 70"/>
                        <wps:cNvSpPr/>
                        <wps:spPr>
                          <a:xfrm>
                            <a:off x="36000" y="2484000"/>
                            <a:ext cx="5832000" cy="270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Kelajakka yo‘naltirilgan baho: stress-test va kutilgan kredit zararlari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1.1.7-rasm. Tijorat banklari moliyaviy barqarorligini baholashning konseptual modeli</w:t>
      </w:r>
      <w:r>
        <w:rPr>
          <w:rStyle w:val="FootnoteReference"/>
        </w:rPr>
        <w:footnoteReference w:id="104"/>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modelda moliyaviy barqarorlik besh blok – kapital, aktivlar sifati, likvidlik, daromadlilik va boshqaruv sifati orqali tavsiflanadi. Har bir blok ko‘rsatkichlari uch o‘lchovda baholanadi: birinchidan, xalqaro standartlar va milliy me’yorlarda belgilangan chegaralarga nisbatan darajasi; ikkinchidan, bir necha yillik dinamikasi; uchinchidan, boshqa bloklar bilan muvozanati. Bloklar baholari integral ko‘rsatkichga birlashtiriladi va u erta ogohlantirish signallari hamda nazorat choralari bilan bog‘lanadi. Modelning tashqi qatlamida esa makroiqtisodiy muhit va tizimli risklar, shuningdek, stress-test va kutilgan kredit zararlari orqali kelajakka yo‘naltirilgan baho hisobga olinadi. Bu yondashuv moliyaviy barqarorlikni bir tomondan miqdoriy o‘lchanadigan, ikkinchi tomondan dinamik va tizimli tushuncha sifatida qarash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barqarorligining iqtisodiy mazmuni va konseptual modellarini tadqiq etgan holda xulosa qilish mumkinki, moliyaviy barqarorlik stabillik, ishonchlilik va muvozanat kabi yaqin tushunchalardan farqli o‘laroq, bankning rivojlanish jarayoniga xos dinamik va kompleks xususiyatdir. Iqtisodiy adabiyotda bu tushunchaga resurs, institutsional-funksional, ishonch hamda risk va chidamlilik yondashuvlari asosida turlicha ta’rif berilgan bo‘lib, ular bir-birini to‘ldiradi. Moliyaviy barqarorlik alohida bank, bank tizimi va moliya tizimi darajalarida namoyon bo‘ladi va bu darajalar o‘zaro ta’sirda bo‘ladi, unga esa tashqi va ichki omillar, jumladan, ishonch va aktivlar sifati hal qiluvchi ta’sir ko‘rsatadi. Likvidlik yaratish, moliyaviy beqarorlik, kapital-bufer, Z-score, makroprudensial va kelajakka yo‘naltirilgan risk modellari moliyaviy barqarorlikning turli tomonlarini tushuntiradi, nazorat amaliyoti esa mikroprudensial konsepsiyadan makroprudensial va kelajakka yo‘naltirilgan konsepsiyalar sinteziga o‘tmoqda, ammo ularning birortasi alohida olinganda tijorat banki barqarorligini to‘liq tavsiflay olmaydi. Bu o‘z navbatida, kapital, aktivlar sifati, likvidlik, daromadlilik va boshqaruv sifati bloklarini ularning darajasi, dinamikasi va muvozanati bilan birga hisobga oladigan integral baholash metodikasini ishlab chiqish zaruriyatini yuzaga keltiradi. Bunday metodikaning xalqaro standartlar bilan bog‘liqligi keyingi paragrafda tahlil qilinadi.</w:t>
      </w:r>
    </w:p>
    <w:bookmarkEnd w:id="1"/>
    <w:bookmarkStart w:id="2" w:name="X14b3294ce8678c3fd3856a91dee6c3d5b919cac"/>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1.2-§. Banklar moliyaviy barqarorligini baholashning xalqaro standartlari va metodologik yondashuvlari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tijorat banklari moliyaviy barqarorligining iqtisodiy mazmuni va uni tushuntiruvchi konseptual modellar ko‘rib chiqildi hamda moliyaviy barqarorlik xalqaro standartlarda belgilangan chegaralarga nisbatan o‘lchanishi lozimligi asoslandi. Endi bu barqarorlikni nima uchun va qanday baholash kerak, degan masala turadi. Baholash amaliyoti har doim muayyan nazariy qarashlarga tayanadi: qaysi ko‘rsatkich tanlanishi, ularga qanday vazn berilishi, natija qanday shkalada ifodalanishi va undan kim foydalanishi baholovchining bank tabiati, risklari va davlat aralashuvining chegaralari haqidagi tasavvuriga bog‘liq. Shu bilan birga, so‘nggi o‘ttiz yilda bu qarashlar Bazel qo‘mitasi standartlari, Moliyaviy hisobotning xalqaro standartlari (MHXS) va Xalqaro valyuta jamg‘armasining moliyaviy barqarorlik ko‘rsatkichlari shaklida xalqaro miqyosda unifikatsiya qilindi. Shu sababli ushbu paragrafda avval baholashning nazariy asoslari va metodologik yondashuvlari, so‘ngra ularning amaliy ifodasi bo‘lgan xalqaro standartlar tahlil qilinadi.</w:t>
      </w:r>
    </w:p>
    <w:p>
      <w:pPr>
        <w:pStyle w:val="BodyText"/>
        <w:spacing w:line="360" w:lineRule="auto" w:before="0" w:after="0"/>
        <w:ind w:firstLine="709"/>
        <w:jc w:val="both"/>
      </w:pPr>
      <w:r>
        <w:rPr>
          <w:rFonts w:ascii="Times New Roman" w:hAnsi="Times New Roman" w:cs="Times New Roman" w:eastAsia="Times New Roman"/>
          <w:sz w:val="28"/>
        </w:rPr>
        <w:t xml:space="preserve">Nima uchun aynan banklar faoliyati maxsus baholanishi va tartibga solinishi kerak, degan savolga iqtisodiy nazariya bir necha javob beradi, ularning umumiy negizi esa bozor nosozliklari nazariyasidir. C.M. Peláez va C.A. Peláez regulyatsiya nazariyasida jamoat manfaati va xususiy manfaat yondashuvlarini ajratib, axborot nosozligi, ya’ni axborot asimmetriyasi, noxush tanlov va ma’naviy xavf uchun asosiy siyosat vositasi prudensial nazorat ekanini, uning maqsadi esa moliyaviy barqarorlikni ta’minlash hamda omonatchi va aksiyadorlarni himoya qilish ekanini ko‘rsatadi</w:t>
      </w:r>
      <w:r>
        <w:rPr>
          <w:rStyle w:val="FootnoteReference"/>
        </w:rPr>
        <w:footnoteReference w:id="105"/>
      </w:r>
      <w:r>
        <w:rPr>
          <w:rFonts w:ascii="Times New Roman" w:hAnsi="Times New Roman" w:cs="Times New Roman" w:eastAsia="Times New Roman"/>
          <w:sz w:val="28"/>
        </w:rPr>
        <w:t xml:space="preserve">. Demak, moliyaviy barqarorlik nazariy jihatdan prudensial regulyatsiyaning yakuniy maqsadi, uni baholash esa shu maqsadga qanchalik erishilganini o‘lchash vositasi hisoblanadi. D.K. Tarullo bank regulyatsiyasining uch nazariy asosini – bank aktivlarini tashqaridan baholash qiyinligini, depozitlarni sug‘urtalash va oxirgi instansiya kreditori tug‘diradigan ma’naviy xavfni hamda tizimli riskni ajratadi</w:t>
      </w:r>
      <w:r>
        <w:rPr>
          <w:rStyle w:val="FootnoteReference"/>
        </w:rPr>
        <w:footnoteReference w:id="106"/>
      </w:r>
      <w:r>
        <w:rPr>
          <w:rFonts w:ascii="Times New Roman" w:hAnsi="Times New Roman" w:cs="Times New Roman" w:eastAsia="Times New Roman"/>
          <w:sz w:val="28"/>
        </w:rPr>
        <w:t xml:space="preserve">. T.F. Cargill esa banklar orqali bilvosita moliyalashni G. Akerlofning «limonlar» muammosiga bozorning o‘zi topgan yechim sifatida baholaydi</w:t>
      </w:r>
      <w:r>
        <w:rPr>
          <w:rStyle w:val="FootnoteReference"/>
        </w:rPr>
        <w:footnoteReference w:id="107"/>
      </w:r>
      <w:r>
        <w:rPr>
          <w:rFonts w:ascii="Times New Roman" w:hAnsi="Times New Roman" w:cs="Times New Roman" w:eastAsia="Times New Roman"/>
          <w:sz w:val="28"/>
        </w:rPr>
        <w:t xml:space="preserve">. Axborot asimmetriyasi baholash uchun ikki tomonlama ahamiyatga ega: u tashqi baholashni zarur qiladi, chunki omonatchi bankning haqiqiy holatini mustaqil aniqlay olmaydi, shu bilan birga, baholashning o‘zini ham cheklaydi, chunki tashqi baholovchi faqat bank oshkor qilgan axborotga tayanadi. Shuning uchun baho ishonchliligi hisobotning sifati va uning qaysi standart asosida tuzilganiga bevosita bog‘liq.</w:t>
      </w:r>
    </w:p>
    <w:p>
      <w:pPr>
        <w:pStyle w:val="BodyText"/>
        <w:spacing w:line="360" w:lineRule="auto" w:before="0" w:after="0"/>
        <w:ind w:firstLine="709"/>
        <w:jc w:val="both"/>
      </w:pPr>
      <w:r>
        <w:rPr>
          <w:rFonts w:ascii="Times New Roman" w:hAnsi="Times New Roman" w:cs="Times New Roman" w:eastAsia="Times New Roman"/>
          <w:sz w:val="28"/>
        </w:rPr>
        <w:t xml:space="preserve">Bank tahlilining yana bir nazariy asosi talab qilib olinguncha depozitlarning zaifligi bilan bog‘liq. Peláez D. Diamond va R. Rajan modelini tahlil qilib, bank depozitlar orqali likvidlik yaratishini, biroq «navbat bo‘yicha to‘lash» xususiyati o‘z-o‘zini amalga oshiruvchi ommaviy mablag‘ talab qilishni keltirib chiqarishi mumkinligini, bunda kapital aktivlar qiymatidagi shoklarga qarshi bufer vazifasini bajarishini ko‘rsatadi</w:t>
      </w:r>
      <w:r>
        <w:rPr>
          <w:rStyle w:val="FootnoteReference"/>
        </w:rPr>
        <w:footnoteReference w:id="108"/>
      </w:r>
      <w:r>
        <w:rPr>
          <w:rFonts w:ascii="Times New Roman" w:hAnsi="Times New Roman" w:cs="Times New Roman" w:eastAsia="Times New Roman"/>
          <w:sz w:val="28"/>
        </w:rPr>
        <w:t xml:space="preserve">. Tarullo kapitalning uch funksiyasini – yo‘qotishlarga qarshi bufer, bank yiqilganda kreditorlarni himoya qilish va mulkdorlarning ortiqcha risk olishiga to‘siq bo‘lishni ajratadi va minimal regulyativ kapital talabini kapitalning optimal darajasi bilan adashtirmaslik kerakligini ta’kidlaydi</w:t>
      </w:r>
      <w:r>
        <w:rPr>
          <w:rStyle w:val="FootnoteReference"/>
        </w:rPr>
        <w:footnoteReference w:id="109"/>
      </w:r>
      <w:r>
        <w:rPr>
          <w:rFonts w:ascii="Times New Roman" w:hAnsi="Times New Roman" w:cs="Times New Roman" w:eastAsia="Times New Roman"/>
          <w:sz w:val="28"/>
        </w:rPr>
        <w:t xml:space="preserve">. Bu qoida baholash metodikasi uchun muhim xulosa beradi: kapital ko‘rsatkichini baholashda regulyativ minimumning bajarilishi yetarli emas, bank minimumdan qanchalik yuqori zaxiraga ega ekani ham hisobga olinishi lozim. Nihoyat, bank inqirozining xarajati bankning o‘zi bilan cheklanmaydi: O.N. Afanasyeva va S.E. Dubova tizimli riskning kesim o‘lchovini, ya’ni konsentratsiya va o‘zaro bog‘liqlikni hamda vaqt o‘lchovini, ya’ni protsiklik va leverejni ajratadi</w:t>
      </w:r>
      <w:r>
        <w:rPr>
          <w:rStyle w:val="FootnoteReference"/>
        </w:rPr>
        <w:footnoteReference w:id="110"/>
      </w:r>
      <w:r>
        <w:rPr>
          <w:rFonts w:ascii="Times New Roman" w:hAnsi="Times New Roman" w:cs="Times New Roman" w:eastAsia="Times New Roman"/>
          <w:sz w:val="28"/>
        </w:rPr>
        <w:t xml:space="preserve">. Bu ajratish moliyaviy barqarorlikni alohida bank va bank tizimi darajasida baholash uchun nazariy asos bo‘ladi. Yuqoridagi nazariyalar asosida baholash zaruratining to‘rt asosini ajratish mumkin (1.2.1-jadval).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Banklar moliyaviy barqarorligini baholash zaruratining nazariy asoslari</w:t>
      </w:r>
      <w:r>
        <w:rPr>
          <w:rStyle w:val="FootnoteReference"/>
        </w:rPr>
        <w:footnoteReference w:id="111"/>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3175"/>
        <w:gridCol w:w="3912"/>
      </w:tblGrid>
      <w:tr>
        <w:trPr>
          <w:tblHeader w:val="true"/>
          <w:cantSplit/>
          <w:tblHeader/>
        </w:trPr>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Nazariy asos</w:t>
            </w:r>
          </w:p>
        </w:tc>
        <w:tc>
          <w:tcPr>
            <w:tcW w:type="dxa" w:w="317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Mohiyati</w:t>
            </w:r>
          </w:p>
        </w:tc>
        <w:tc>
          <w:tcPr>
            <w:tcW w:type="dxa" w:w="391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Baholash metodikasi uchun xulosa</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Axborot asimmetriyasi</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Bank aktivlari sifatini tashqaridan aniqlash qiyin</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Mustaqil tashqi baho zarur; natija hisobot sifati va standartiga bog‘liq</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Depozit shartnomasining zaifligi</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Ishonch yo‘qolsa, ommaviy mablag‘ talab qilish yuz berishi mumkin</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Likvidlik va moliyalashtirish barqarorligi alohida blok sifatida baholanadi</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Kapitalning bufer funksiyasi</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Kapital kutilmagan yo‘qotishlarni qoplaydi, ammo uning narxi bor</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Kapital markaziy blok; baho minimumdan ortiq zaxiraga qarab beriladi</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Tizimli risk va tashqi ta’sir</w:t>
            </w:r>
          </w:p>
        </w:tc>
        <w:tc>
          <w:tcPr>
            <w:tcW w:type="dxa" w:w="3175"/>
          </w:tcPr>
          <w:p>
            <w:pPr>
              <w:pStyle w:val="Compact"/>
              <w:spacing w:line="240" w:lineRule="auto"/>
              <w:ind w:firstLine="0"/>
              <w:jc w:val="left"/>
            </w:pPr>
            <w:r>
              <w:rPr>
                <w:rFonts w:ascii="Times New Roman" w:hAnsi="Times New Roman" w:cs="Times New Roman" w:eastAsia="Times New Roman"/>
                <w:sz w:val="22"/>
              </w:rPr>
              <w:t xml:space="preserve">Bitta bank inqirozi butun tizimga tarqaladi</w:t>
            </w:r>
          </w:p>
        </w:tc>
        <w:tc>
          <w:tcPr>
            <w:tcW w:type="dxa" w:w="3912"/>
          </w:tcPr>
          <w:p>
            <w:pPr>
              <w:pStyle w:val="Compact"/>
              <w:spacing w:line="240" w:lineRule="auto"/>
              <w:ind w:firstLine="0"/>
              <w:jc w:val="left"/>
            </w:pPr>
            <w:r>
              <w:rPr>
                <w:rFonts w:ascii="Times New Roman" w:hAnsi="Times New Roman" w:cs="Times New Roman" w:eastAsia="Times New Roman"/>
                <w:sz w:val="22"/>
              </w:rPr>
              <w:t xml:space="preserve">Alohida bank va tizim darajasidagi baholash uyg‘unlashtiriladi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baholash zaruratining har bir nazariy asosi baholash metodikasiga o‘z talabini qo‘yadi va bu talablar keyinchalik baholash bloklari sifatida namoyon bo‘ladi. Shu bilan birga, baholash metodikasini tuzishda aynan nima baholanayotganini aniq belgilash kerak, chunki amaliyotda «bankning moliyaviy holatini baholash» va «moliyaviy barqarorligini baholash» iboralari ko‘pincha sinonim sifatida ishlatiladi. O.I. Lavrushin va I.D. Mamonova bu farqni quyidagicha izohlaydi: moliyaviy holat ma’lum sanadagi statik baho bo‘lsa, moliyaviy barqarorlik bankning tashqi va ichki risklarga nisbatan moliyaviy mustahkamlik zaxirasini aks ettiruvchi dinamik tavsifdir</w:t>
      </w:r>
      <w:r>
        <w:rPr>
          <w:rStyle w:val="FootnoteReference"/>
        </w:rPr>
        <w:footnoteReference w:id="112"/>
      </w:r>
      <w:r>
        <w:rPr>
          <w:rFonts w:ascii="Times New Roman" w:hAnsi="Times New Roman" w:cs="Times New Roman" w:eastAsia="Times New Roman"/>
          <w:sz w:val="28"/>
        </w:rPr>
        <w:t xml:space="preserve">. Mualliflar fikricha, barqarorlik ikki shartga – oqim va natijalarning kamida 3–5 yillik dinamikadagi stabilligiga hamda tizim elementlarining muvozanatiga tayanadi, masalan, kreditlar o‘sishi depozitlar, kapital, zaxiralar va foyda o‘sishi bilan birga borishi lozim</w:t>
      </w:r>
      <w:r>
        <w:rPr>
          <w:rStyle w:val="FootnoteReference"/>
        </w:rPr>
        <w:footnoteReference w:id="113"/>
      </w:r>
      <w:r>
        <w:rPr>
          <w:rFonts w:ascii="Times New Roman" w:hAnsi="Times New Roman" w:cs="Times New Roman" w:eastAsia="Times New Roman"/>
          <w:sz w:val="28"/>
        </w:rPr>
        <w:t xml:space="preserve">. Bundan kelib chiqadiki, ayrim ko‘rsatkichlarning juda yuqori qiymati ham ijobiy baholanmasligi mumkin: kreditlarning keskin o‘sishi bir qarashda faollik belgisi bo‘lsa-da, u erta ogohlantirish signallari qatoriga kiritiladi</w:t>
      </w:r>
      <w:r>
        <w:rPr>
          <w:rStyle w:val="FootnoteReference"/>
        </w:rPr>
        <w:footnoteReference w:id="114"/>
      </w:r>
      <w:r>
        <w:rPr>
          <w:rFonts w:ascii="Times New Roman" w:hAnsi="Times New Roman" w:cs="Times New Roman" w:eastAsia="Times New Roman"/>
          <w:sz w:val="28"/>
        </w:rPr>
        <w:t xml:space="preserve">, A.M. Karminskiyning ekonometrik modellarida esa kapitalning aktivlarga nisbati va kreditlar ulushi bank barqarorligiga optimal oraliq orqali ta’sir qilishi aniqlangan</w:t>
      </w:r>
      <w:r>
        <w:rPr>
          <w:rStyle w:val="FootnoteReference"/>
        </w:rPr>
        <w:footnoteReference w:id="11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Yuqoridagilarga asoslanib, muallif tomonidan tijorat banki moliyaviy barqarorligini baholashning quyidagi ishchi ta’rifi taklif etiladi: bu bankning kapital, aktivlar sifati, daromadlilik, likvidlik va bozor risklariga sezgirlik bo‘yicha joriy holati, uning dinamikasi va muvozanatini xalqaro standartlarga muvofiq mezoniy qiymatlar asosida o‘lchab, yagona integral bahoga keltirish orqali bankning tashqi va ichki shoklarga bardosh berish qobiliyatini aniqlash jarayonidir. Bu ta’rif «moliyaviy holatni baholash»dan uch jihati bilan farq qiladi: dinamika va muvozanat baholash obyektiga kiritilgan, baho mezoniy qiymatlarga tayanadi va natija yagona integral baho shaklida ifodalanadi. U, shuningdek, M. Čihák ta’kidlagan barqarorlikning «operatsion» ta’rifi talabiga ham javob beradi, chunki kuzatiladigan ko‘rsatkichlar bloklari va ularning mezonlarini aniq belgilaydi</w:t>
      </w:r>
      <w:r>
        <w:rPr>
          <w:rStyle w:val="FootnoteReference"/>
        </w:rPr>
        <w:footnoteReference w:id="11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Baholash obyekti aniqlangach, uning tamoyillarini belgilash lozim. Ilmiy adabiyot tahlili ularning eng muhimlari sifatida dinamiklik, komplekslik, qiyosiylik, shaffoflik va verifikatsiya qilinuvchanlikni ajratish imkonini beradi. Lavrushin va Mamonova kamida 2–3 yillik dinamika va bir turdagi banklar bilan solishtirishni talab qiladi hamda yig‘ma bahoni shakllantirishda MHXS ning mazmunning shakldan ustunligi, ehtiyotkorlik va muhimlik tamoyillarini qo‘llashni tavsiya etadi</w:t>
      </w:r>
      <w:r>
        <w:rPr>
          <w:rStyle w:val="FootnoteReference"/>
        </w:rPr>
        <w:footnoteReference w:id="117"/>
      </w:r>
      <w:r>
        <w:rPr>
          <w:rFonts w:ascii="Times New Roman" w:hAnsi="Times New Roman" w:cs="Times New Roman" w:eastAsia="Times New Roman"/>
          <w:sz w:val="28"/>
        </w:rPr>
        <w:t xml:space="preserve">. T.M. Karaliyev va I.F. Sayfiddinov O‘zbekistonda qo‘llanadigan CAMEL tizimida qiyosiy baholash yo‘qligini va aktivlar hamda likvidlik bloklari o‘rtasidagi ziddiyat hal qilinmaganini qayd etadi</w:t>
      </w:r>
      <w:r>
        <w:rPr>
          <w:rStyle w:val="FootnoteReference"/>
        </w:rPr>
        <w:footnoteReference w:id="118"/>
      </w:r>
      <w:r>
        <w:rPr>
          <w:rFonts w:ascii="Times New Roman" w:hAnsi="Times New Roman" w:cs="Times New Roman" w:eastAsia="Times New Roman"/>
          <w:sz w:val="28"/>
        </w:rPr>
        <w:t xml:space="preserve">. Karminskiy esa reyting sifati kutilgan va haqiqiy natijalarning mos kelishi bilan belgilanishini, ya’ni baholash metodikasining o‘zi ham tarixiy ma’lumotlar asosida tekshirilishi lozimligini ta’kidlaydi</w:t>
      </w:r>
      <w:r>
        <w:rPr>
          <w:rStyle w:val="FootnoteReference"/>
        </w:rPr>
        <w:footnoteReference w:id="119"/>
      </w:r>
      <w:r>
        <w:rPr>
          <w:rFonts w:ascii="Times New Roman" w:hAnsi="Times New Roman" w:cs="Times New Roman" w:eastAsia="Times New Roman"/>
          <w:sz w:val="28"/>
        </w:rPr>
        <w:t xml:space="preserve">. Bu tamoyillar ayrim hollarda o‘zaro ziddiyatga kirishadi: formallashtirish talabi professional mulohaza uchun joyni toraytiradi, qiyosiylik esa butun tizim yomonlashganda ham banklarning bir qismiga yaxshi baho berishga yo‘l qo‘yadi, shuning uchun metodika ishlab chiqishda ular o‘rtasida muvozanat topish kerak.</w:t>
      </w:r>
    </w:p>
    <w:p>
      <w:pPr>
        <w:pStyle w:val="BodyText"/>
        <w:spacing w:line="360" w:lineRule="auto" w:before="0" w:after="0"/>
        <w:ind w:firstLine="709"/>
        <w:jc w:val="both"/>
      </w:pPr>
      <w:r>
        <w:rPr>
          <w:rFonts w:ascii="Times New Roman" w:hAnsi="Times New Roman" w:cs="Times New Roman" w:eastAsia="Times New Roman"/>
          <w:sz w:val="28"/>
        </w:rPr>
        <w:t xml:space="preserve">Baholash amaliyotida shakllangan yondashuvlarni tasniflashda Xalqaro hisob-kitoblar banki nazorat organlari tizimlarini to‘rt toifaga – nazorat reyting tizimlari, moliyaviy koeffitsiyentlar va guruhlab tahlil qilish tizimlari, risklarni kompleks baholash tizimlari va statistik modellarga ajratadi</w:t>
      </w:r>
      <w:r>
        <w:rPr>
          <w:rStyle w:val="FootnoteReference"/>
        </w:rPr>
        <w:footnoteReference w:id="120"/>
      </w:r>
      <w:r>
        <w:rPr>
          <w:rFonts w:ascii="Times New Roman" w:hAnsi="Times New Roman" w:cs="Times New Roman" w:eastAsia="Times New Roman"/>
          <w:sz w:val="28"/>
        </w:rPr>
        <w:t xml:space="preserve">. Lavrushin va Mamonova modellarni maqsadi, yig‘ma bahoni shakllantirish usuli, o‘rganish usuli va shaffofligi bo‘yicha tasniflaydi</w:t>
      </w:r>
      <w:r>
        <w:rPr>
          <w:rStyle w:val="FootnoteReference"/>
        </w:rPr>
        <w:footnoteReference w:id="121"/>
      </w:r>
      <w:r>
        <w:rPr>
          <w:rFonts w:ascii="Times New Roman" w:hAnsi="Times New Roman" w:cs="Times New Roman" w:eastAsia="Times New Roman"/>
          <w:sz w:val="28"/>
        </w:rPr>
        <w:t xml:space="preserve">, M. Modina esa kredit riskini o‘lchash yondashuvlarini bir chekkasida iqtisodiy-statistik, ikkinchi chekkasida ekspert yondashuvi turgan uzluksiz shkala sifatida tasavvur qiladi</w:t>
      </w:r>
      <w:r>
        <w:rPr>
          <w:rStyle w:val="FootnoteReference"/>
        </w:rPr>
        <w:footnoteReference w:id="122"/>
      </w:r>
      <w:r>
        <w:rPr>
          <w:rFonts w:ascii="Times New Roman" w:hAnsi="Times New Roman" w:cs="Times New Roman" w:eastAsia="Times New Roman"/>
          <w:sz w:val="28"/>
        </w:rPr>
        <w:t xml:space="preserve">. Ushbu tasniflarni umumlashtirib, baholash yondashuvlarini besh asosiy guruhga ajratish mumkin (1.2.2-jadval).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 baholash yondashuvlarining qiyosiy tavsifi</w:t>
      </w:r>
      <w:r>
        <w:rPr>
          <w:rStyle w:val="FootnoteReference"/>
        </w:rPr>
        <w:footnoteReference w:id="12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2268"/>
        <w:gridCol w:w="2438"/>
        <w:gridCol w:w="2721"/>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Yondashuv</w:t>
            </w:r>
          </w:p>
        </w:tc>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Namunalar</w:t>
            </w:r>
          </w:p>
        </w:tc>
        <w:tc>
          <w:tcPr>
            <w:tcW w:type="dxa" w:w="243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Afzalliklari</w:t>
            </w:r>
          </w:p>
        </w:tc>
        <w:tc>
          <w:tcPr>
            <w:tcW w:type="dxa" w:w="272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Kamchiliklari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Koeffitsiyentli (normativ)</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Markaziy bank normativlari, XVJ moliyaviy barqarorlik ko‘rsatkichlari</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Sodda, normativlar bilan bevosita bog‘liq</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Ko‘rsatkichlar tarqoq, yagona xulosa yo‘q</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Reyting (komponentli)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CAMELS, Rossiya Bankining 4336-U ko‘rsatmasi</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Kompleks, xalqaro e’tirof etilgan</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Sub’ektiv, natijalar yopiq, vaznlar asoslanmagan</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Risklarga yo‘naltirilgan</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BAITE, RATE</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Nazorat resurslarini riskka qarab taqsimlaydi</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Ichki axborot va yuqori malaka talab qiladi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Statistik (ekonometrik)</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FIMS, logit va probit modellar, Z-score</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Obyektiv, bashorat kuchi o‘lchanadi</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Uzoq tarix va bankrotlik holatlari talab qilinadi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Bozor indikatorlariga asoslangan</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Kredit-defolt svoplari spredlari, aksiya narxlari</w:t>
            </w:r>
          </w:p>
        </w:tc>
        <w:tc>
          <w:tcPr>
            <w:tcW w:type="dxa" w:w="2438"/>
          </w:tcPr>
          <w:p>
            <w:pPr>
              <w:pStyle w:val="Compact"/>
              <w:spacing w:line="240" w:lineRule="auto"/>
              <w:ind w:firstLine="0"/>
              <w:jc w:val="left"/>
            </w:pPr>
            <w:r>
              <w:rPr>
                <w:rFonts w:ascii="Times New Roman" w:hAnsi="Times New Roman" w:cs="Times New Roman" w:eastAsia="Times New Roman"/>
                <w:sz w:val="22"/>
              </w:rPr>
              <w:t xml:space="preserve">Kelajakka yo‘naltirilgan, tezkor</w:t>
            </w:r>
          </w:p>
        </w:tc>
        <w:tc>
          <w:tcPr>
            <w:tcW w:type="dxa" w:w="2721"/>
          </w:tcPr>
          <w:p>
            <w:pPr>
              <w:pStyle w:val="Compact"/>
              <w:spacing w:line="240" w:lineRule="auto"/>
              <w:ind w:firstLine="0"/>
              <w:jc w:val="left"/>
            </w:pPr>
            <w:r>
              <w:rPr>
                <w:rFonts w:ascii="Times New Roman" w:hAnsi="Times New Roman" w:cs="Times New Roman" w:eastAsia="Times New Roman"/>
                <w:sz w:val="22"/>
              </w:rPr>
              <w:t xml:space="preserve">Faqat birjada savdo qilinadigan banklar uchun</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yondashuvlarning birortasi ham universal emas va Lavrushin tahriridagi monografiyada ham bank barqarorligini tahlil qilishning yagona universal metodikasi mavjud emasligi qayd etilgan</w:t>
      </w:r>
      <w:r>
        <w:rPr>
          <w:rStyle w:val="FootnoteReference"/>
        </w:rPr>
        <w:footnoteReference w:id="124"/>
      </w:r>
      <w:r>
        <w:rPr>
          <w:rFonts w:ascii="Times New Roman" w:hAnsi="Times New Roman" w:cs="Times New Roman" w:eastAsia="Times New Roman"/>
          <w:sz w:val="28"/>
        </w:rPr>
        <w:t xml:space="preserve">. Koeffitsiyentli yondashuv normativlar bilan bog‘liq bo‘lsa-da, ko‘rsatkichlarni yagona bahoga keltirmaydi: masalan, B.T. Berdiyarov Xalqaro valyuta jamg‘armasining 24 ta ko‘rsatkichi asosida milliy baholash tizimini shakllantirishni taklif etgan, ammo ular integral bahoga birlashtirilmagan</w:t>
      </w:r>
      <w:r>
        <w:rPr>
          <w:rStyle w:val="FootnoteReference"/>
        </w:rPr>
        <w:footnoteReference w:id="125"/>
      </w:r>
      <w:r>
        <w:rPr>
          <w:rFonts w:ascii="Times New Roman" w:hAnsi="Times New Roman" w:cs="Times New Roman" w:eastAsia="Times New Roman"/>
          <w:sz w:val="28"/>
        </w:rPr>
        <w:t xml:space="preserve">. Statistik yondashuvning eng sodda va samarali vositasi bo‘lgan Z-score ko‘rsatkichi distressga uchragan banklarning 75 foizini to‘g‘ri aniqlaydi</w:t>
      </w:r>
      <w:r>
        <w:rPr>
          <w:rStyle w:val="FootnoteReference"/>
        </w:rPr>
        <w:footnoteReference w:id="126"/>
      </w:r>
      <w:r>
        <w:rPr>
          <w:rFonts w:ascii="Times New Roman" w:hAnsi="Times New Roman" w:cs="Times New Roman" w:eastAsia="Times New Roman"/>
          <w:sz w:val="28"/>
        </w:rPr>
        <w:t xml:space="preserve">, biroq u uzoq tarixiy ma’lumotlarni talab qiladi, Karminskiy esa defoltlar ulushi taxminan 1 foiz bo‘lganda tanlanmada nomutanosiblik yuzaga kelishini ko‘rsatadi</w:t>
      </w:r>
      <w:r>
        <w:rPr>
          <w:rStyle w:val="FootnoteReference"/>
        </w:rPr>
        <w:footnoteReference w:id="127"/>
      </w:r>
      <w:r>
        <w:rPr>
          <w:rFonts w:ascii="Times New Roman" w:hAnsi="Times New Roman" w:cs="Times New Roman" w:eastAsia="Times New Roman"/>
          <w:sz w:val="28"/>
        </w:rPr>
        <w:t xml:space="preserve">. Bozor indikatorlari faqat aksiyalari birjada savdo qilinadigan banklar uchun qo‘llanishi mumkinligi</w:t>
      </w:r>
      <w:r>
        <w:rPr>
          <w:rStyle w:val="FootnoteReference"/>
        </w:rPr>
        <w:footnoteReference w:id="128"/>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sababli rivojlanayotgan fond bozoriga ega O‘zbekiston sharoitida buxgalteriya ma’lumotlariga asoslangan usullar ustuvor ahamiyatga ega. Reyting va risklarga yo‘naltirilgan tizimlarning mamlakatlar amaliyotidagi ko‘rinishlari 1.3-paragrafda batafsil tahlil qilinadi. Demak, zamonaviy tendensiya turli yondashuvlar afzalliklarini birlashtiruvchi gibrid tizimlarga o‘tish bo‘lib, ochiq ma’lumotlarga asoslangan, oldindan belgilangan chegaralar bo‘yicha ballanadigan va bashorat kuchi statistik usullar bilan tekshiriladigan integral baholash tizimi reyting va statistik yondashuvlar afzalliklarini birlashtiradi.</w:t>
      </w:r>
    </w:p>
    <w:p>
      <w:pPr>
        <w:pStyle w:val="BodyText"/>
        <w:spacing w:line="360" w:lineRule="auto" w:before="0" w:after="0"/>
        <w:ind w:firstLine="709"/>
        <w:jc w:val="both"/>
      </w:pPr>
      <w:r>
        <w:rPr>
          <w:rFonts w:ascii="Times New Roman" w:hAnsi="Times New Roman" w:cs="Times New Roman" w:eastAsia="Times New Roman"/>
          <w:sz w:val="28"/>
        </w:rPr>
        <w:t xml:space="preserve">Integral baholashning eng munozarali masalasi ko‘rsatkichlarga vazn berishdir. Lavrushin va Mamonova vazn koeffitsiyentlarini belgilash eng sub’ektiv masalalardan biri ekanini, ammo hozircha boshqa usul topilmaganini tan oladi</w:t>
      </w:r>
      <w:r>
        <w:rPr>
          <w:rStyle w:val="FootnoteReference"/>
        </w:rPr>
        <w:footnoteReference w:id="129"/>
      </w:r>
      <w:r>
        <w:rPr>
          <w:rFonts w:ascii="Times New Roman" w:hAnsi="Times New Roman" w:cs="Times New Roman" w:eastAsia="Times New Roman"/>
          <w:sz w:val="28"/>
        </w:rPr>
        <w:t xml:space="preserve">, Lavrushin tahriridagi monografiyada esa Rossiyadagi to‘qqizta reyting metodikasida vaznlar ko‘pincha ekspert yo‘li bilan aniqlanishi yoki umuman tushuntirilmasligi ko‘rsatilgan</w:t>
      </w:r>
      <w:r>
        <w:rPr>
          <w:rStyle w:val="FootnoteReference"/>
        </w:rPr>
        <w:footnoteReference w:id="130"/>
      </w:r>
      <w:r>
        <w:rPr>
          <w:rFonts w:ascii="Times New Roman" w:hAnsi="Times New Roman" w:cs="Times New Roman" w:eastAsia="Times New Roman"/>
          <w:sz w:val="28"/>
        </w:rPr>
        <w:t xml:space="preserve">. Ilmiy adabiyotda vaznlarni aniqlashning uch usuli uchraydi: ekspert usuli, teng vaznlar usuli va statistik usul. Ye.P. Shatalova vaznlar dastlab ekspert yo‘li bilan belgilanib, keyin verifikatsiyadan o‘tkazilishi kerakligini qayd etadi</w:t>
      </w:r>
      <w:r>
        <w:rPr>
          <w:rStyle w:val="FootnoteReference"/>
        </w:rPr>
        <w:footnoteReference w:id="131"/>
      </w:r>
      <w:r>
        <w:rPr>
          <w:rFonts w:ascii="Times New Roman" w:hAnsi="Times New Roman" w:cs="Times New Roman" w:eastAsia="Times New Roman"/>
          <w:sz w:val="28"/>
        </w:rPr>
        <w:t xml:space="preserve">, L. Izzi, G. Oricchio va L. Vitale esa vaznlarni regressiya koeffitsiyentlaridan hisoblab, rivojlanayotgan mamlakatlar banklari uchun miqdoriy modulga 80 foiz, sifat moduliga 20 foiz vazn beradi</w:t>
      </w:r>
      <w:r>
        <w:rPr>
          <w:rStyle w:val="FootnoteReference"/>
        </w:rPr>
        <w:footnoteReference w:id="132"/>
      </w:r>
      <w:r>
        <w:rPr>
          <w:rFonts w:ascii="Times New Roman" w:hAnsi="Times New Roman" w:cs="Times New Roman" w:eastAsia="Times New Roman"/>
          <w:sz w:val="28"/>
        </w:rPr>
        <w:t xml:space="preserve">. Bundan tashqari, har qanday baholash tizimi ikki turdagi xatoga yo‘l qo‘yishi mumkin: muammoli bankni barqaror deb baholash (birinchi tur xatosi) va barqaror bankni muammoli deb baholash (ikkinchi tur xatosi). Karminskiy birinchi tur xatosining narxi ancha yuqori ekanini ko‘rsatadi</w:t>
      </w:r>
      <w:r>
        <w:rPr>
          <w:rStyle w:val="FootnoteReference"/>
        </w:rPr>
        <w:footnoteReference w:id="133"/>
      </w:r>
      <w:r>
        <w:rPr>
          <w:rFonts w:ascii="Times New Roman" w:hAnsi="Times New Roman" w:cs="Times New Roman" w:eastAsia="Times New Roman"/>
          <w:sz w:val="28"/>
        </w:rPr>
        <w:t xml:space="preserve">, shu sababli baholash chegaralarini ehtiyotkorlik tamoyiliga ko‘ra biroz qat’iyroq qo‘yish maqsadga muvofiq.</w:t>
      </w:r>
    </w:p>
    <w:p>
      <w:pPr>
        <w:pStyle w:val="BodyText"/>
        <w:spacing w:line="360" w:lineRule="auto" w:before="0" w:after="0"/>
        <w:ind w:firstLine="709"/>
        <w:jc w:val="both"/>
      </w:pPr>
      <w:r>
        <w:rPr>
          <w:rFonts w:ascii="Times New Roman" w:hAnsi="Times New Roman" w:cs="Times New Roman" w:eastAsia="Times New Roman"/>
          <w:sz w:val="28"/>
        </w:rPr>
        <w:t xml:space="preserve">Yuqorida ko‘rib chiqilgan nazariy talablar amaliyotda birinchi navbatda Bank nazorati bo‘yicha Bazel qo‘mitasi standartlarida o‘z ifodasini topgan. Bazel kelishuvlari o‘ttiz yildan ortiq davr mobaynida kapital yetarliligining oddiy talabidan kompleks prudensial tartibga solish tizimigacha rivojlandi (1.2.1-rasm).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376000"/>
                <wp:effectExtent l="0" t="0" r="0" b="0"/>
                <wp:docPr id="8" name="1.2.1-rasm"/>
                <wp:cNvGraphicFramePr/>
                <a:graphic>
                  <a:graphicData uri="http://schemas.microsoft.com/office/word/2010/wordprocessingGroup">
                    <wpg:wgp>
                      <wpg:cNvGrpSpPr/>
                      <wpg:grpSpPr>
                        <a:xfrm>
                          <a:off x="0" y="0"/>
                          <a:ext cx="5904000" cy="2376000"/>
                          <a:chOff x="0" y="0"/>
                          <a:chExt cx="5904000" cy="2376000"/>
                        </a:xfrm>
                      </wpg:grpSpPr>
                      <wps:wsp>
                        <wps:cNvPr id="2" name="Shape 2"/>
                        <wps:cNvSpPr/>
                        <wps:spPr>
                          <a:xfrm>
                            <a:off x="36000" y="72000"/>
                            <a:ext cx="1260000" cy="468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w:t>
                              </w:r>
                            </w:p>
                            <w:p>
                              <w:pPr>
                                <w:spacing w:before="0" w:after="0" w:line="228" w:lineRule="auto"/>
                                <w:jc w:val="center"/>
                                <w:ind w:firstLine="0"/>
                              </w:pPr>
                              <w:r>
                                <w:rPr>
                                  <w:rFonts w:ascii="Times New Roman" w:hAnsi="Times New Roman" w:cs="Times New Roman"/>
                                  <w:b/>
                                  <w:color w:val="FFFFFF"/>
                                  <w:sz w:val="22"/>
                                  <w:szCs w:val="22"/>
                                </w:rPr>
                                <w:t xml:space="preserve">(1988)</w:t>
                              </w:r>
                            </w:p>
                          </w:txbxContent>
                        </wps:txbx>
                        <wps:bodyPr rot="0" vert="horz" wrap="square" lIns="36000" tIns="18000" rIns="36000" bIns="18000" anchor="ctr" anchorCtr="0">
                          <a:noAutofit/>
                        </wps:bodyPr>
                      </wps:wsp>
                      <wps:wsp>
                        <wps:cNvPr id="3" name="Connector 3"/>
                        <wps:cNvCnPr/>
                        <wps:spPr>
                          <a:xfrm>
                            <a:off x="666000" y="540000"/>
                            <a:ext cx="0" cy="180000"/>
                          </a:xfrm>
                          <a:prstGeom prst="straightConnector1">
                            <a:avLst/>
                          </a:prstGeom>
                          <a:ln w="15875">
                            <a:solidFill>
                              <a:srgbClr val="7F7F7F"/>
                            </a:solidFill>
                          </a:ln>
                        </wps:spPr>
                        <wps:bodyPr/>
                      </wps:wsp>
                      <wps:wsp>
                        <wps:cNvPr id="4" name="Shape 4"/>
                        <wps:cNvSpPr/>
                        <wps:spPr>
                          <a:xfrm>
                            <a:off x="3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Faqat kredit riski;</w:t>
                              </w:r>
                            </w:p>
                            <w:p>
                              <w:pPr>
                                <w:spacing w:before="0" w:after="0" w:line="228" w:lineRule="auto"/>
                                <w:jc w:val="center"/>
                                <w:ind w:firstLine="0"/>
                              </w:pPr>
                              <w:r>
                                <w:rPr>
                                  <w:rFonts w:ascii="Times New Roman" w:hAnsi="Times New Roman" w:cs="Times New Roman"/>
                                  <w:color w:val="000000"/>
                                  <w:sz w:val="22"/>
                                  <w:szCs w:val="22"/>
                                </w:rPr>
                                <w:t xml:space="preserve">Tier 1 ≥ 4%;</w:t>
                              </w:r>
                            </w:p>
                            <w:p>
                              <w:pPr>
                                <w:spacing w:before="0" w:after="0" w:line="228" w:lineRule="auto"/>
                                <w:jc w:val="center"/>
                                <w:ind w:firstLine="0"/>
                              </w:pPr>
                              <w:r>
                                <w:rPr>
                                  <w:rFonts w:ascii="Times New Roman" w:hAnsi="Times New Roman" w:cs="Times New Roman"/>
                                  <w:color w:val="000000"/>
                                  <w:sz w:val="22"/>
                                  <w:szCs w:val="22"/>
                                </w:rPr>
                                <w:t xml:space="preserve">jami kapital ≥ 8%;</w:t>
                              </w:r>
                            </w:p>
                            <w:p>
                              <w:pPr>
                                <w:spacing w:before="0" w:after="0" w:line="228" w:lineRule="auto"/>
                                <w:jc w:val="center"/>
                                <w:ind w:firstLine="0"/>
                              </w:pPr>
                              <w:r>
                                <w:rPr>
                                  <w:rFonts w:ascii="Times New Roman" w:hAnsi="Times New Roman" w:cs="Times New Roman"/>
                                  <w:color w:val="000000"/>
                                  <w:sz w:val="22"/>
                                  <w:szCs w:val="22"/>
                                </w:rPr>
                                <w:t xml:space="preserve">risk vaznlari</w:t>
                              </w:r>
                            </w:p>
                            <w:p>
                              <w:pPr>
                                <w:spacing w:before="0" w:after="0" w:line="228" w:lineRule="auto"/>
                                <w:jc w:val="center"/>
                                <w:ind w:firstLine="0"/>
                              </w:pPr>
                              <w:r>
                                <w:rPr>
                                  <w:rFonts w:ascii="Times New Roman" w:hAnsi="Times New Roman" w:cs="Times New Roman"/>
                                  <w:color w:val="000000"/>
                                  <w:sz w:val="22"/>
                                  <w:szCs w:val="22"/>
                                </w:rPr>
                                <w:t xml:space="preserve">0, 20, 50, 100%</w:t>
                              </w:r>
                            </w:p>
                          </w:txbxContent>
                        </wps:txbx>
                        <wps:bodyPr rot="0" vert="horz" wrap="square" lIns="36000" tIns="18000" rIns="36000" bIns="18000" anchor="ctr" anchorCtr="0">
                          <a:noAutofit/>
                        </wps:bodyPr>
                      </wps:wsp>
                      <wps:wsp>
                        <wps:cNvPr id="5" name="Connector 5"/>
                        <wps:cNvCnPr/>
                        <wps:spPr>
                          <a:xfrm>
                            <a:off x="1303200" y="306000"/>
                            <a:ext cx="255600" cy="0"/>
                          </a:xfrm>
                          <a:prstGeom prst="straightConnector1">
                            <a:avLst/>
                          </a:prstGeom>
                          <a:ln w="19050">
                            <a:solidFill>
                              <a:srgbClr val="404040"/>
                            </a:solidFill>
                            <a:tailEnd type="triangle" w="med" len="med"/>
                          </a:ln>
                        </wps:spPr>
                        <wps:bodyPr/>
                      </wps:wsp>
                      <wps:wsp>
                        <wps:cNvPr id="6" name="Shape 6"/>
                        <wps:cNvSpPr/>
                        <wps:spPr>
                          <a:xfrm>
                            <a:off x="1566000" y="72000"/>
                            <a:ext cx="1260000" cy="468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Bozor riski tuzatishi</w:t>
                              </w:r>
                            </w:p>
                            <w:p>
                              <w:pPr>
                                <w:spacing w:before="0" w:after="0" w:line="228" w:lineRule="auto"/>
                                <w:jc w:val="center"/>
                                <w:ind w:firstLine="0"/>
                              </w:pPr>
                              <w:r>
                                <w:rPr>
                                  <w:rFonts w:ascii="Times New Roman" w:hAnsi="Times New Roman" w:cs="Times New Roman"/>
                                  <w:b/>
                                  <w:color w:val="000000"/>
                                  <w:sz w:val="22"/>
                                  <w:szCs w:val="22"/>
                                </w:rPr>
                                <w:t xml:space="preserve">(1996)</w:t>
                              </w:r>
                            </w:p>
                          </w:txbxContent>
                        </wps:txbx>
                        <wps:bodyPr rot="0" vert="horz" wrap="square" lIns="36000" tIns="18000" rIns="36000" bIns="18000" anchor="ctr" anchorCtr="0">
                          <a:noAutofit/>
                        </wps:bodyPr>
                      </wps:wsp>
                      <wps:wsp>
                        <wps:cNvPr id="7" name="Connector 7"/>
                        <wps:cNvCnPr/>
                        <wps:spPr>
                          <a:xfrm>
                            <a:off x="2196000" y="540000"/>
                            <a:ext cx="0" cy="180000"/>
                          </a:xfrm>
                          <a:prstGeom prst="straightConnector1">
                            <a:avLst/>
                          </a:prstGeom>
                          <a:ln w="15875">
                            <a:solidFill>
                              <a:srgbClr val="7F7F7F"/>
                            </a:solidFill>
                          </a:ln>
                        </wps:spPr>
                        <wps:bodyPr/>
                      </wps:wsp>
                      <wps:wsp>
                        <wps:cNvPr id="8" name="Shape 8"/>
                        <wps:cNvSpPr/>
                        <wps:spPr>
                          <a:xfrm>
                            <a:off x="156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Bozor riski uchun</w:t>
                              </w:r>
                            </w:p>
                            <w:p>
                              <w:pPr>
                                <w:spacing w:before="0" w:after="0" w:line="228" w:lineRule="auto"/>
                                <w:jc w:val="center"/>
                                <w:ind w:firstLine="0"/>
                              </w:pPr>
                              <w:r>
                                <w:rPr>
                                  <w:rFonts w:ascii="Times New Roman" w:hAnsi="Times New Roman" w:cs="Times New Roman"/>
                                  <w:color w:val="000000"/>
                                  <w:sz w:val="22"/>
                                  <w:szCs w:val="22"/>
                                </w:rPr>
                                <w:t xml:space="preserve">kapital;</w:t>
                              </w:r>
                            </w:p>
                            <w:p>
                              <w:pPr>
                                <w:spacing w:before="0" w:after="0" w:line="228" w:lineRule="auto"/>
                                <w:jc w:val="center"/>
                                <w:ind w:firstLine="0"/>
                              </w:pPr>
                              <w:r>
                                <w:rPr>
                                  <w:rFonts w:ascii="Times New Roman" w:hAnsi="Times New Roman" w:cs="Times New Roman"/>
                                  <w:color w:val="000000"/>
                                  <w:sz w:val="22"/>
                                  <w:szCs w:val="22"/>
                                </w:rPr>
                                <w:t xml:space="preserve">VaR modeli;</w:t>
                              </w:r>
                            </w:p>
                            <w:p>
                              <w:pPr>
                                <w:spacing w:before="0" w:after="0" w:line="228" w:lineRule="auto"/>
                                <w:jc w:val="center"/>
                                <w:ind w:firstLine="0"/>
                              </w:pPr>
                              <w:r>
                                <w:rPr>
                                  <w:rFonts w:ascii="Times New Roman" w:hAnsi="Times New Roman" w:cs="Times New Roman"/>
                                  <w:color w:val="000000"/>
                                  <w:sz w:val="22"/>
                                  <w:szCs w:val="22"/>
                                </w:rPr>
                                <w:t xml:space="preserve">10 kunlik gorizont;</w:t>
                              </w:r>
                            </w:p>
                            <w:p>
                              <w:pPr>
                                <w:spacing w:before="0" w:after="0" w:line="228" w:lineRule="auto"/>
                                <w:jc w:val="center"/>
                                <w:ind w:firstLine="0"/>
                              </w:pPr>
                              <w:r>
                                <w:rPr>
                                  <w:rFonts w:ascii="Times New Roman" w:hAnsi="Times New Roman" w:cs="Times New Roman"/>
                                  <w:color w:val="000000"/>
                                  <w:sz w:val="22"/>
                                  <w:szCs w:val="22"/>
                                </w:rPr>
                                <w:t xml:space="preserve">×3 koeffitsiyent</w:t>
                              </w:r>
                            </w:p>
                          </w:txbxContent>
                        </wps:txbx>
                        <wps:bodyPr rot="0" vert="horz" wrap="square" lIns="36000" tIns="18000" rIns="36000" bIns="18000" anchor="ctr" anchorCtr="0">
                          <a:noAutofit/>
                        </wps:bodyPr>
                      </wps:wsp>
                      <wps:wsp>
                        <wps:cNvPr id="9" name="Connector 9"/>
                        <wps:cNvCnPr/>
                        <wps:spPr>
                          <a:xfrm>
                            <a:off x="2833200" y="306000"/>
                            <a:ext cx="255600" cy="0"/>
                          </a:xfrm>
                          <a:prstGeom prst="straightConnector1">
                            <a:avLst/>
                          </a:prstGeom>
                          <a:ln w="19050">
                            <a:solidFill>
                              <a:srgbClr val="404040"/>
                            </a:solidFill>
                            <a:tailEnd type="triangle" w="med" len="med"/>
                          </a:ln>
                        </wps:spPr>
                        <wps:bodyPr/>
                      </wps:wsp>
                      <wps:wsp>
                        <wps:cNvPr id="10" name="Shape 10"/>
                        <wps:cNvSpPr/>
                        <wps:spPr>
                          <a:xfrm>
                            <a:off x="3096000" y="72000"/>
                            <a:ext cx="1260000" cy="468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w:t>
                              </w:r>
                            </w:p>
                            <w:p>
                              <w:pPr>
                                <w:spacing w:before="0" w:after="0" w:line="228" w:lineRule="auto"/>
                                <w:jc w:val="center"/>
                                <w:ind w:firstLine="0"/>
                              </w:pPr>
                              <w:r>
                                <w:rPr>
                                  <w:rFonts w:ascii="Times New Roman" w:hAnsi="Times New Roman" w:cs="Times New Roman"/>
                                  <w:b/>
                                  <w:color w:val="FFFFFF"/>
                                  <w:sz w:val="22"/>
                                  <w:szCs w:val="22"/>
                                </w:rPr>
                                <w:t xml:space="preserve">(2004)</w:t>
                              </w:r>
                            </w:p>
                          </w:txbxContent>
                        </wps:txbx>
                        <wps:bodyPr rot="0" vert="horz" wrap="square" lIns="36000" tIns="18000" rIns="36000" bIns="18000" anchor="ctr" anchorCtr="0">
                          <a:noAutofit/>
                        </wps:bodyPr>
                      </wps:wsp>
                      <wps:wsp>
                        <wps:cNvPr id="11" name="Connector 11"/>
                        <wps:cNvCnPr/>
                        <wps:spPr>
                          <a:xfrm>
                            <a:off x="3726000" y="540000"/>
                            <a:ext cx="0" cy="180000"/>
                          </a:xfrm>
                          <a:prstGeom prst="straightConnector1">
                            <a:avLst/>
                          </a:prstGeom>
                          <a:ln w="15875">
                            <a:solidFill>
                              <a:srgbClr val="7F7F7F"/>
                            </a:solidFill>
                          </a:ln>
                        </wps:spPr>
                        <wps:bodyPr/>
                      </wps:wsp>
                      <wps:wsp>
                        <wps:cNvPr id="12" name="Shape 12"/>
                        <wps:cNvSpPr/>
                        <wps:spPr>
                          <a:xfrm>
                            <a:off x="309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Uch ustun;</w:t>
                              </w:r>
                            </w:p>
                            <w:p>
                              <w:pPr>
                                <w:spacing w:before="0" w:after="0" w:line="228" w:lineRule="auto"/>
                                <w:jc w:val="center"/>
                                <w:ind w:firstLine="0"/>
                              </w:pPr>
                              <w:r>
                                <w:rPr>
                                  <w:rFonts w:ascii="Times New Roman" w:hAnsi="Times New Roman" w:cs="Times New Roman"/>
                                  <w:color w:val="000000"/>
                                  <w:sz w:val="22"/>
                                  <w:szCs w:val="22"/>
                                </w:rPr>
                                <w:t xml:space="preserve">kredit, bozor va</w:t>
                              </w:r>
                            </w:p>
                            <w:p>
                              <w:pPr>
                                <w:spacing w:before="0" w:after="0" w:line="228" w:lineRule="auto"/>
                                <w:jc w:val="center"/>
                                <w:ind w:firstLine="0"/>
                              </w:pPr>
                              <w:r>
                                <w:rPr>
                                  <w:rFonts w:ascii="Times New Roman" w:hAnsi="Times New Roman" w:cs="Times New Roman"/>
                                  <w:color w:val="000000"/>
                                  <w:sz w:val="22"/>
                                  <w:szCs w:val="22"/>
                                </w:rPr>
                                <w:t xml:space="preserve">operatsion risklar;</w:t>
                              </w:r>
                            </w:p>
                            <w:p>
                              <w:pPr>
                                <w:spacing w:before="0" w:after="0" w:line="228" w:lineRule="auto"/>
                                <w:jc w:val="center"/>
                                <w:ind w:firstLine="0"/>
                              </w:pPr>
                              <w:r>
                                <w:rPr>
                                  <w:rFonts w:ascii="Times New Roman" w:hAnsi="Times New Roman" w:cs="Times New Roman"/>
                                  <w:color w:val="000000"/>
                                  <w:sz w:val="22"/>
                                  <w:szCs w:val="22"/>
                                </w:rPr>
                                <w:t xml:space="preserve">IRB yondashuvi</w:t>
                              </w:r>
                            </w:p>
                            <w:p>
                              <w:pPr>
                                <w:spacing w:before="0" w:after="0" w:line="228" w:lineRule="auto"/>
                                <w:jc w:val="center"/>
                                <w:ind w:firstLine="0"/>
                              </w:pPr>
                              <w:r>
                                <w:rPr>
                                  <w:rFonts w:ascii="Times New Roman" w:hAnsi="Times New Roman" w:cs="Times New Roman"/>
                                  <w:color w:val="000000"/>
                                  <w:sz w:val="22"/>
                                  <w:szCs w:val="22"/>
                                </w:rPr>
                                <w:t xml:space="preserve">(PD, LGD, EAD, M)</w:t>
                              </w:r>
                            </w:p>
                          </w:txbxContent>
                        </wps:txbx>
                        <wps:bodyPr rot="0" vert="horz" wrap="square" lIns="36000" tIns="18000" rIns="36000" bIns="18000" anchor="ctr" anchorCtr="0">
                          <a:noAutofit/>
                        </wps:bodyPr>
                      </wps:wsp>
                      <wps:wsp>
                        <wps:cNvPr id="13" name="Connector 13"/>
                        <wps:cNvCnPr/>
                        <wps:spPr>
                          <a:xfrm>
                            <a:off x="4363200" y="306000"/>
                            <a:ext cx="255600" cy="0"/>
                          </a:xfrm>
                          <a:prstGeom prst="straightConnector1">
                            <a:avLst/>
                          </a:prstGeom>
                          <a:ln w="19050">
                            <a:solidFill>
                              <a:srgbClr val="404040"/>
                            </a:solidFill>
                            <a:tailEnd type="triangle" w="med" len="med"/>
                          </a:ln>
                        </wps:spPr>
                        <wps:bodyPr/>
                      </wps:wsp>
                      <wps:wsp>
                        <wps:cNvPr id="14" name="Shape 14"/>
                        <wps:cNvSpPr/>
                        <wps:spPr>
                          <a:xfrm>
                            <a:off x="4626000" y="72000"/>
                            <a:ext cx="1260000" cy="468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III</w:t>
                              </w:r>
                            </w:p>
                            <w:p>
                              <w:pPr>
                                <w:spacing w:before="0" w:after="0" w:line="228" w:lineRule="auto"/>
                                <w:jc w:val="center"/>
                                <w:ind w:firstLine="0"/>
                              </w:pPr>
                              <w:r>
                                <w:rPr>
                                  <w:rFonts w:ascii="Times New Roman" w:hAnsi="Times New Roman" w:cs="Times New Roman"/>
                                  <w:b/>
                                  <w:color w:val="FFFFFF"/>
                                  <w:sz w:val="22"/>
                                  <w:szCs w:val="22"/>
                                </w:rPr>
                                <w:t xml:space="preserve">(2010)</w:t>
                              </w:r>
                            </w:p>
                          </w:txbxContent>
                        </wps:txbx>
                        <wps:bodyPr rot="0" vert="horz" wrap="square" lIns="36000" tIns="18000" rIns="36000" bIns="18000" anchor="ctr" anchorCtr="0">
                          <a:noAutofit/>
                        </wps:bodyPr>
                      </wps:wsp>
                      <wps:wsp>
                        <wps:cNvPr id="15" name="Connector 15"/>
                        <wps:cNvCnPr/>
                        <wps:spPr>
                          <a:xfrm>
                            <a:off x="5256000" y="540000"/>
                            <a:ext cx="0" cy="180000"/>
                          </a:xfrm>
                          <a:prstGeom prst="straightConnector1">
                            <a:avLst/>
                          </a:prstGeom>
                          <a:ln w="15875">
                            <a:solidFill>
                              <a:srgbClr val="7F7F7F"/>
                            </a:solidFill>
                          </a:ln>
                        </wps:spPr>
                        <wps:bodyPr/>
                      </wps:wsp>
                      <wps:wsp>
                        <wps:cNvPr id="16" name="Shape 16"/>
                        <wps:cNvSpPr/>
                        <wps:spPr>
                          <a:xfrm>
                            <a:off x="4626000" y="720000"/>
                            <a:ext cx="1260000" cy="1584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CET1 ≥ 4,5%;</w:t>
                              </w:r>
                            </w:p>
                            <w:p>
                              <w:pPr>
                                <w:spacing w:before="0" w:after="0" w:line="228" w:lineRule="auto"/>
                                <w:jc w:val="center"/>
                                <w:ind w:firstLine="0"/>
                              </w:pPr>
                              <w:r>
                                <w:rPr>
                                  <w:rFonts w:ascii="Times New Roman" w:hAnsi="Times New Roman" w:cs="Times New Roman"/>
                                  <w:color w:val="000000"/>
                                  <w:sz w:val="22"/>
                                  <w:szCs w:val="22"/>
                                </w:rPr>
                                <w:t xml:space="preserve">konservatsiya va</w:t>
                              </w:r>
                            </w:p>
                            <w:p>
                              <w:pPr>
                                <w:spacing w:before="0" w:after="0" w:line="228" w:lineRule="auto"/>
                                <w:jc w:val="center"/>
                                <w:ind w:firstLine="0"/>
                              </w:pPr>
                              <w:r>
                                <w:rPr>
                                  <w:rFonts w:ascii="Times New Roman" w:hAnsi="Times New Roman" w:cs="Times New Roman"/>
                                  <w:color w:val="000000"/>
                                  <w:sz w:val="22"/>
                                  <w:szCs w:val="22"/>
                                </w:rPr>
                                <w:t xml:space="preserve">kontrsiklik buferlar;</w:t>
                              </w:r>
                            </w:p>
                            <w:p>
                              <w:pPr>
                                <w:spacing w:before="0" w:after="0" w:line="228" w:lineRule="auto"/>
                                <w:jc w:val="center"/>
                                <w:ind w:firstLine="0"/>
                              </w:pPr>
                              <w:r>
                                <w:rPr>
                                  <w:rFonts w:ascii="Times New Roman" w:hAnsi="Times New Roman" w:cs="Times New Roman"/>
                                  <w:color w:val="000000"/>
                                  <w:sz w:val="22"/>
                                  <w:szCs w:val="22"/>
                                </w:rPr>
                                <w:t xml:space="preserve">leverej ≥ 3%;</w:t>
                              </w:r>
                            </w:p>
                            <w:p>
                              <w:pPr>
                                <w:spacing w:before="0" w:after="0" w:line="228" w:lineRule="auto"/>
                                <w:jc w:val="center"/>
                                <w:ind w:firstLine="0"/>
                              </w:pPr>
                              <w:r>
                                <w:rPr>
                                  <w:rFonts w:ascii="Times New Roman" w:hAnsi="Times New Roman" w:cs="Times New Roman"/>
                                  <w:color w:val="000000"/>
                                  <w:sz w:val="22"/>
                                  <w:szCs w:val="22"/>
                                </w:rPr>
                                <w:t xml:space="preserve">LCR, NSFR ≥ 100%</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1.2.1-rasm. Bazel kelishuvlarining rivojlanish bosqichlari</w:t>
      </w:r>
      <w:r>
        <w:rPr>
          <w:rStyle w:val="FootnoteReference"/>
        </w:rPr>
        <w:footnoteReference w:id="13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har bir keyingi bosqich oldingisining kamchiliklariga javob sifatida shakllangan. 1988-yildagi birinchi kelishuv kredit riskini qoplash uchun birinchi darajali kapitalning kamida 4 foizini, jami kapitalning esa kamida 8 foizini talab qilgan va aktivlarga 0, 20, 50 va 100 foizlik risk vaznlarini bergan</w:t>
      </w:r>
      <w:r>
        <w:rPr>
          <w:rStyle w:val="FootnoteReference"/>
        </w:rPr>
        <w:footnoteReference w:id="135"/>
      </w:r>
      <w:r>
        <w:rPr>
          <w:rFonts w:ascii="Times New Roman" w:hAnsi="Times New Roman" w:cs="Times New Roman" w:eastAsia="Times New Roman"/>
          <w:sz w:val="28"/>
        </w:rPr>
        <w:t xml:space="preserve">. Tarullo ma’lumotiga ko‘ra, bu kelishuv 100 dan ortiq mamlakatda qabul qilingan, biroq protsiklik xususiyati, regulyativ arbitraj va kapital talabi bilan real risk o‘rtasidagi uzilish uning jiddiy kamchiliklari bo‘lgan</w:t>
      </w:r>
      <w:r>
        <w:rPr>
          <w:rStyle w:val="FootnoteReference"/>
        </w:rPr>
        <w:footnoteReference w:id="136"/>
      </w:r>
      <w:r>
        <w:rPr>
          <w:rFonts w:ascii="Times New Roman" w:hAnsi="Times New Roman" w:cs="Times New Roman" w:eastAsia="Times New Roman"/>
          <w:sz w:val="28"/>
        </w:rPr>
        <w:t xml:space="preserve">. Xususan, Yaponiya banklarida kechiktirilgan soliq aktivlari kapitalning 15–40 foizini tashkil etgan va ular chiqarib tashlansa, tuzatilgan birinchi darajali kapital taxminan 2 foizgacha tushgan</w:t>
      </w:r>
      <w:r>
        <w:rPr>
          <w:rStyle w:val="FootnoteReference"/>
        </w:rPr>
        <w:footnoteReference w:id="137"/>
      </w:r>
      <w:r>
        <w:rPr>
          <w:rFonts w:ascii="Times New Roman" w:hAnsi="Times New Roman" w:cs="Times New Roman" w:eastAsia="Times New Roman"/>
          <w:sz w:val="28"/>
        </w:rPr>
        <w:t xml:space="preserve">. Bu holat milliy hisob qoidalari kapitalni sun’iy ravishda bo‘rttirishi mumkinligini ko‘rsatadi va xalqaro hisobot standartlari asosida baholashning ahamiyatini asoslaydi. 2004-yildagi Bazel II uch ustunga – minimal kapital talablari, nazorat jarayoni va bozor intizomiga asoslanib, ichki reytinglarga asoslangan yondashuvni joriy etdi, biroq Tarullo keltirgan tadqiqotlarga ko‘ra, turli banklarning ichki modellari bir xil kreditlar uchun minus 30 foizdan plyus 190 foizgacha farq qiladigan kapital talabini bergan</w:t>
      </w:r>
      <w:r>
        <w:rPr>
          <w:rStyle w:val="FootnoteReference"/>
        </w:rPr>
        <w:footnoteReference w:id="138"/>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2007–2009-yillardagi global moliyaviy inqiroz Bazel III ning qabul qilinishiga olib keldi. W. Tian uning mohiyatini «riskka sezgirlikdan kapital sig‘imkorlikka» siljish deb tavsiflaydi</w:t>
      </w:r>
      <w:r>
        <w:rPr>
          <w:rStyle w:val="FootnoteReference"/>
        </w:rPr>
        <w:footnoteReference w:id="139"/>
      </w:r>
      <w:r>
        <w:rPr>
          <w:rFonts w:ascii="Times New Roman" w:hAnsi="Times New Roman" w:cs="Times New Roman" w:eastAsia="Times New Roman"/>
          <w:sz w:val="28"/>
        </w:rPr>
        <w:t xml:space="preserve">, Modina esa yangi kelishuvning ikki maqsadini – alohida banklarning stressga chidamliligini oshirish va protsiklikni cheklashni ajratadi</w:t>
      </w:r>
      <w:r>
        <w:rPr>
          <w:rStyle w:val="FootnoteReference"/>
        </w:rPr>
        <w:footnoteReference w:id="140"/>
      </w:r>
      <w:r>
        <w:rPr>
          <w:rFonts w:ascii="Times New Roman" w:hAnsi="Times New Roman" w:cs="Times New Roman" w:eastAsia="Times New Roman"/>
          <w:sz w:val="28"/>
        </w:rPr>
        <w:t xml:space="preserve">. Bazel III kapital talablarini ham miqdor, ham sifat jihatidan kuchaytirdi: asosiy kapital talabi 2 foizdan 4,5 foizga, birinchi darajali kapital talabi 4 foizdan 6 foizga oshirildi, bunga qo‘shimcha ravishda 2,5 foizlik kapitalni saqlash buferi va 0–2,5 foizlik kontrsiklik bufer joriy etildi</w:t>
      </w:r>
      <w:r>
        <w:rPr>
          <w:rStyle w:val="FootnoteReference"/>
        </w:rPr>
        <w:footnoteReference w:id="141"/>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(1.2.2-rasm).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9" name="1.2.2-rasm"/>
            <wp:cNvGraphicFramePr/>
            <a:graphic>
              <a:graphicData uri="http://schemas.openxmlformats.org/drawingml/2006/chart">
                <c:chart r:id="rId1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1.2.2-rasm. Bazel II va Bazel III bo‘yicha kapital talablarining tuzilmasi</w:t>
      </w:r>
      <w:r>
        <w:rPr>
          <w:rStyle w:val="FootnoteReference"/>
        </w:rPr>
        <w:footnoteReference w:id="142"/>
      </w:r>
    </w:p>
    <w:p>
      <w:pPr>
        <w:pStyle w:val="BodyText"/>
        <w:spacing w:line="360" w:lineRule="auto" w:before="0" w:after="0"/>
        <w:ind w:firstLine="709"/>
        <w:jc w:val="both"/>
      </w:pPr>
      <w:r>
        <w:rPr>
          <w:rFonts w:ascii="Times New Roman" w:hAnsi="Times New Roman" w:cs="Times New Roman" w:eastAsia="Times New Roman"/>
          <w:sz w:val="28"/>
        </w:rPr>
        <w:t xml:space="preserve">Rasm ma’lumotlari shuni ko‘rsatadiki, Bazel III da talablarning umumiy darajasi konservatsiya buferi bilan 10,5 foizga, kontrsiklik bufer to‘liq qo‘llanganda esa 13 foizga yetadi, eng muhimi, ularning asosiy qismi eng sifatli kapital – asosiy kapital hisobidan qoplanishi kerak. Asosiy kapitalga kiritiladigan instrumentlar uchun 14 ta mezon belgilanib, gudvil va kelajakdagi foydaga bog‘liq kechiktirilgan soliq aktivlari undan chegirib tashlanadigan bo‘ldi</w:t>
      </w:r>
      <w:r>
        <w:rPr>
          <w:rStyle w:val="FootnoteReference"/>
        </w:rPr>
        <w:footnoteReference w:id="143"/>
      </w:r>
      <w:r>
        <w:rPr>
          <w:rFonts w:ascii="Times New Roman" w:hAnsi="Times New Roman" w:cs="Times New Roman" w:eastAsia="Times New Roman"/>
          <w:sz w:val="28"/>
        </w:rPr>
        <w:t xml:space="preserve">. Konservatsiya buferining o‘ziga xos jihati shundaki, u to‘g‘ridan-to‘g‘ri majburiy minimum emas, balki bank xatti-harakatini cheklovchi mexanizm hisoblanadi: asosiy kapital buferni hisobga olgan holda 7 foizdan past bo‘lsa, bank foydaning bir qismini dividend sifatida taqsimlay olmaydi</w:t>
      </w:r>
      <w:r>
        <w:rPr>
          <w:rStyle w:val="FootnoteReference"/>
        </w:rPr>
        <w:footnoteReference w:id="144"/>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0" name="1.2.3-rasm"/>
            <wp:cNvGraphicFramePr/>
            <a:graphic>
              <a:graphicData uri="http://schemas.openxmlformats.org/drawingml/2006/chart">
                <c:chart r:id="rId14"/>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1.2.3-rasm. Konservatsiya buferi bo‘yicha foydani taqsimlash cheklovlari shkalasi</w:t>
      </w:r>
      <w:r>
        <w:rPr>
          <w:rStyle w:val="FootnoteReference"/>
        </w:rPr>
        <w:footnoteReference w:id="145"/>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asosiy kapital 4,5–5,125 foiz oralig‘ida bo‘lsa foydaning 100 foizi, 5,125–5,75 foiz oralig‘ida 80 foizi, 5,75–6,375 foiz oralig‘ida 60 foizi, 6,375–7 foiz oralig‘ida esa 40 foizi bankda qoldirilishi kerak. Bu shkala moliyaviy barqarorlikni baholash metodikasi uchun muhim metodologik namuna bo‘lib, kapital ko‘rsatkichini «bajarilgan – bajarilmagan» ikkilik mezoni bilan emas, balki minimumdan qanchalik yuqori ekaniga qarab bir necha pog‘onada baholash mumkinligini ko‘rsatadi. Kontrsiklik bufer esa makroprudensial vosita sifatida kredit/YaIM nisbatining uzoq muddatli trenddan og‘ishiga bog‘lanadi: og‘ish 2 foiz punktdan past bo‘lsa bufer nolga teng, 10 foiz punktdan yuqori bo‘lsa 2,5 foizga teng bo‘ladi, Afanasyeva va Dubova esa kredit/YaIM nisbatining yiliga 2–3 foizga oshishi ortiqcha kreditlash xavfidan dalolat berishini ta’kidlaydi</w:t>
      </w:r>
      <w:r>
        <w:rPr>
          <w:rStyle w:val="FootnoteReference"/>
        </w:rPr>
        <w:footnoteReference w:id="146"/>
      </w:r>
      <w:r>
        <w:rPr>
          <w:rFonts w:ascii="Times New Roman" w:hAnsi="Times New Roman" w:cs="Times New Roman" w:eastAsia="Times New Roman"/>
          <w:sz w:val="28"/>
        </w:rPr>
        <w:t xml:space="preserve">. Bunga qo‘shimcha ravishda Bazel III risk vaznlariga bog‘liq bo‘lmagan, kamida 3 foiz bo‘lishi lozim bo‘lgan leverej koeffitsiyentini joriy etdi, Tian uni ichki modellar xatosidan himoya qiluvchi oddiy zaxira chorasi deb ataydi</w:t>
      </w:r>
      <w:r>
        <w:rPr>
          <w:rStyle w:val="FootnoteReference"/>
        </w:rPr>
        <w:footnoteReference w:id="14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III ning eng muhim yangiliklaridan biri likvidlik bo‘yicha birinchi marta miqdoriy talablarning joriy etilishi bo‘ldi. Likvidlikni qoplash me’yori yuqori sifatli likvid aktivlarning stress sharoitidagi keyingi 30 kunlik sof pul chiqimiga nisbati sifatida hisoblanadi va kamida 100 foiz bo‘lishi kerak</w:t>
      </w:r>
      <w:r>
        <w:rPr>
          <w:rStyle w:val="FootnoteReference"/>
        </w:rPr>
        <w:footnoteReference w:id="148"/>
      </w:r>
      <w:r>
        <w:rPr>
          <w:rFonts w:ascii="Times New Roman" w:hAnsi="Times New Roman" w:cs="Times New Roman" w:eastAsia="Times New Roman"/>
          <w:sz w:val="28"/>
        </w:rPr>
        <w:t xml:space="preserve">. Sof barqaror moliyalashtirish me’yori esa mavjud barqaror moliyalashtirishning talab qilinadigan barqaror moliyalashtirishga nisbati bo‘lib, bir yillik gorizontda aktivlar va passivlar muddatlari nomutanosibligini cheklaydi</w:t>
      </w:r>
      <w:r>
        <w:rPr>
          <w:rStyle w:val="FootnoteReference"/>
        </w:rPr>
        <w:footnoteReference w:id="149"/>
      </w:r>
      <w:r>
        <w:rPr>
          <w:rFonts w:ascii="Times New Roman" w:hAnsi="Times New Roman" w:cs="Times New Roman" w:eastAsia="Times New Roman"/>
          <w:sz w:val="28"/>
        </w:rPr>
        <w:t xml:space="preserve">. Har ikki me’yorning natijasi asosan koeffitsiyentlarga bog‘liq bo‘lib, ularning asosiy qiymatlari 1.2.3-jadvalda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1.2.3-jadval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Bazel III likvidlik me’yorlarida qo‘llanadigan asosiy koeffitsiyentlar</w:t>
      </w:r>
      <w:r>
        <w:rPr>
          <w:rStyle w:val="FootnoteReference"/>
        </w:rPr>
        <w:footnoteReference w:id="15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4536"/>
        <w:gridCol w:w="1474"/>
        <w:gridCol w:w="3345"/>
      </w:tblGrid>
      <w:tr>
        <w:trPr>
          <w:tblHeader w:val="true"/>
          <w:cantSplit/>
          <w:tblHeader/>
        </w:trPr>
        <w:tc>
          <w:tcPr>
            <w:tcW w:type="dxa" w:w="453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Moddalar</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Koeffitsiyent, %</w:t>
            </w:r>
          </w:p>
        </w:tc>
        <w:tc>
          <w:tcPr>
            <w:tcW w:type="dxa" w:w="334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Mazmuni</w:t>
            </w: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Likvidlikni qoplash me’yori: yuqori sifatli likvid aktivlar</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1-daraja: naqd pul, markaziy bankdagi zaxiralar, nol risk vaznli davlat qimmatli qog‘ozlari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Cheklovsiz, diskontsiz</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2A-daraja: 20 foiz risk vaznli qimmatli qog‘ozlar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85</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Jami likvid aktivlarning 40 foizidan oshmaydi</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2B-daraja: korporativ obligatsiyalar, aksiyalar va boshqalar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50–75</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Jami likvid aktivlarning 15 foizidan oshmaydi</w:t>
            </w: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Likvidlikni qoplash me’yori: pul chiqimi koeffitsiyentlari</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3–5</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Sug‘urtalangan, operatsion bog‘liq</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Kamroq 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 va undan yuqori</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Nomoliyaviy korporatsiyalarning operatsion bo‘lmagan mablag‘lari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3345"/>
          </w:tcPr>
          <w:p>
            <w:pPr>
              <w:pStyle w:val="Compact"/>
              <w:spacing w:line="240" w:lineRule="auto"/>
              <w:ind w:firstLine="0"/>
              <w:jc w:val="left"/>
            </w:pPr>
            <w:r>
              <w:rPr>
                <w:rFonts w:ascii="Times New Roman" w:hAnsi="Times New Roman" w:cs="Times New Roman" w:eastAsia="Times New Roman"/>
                <w:sz w:val="22"/>
              </w:rPr>
              <w:t xml:space="preserve">Sug‘urtalanmagan qismi</w:t>
            </w: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Moliya institutlarining operatsion bo‘lmagan mablag‘lari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Sof barqaror moliyalashtirish me’yori: mavjud barqaror moliyalashtirish</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Kapital va muddati bir yildan ortiq majburiyatlar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95</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Kamroq barqaror chakana depozitlar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90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Nomoliyaviy korporatsiyalarning bir yilgacha mablag‘lari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50</w:t>
            </w:r>
          </w:p>
        </w:tc>
        <w:tc>
          <w:tcPr>
            <w:tcW w:type="dxa" w:w="3345"/>
          </w:tcPr>
          <w:p>
            <w:pPr>
              <w:pStyle w:val="Compact"/>
              <w:spacing w:line="240" w:lineRule="auto"/>
              <w:ind w:firstLine="0"/>
              <w:jc w:val="left"/>
            </w:pPr>
          </w:p>
        </w:tc>
      </w:tr>
      <w:tr>
        <w:trPr>
          <w:cantSplit/>
        </w:trPr>
        <w:tc>
          <w:tcPr>
            <w:tcW w:type="dxa" w:w="4535"/>
            <w:shd w:val="clear" w:color="auto" w:fill="F2F2F2"/>
          </w:tcPr>
          <w:p>
            <w:pPr>
              <w:pStyle w:val="Compact"/>
              <w:spacing w:line="240" w:lineRule="auto"/>
              <w:ind w:firstLine="0"/>
              <w:jc w:val="left"/>
            </w:pPr>
            <w:r>
              <w:rPr>
                <w:bCs/>
                <w:rFonts w:ascii="Times New Roman" w:hAnsi="Times New Roman" w:cs="Times New Roman" w:eastAsia="Times New Roman"/>
                <w:b/>
                <w:sz w:val="22"/>
              </w:rPr>
              <w:t xml:space="preserve">Sof barqaror moliyalashtirish me’yori: talab qilinadigan barqaror moliyalashtirish</w:t>
            </w:r>
          </w:p>
        </w:tc>
        <w:tc>
          <w:tcPr>
            <w:tcW w:type="dxa" w:w="1474"/>
            <w:shd w:val="clear" w:color="auto" w:fill="F2F2F2"/>
          </w:tcPr>
          <w:p>
            <w:pPr>
              <w:pStyle w:val="Compact"/>
              <w:spacing w:line="240" w:lineRule="auto"/>
              <w:ind w:firstLine="0"/>
              <w:jc w:val="left"/>
            </w:pPr>
          </w:p>
        </w:tc>
        <w:tc>
          <w:tcPr>
            <w:tcW w:type="dxa" w:w="3345"/>
            <w:shd w:val="clear" w:color="auto" w:fill="F2F2F2"/>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1-daraja likvid aktivlar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Bir yilgacha muddatli chakana va kichik biznes kreditlari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50</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Risk vazni 35 foizgacha bo‘lgan ipoteka kreditlari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65</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Boshqa ishlaydigan kreditlar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85</w:t>
            </w:r>
          </w:p>
        </w:tc>
        <w:tc>
          <w:tcPr>
            <w:tcW w:type="dxa" w:w="3345"/>
          </w:tcPr>
          <w:p>
            <w:pPr>
              <w:pStyle w:val="Compact"/>
              <w:spacing w:line="240" w:lineRule="auto"/>
              <w:ind w:firstLine="0"/>
              <w:jc w:val="left"/>
            </w:pPr>
          </w:p>
        </w:tc>
      </w:tr>
      <w:tr>
        <w:trPr>
          <w:cantSplit/>
        </w:trPr>
        <w:tc>
          <w:tcPr>
            <w:tcW w:type="dxa" w:w="4535"/>
          </w:tcPr>
          <w:p>
            <w:pPr>
              <w:pStyle w:val="Compact"/>
              <w:spacing w:line="240" w:lineRule="auto"/>
              <w:ind w:firstLine="0"/>
              <w:jc w:val="left"/>
            </w:pPr>
            <w:r>
              <w:rPr>
                <w:rFonts w:ascii="Times New Roman" w:hAnsi="Times New Roman" w:cs="Times New Roman" w:eastAsia="Times New Roman"/>
                <w:sz w:val="22"/>
              </w:rPr>
              <w:t xml:space="preserve">Muammoli kreditlar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100</w:t>
            </w:r>
          </w:p>
        </w:tc>
        <w:tc>
          <w:tcPr>
            <w:tcW w:type="dxa" w:w="3345"/>
          </w:tcPr>
          <w:p>
            <w:pPr>
              <w:pStyle w:val="Compact"/>
              <w:spacing w:line="240" w:lineRule="auto"/>
              <w:ind w:firstLine="0"/>
              <w:jc w:val="left"/>
            </w:pP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Bazel III likvidlik me’yorlari majburiyatlar va aktivlarni barqarorlik darajasiga qarab keng tabaqalashtiradi: ayniqsa, moliya institutlarining mablag‘lariga 100 foizlik chiqim koeffitsiyenti berilishi va boshqa banklardagi muddatli depozitlarning yuqori sifatli likvid aktivlar tarkibiga kiritilmasligi banklararo zararlanish xavfini hisobga oladi. Aynan shu tabaqalashtirish darajasi milliy me’yorlar Bazel III dan qanchalik farq qilishini baholashning asosiy mezoni bo‘ladi va O‘zbekiston amaliyoti bo‘yicha bu masala 2.1-paragrafda tahlil qilinadi. Bazel qo‘mitasi 2017-yilda yakuniy islohotlar to‘plamini qabul qilib, standartlashtirilgan yondashuvlarni qayta ko‘rib chiqdi va ichki modellar asosida hisoblangan riskka tortilgan aktivlarning standartlashtirilgan yondashuv bo‘yicha qiymatining kamida 72,5 foizini tashkil etishini talab qiluvchi quyi chegara joriy etdi</w:t>
      </w:r>
      <w:r>
        <w:rPr>
          <w:rStyle w:val="FootnoteReference"/>
        </w:rPr>
        <w:footnoteReference w:id="151"/>
      </w:r>
      <w:r>
        <w:rPr>
          <w:rFonts w:ascii="Times New Roman" w:hAnsi="Times New Roman" w:cs="Times New Roman" w:eastAsia="Times New Roman"/>
          <w:sz w:val="28"/>
        </w:rPr>
        <w:t xml:space="preserve">. O‘zbekistonda esa Bazel III talablarini bosqichma-bosqich joriy etish 2015-yilda boshlangan bo‘lib, likvidlikni qoplash me’yorining minimal darajasi 2016-yil 1-yanvardan 80 foiz, 2017-yil 1-yanvardan 90 foiz, 2018-yil 1-yanvardan 100 foiz qilib belgilangan</w:t>
      </w:r>
      <w:r>
        <w:rPr>
          <w:rStyle w:val="FootnoteReference"/>
        </w:rPr>
        <w:footnoteReference w:id="15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Bazel standartlari moliyaviy barqarorlikni baholash uchun aniq miqdoriy mezonlar bersa-da, ularni to‘liq baholash tizimi deb bo‘lmaydi, chunki ular aktivlar sifatiga bevosita miqdoriy talab qo‘ymaydi va ko‘rsatkichlarni yagona bahoga birlashtirmaydi. Bundan tashqari, kapital va likvidlik me’yorlarining ishonchliligi aktivlar va zaxiralar to‘g‘ri baholanganiga bog‘liq bo‘lib, Rossiya tajribasi asosidagi monografiyada kredit riski yetarli baholanmagan sharoitda Bazel III yangiliklari bank sektori barqarorligi muammosini hal qila olmasligi ta’kidlangan</w:t>
      </w:r>
      <w:r>
        <w:rPr>
          <w:rStyle w:val="FootnoteReference"/>
        </w:rPr>
        <w:footnoteReference w:id="153"/>
      </w:r>
      <w:r>
        <w:rPr>
          <w:rFonts w:ascii="Times New Roman" w:hAnsi="Times New Roman" w:cs="Times New Roman" w:eastAsia="Times New Roman"/>
          <w:sz w:val="28"/>
        </w:rPr>
        <w:t xml:space="preserve">. Shu jihatdan 2018-yildan amalga kiritilgan MHXS 9 «Moliyaviy instrumentlar» standarti alohida ahamiyatga ega. Uning asosiy yangiligi kredit zararlarini tan olishda yuzaga kelgan zararlar modelidan kutilgan zararlar modeliga o‘tish bo‘lib, zaxira 12 oylik yoki butun muddat uchun defolt ehtimoli bilan tortilgan kutilayotgan pul tushumlari kamayishi asosida hisoblanadi</w:t>
      </w:r>
      <w:r>
        <w:rPr>
          <w:rStyle w:val="FootnoteReference"/>
        </w:rPr>
        <w:footnoteReference w:id="154"/>
      </w:r>
      <w:r>
        <w:rPr>
          <w:rFonts w:ascii="Times New Roman" w:hAnsi="Times New Roman" w:cs="Times New Roman" w:eastAsia="Times New Roman"/>
          <w:sz w:val="28"/>
        </w:rPr>
        <w:t xml:space="preserve">. N.E. Sokolinskaya bu o‘zgarishni yuzaga kelgan zararlarga asoslangan yondashuv o‘rniga prognoz yondashuvining kiritilishi deb tavsiflaydi</w:t>
      </w:r>
      <w:r>
        <w:rPr>
          <w:rStyle w:val="FootnoteReference"/>
        </w:rPr>
        <w:footnoteReference w:id="155"/>
      </w:r>
      <w:r>
        <w:rPr>
          <w:rFonts w:ascii="Times New Roman" w:hAnsi="Times New Roman" w:cs="Times New Roman" w:eastAsia="Times New Roman"/>
          <w:sz w:val="28"/>
        </w:rPr>
        <w:t xml:space="preserve">. Standartga ko‘ra, moliyaviy aktivlar kredit sifatining o‘zgarishiga qarab uch bosqichga ajratiladi</w:t>
      </w:r>
      <w:r>
        <w:rPr>
          <w:rStyle w:val="FootnoteReference"/>
        </w:rPr>
        <w:footnoteReference w:id="156"/>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(1.2.4-rasm).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448000"/>
                <wp:effectExtent l="0" t="0" r="0" b="0"/>
                <wp:docPr id="11" name="1.2.4-rasm"/>
                <wp:cNvGraphicFramePr/>
                <a:graphic>
                  <a:graphicData uri="http://schemas.microsoft.com/office/word/2010/wordprocessingGroup">
                    <wpg:wgp>
                      <wpg:cNvGrpSpPr/>
                      <wpg:grpSpPr>
                        <a:xfrm>
                          <a:off x="0" y="0"/>
                          <a:ext cx="5904000" cy="2448000"/>
                          <a:chOff x="0" y="0"/>
                          <a:chExt cx="5904000" cy="2448000"/>
                        </a:xfrm>
                      </wpg:grpSpPr>
                      <wps:wsp>
                        <wps:cNvPr id="17" name="Shape 17"/>
                        <wps:cNvSpPr/>
                        <wps:spPr>
                          <a:xfrm>
                            <a:off x="36000" y="0"/>
                            <a:ext cx="5832000" cy="198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i/>
                                  <w:color w:val="000000"/>
                                  <w:sz w:val="22"/>
                                  <w:szCs w:val="22"/>
                                </w:rPr>
                                <w:t xml:space="preserve">Dastlabki tan olingandan keyin kredit sifatining yomonlashuvi</w:t>
                              </w:r>
                            </w:p>
                          </w:txbxContent>
                        </wps:txbx>
                        <wps:bodyPr rot="0" vert="horz" wrap="square" lIns="36000" tIns="18000" rIns="36000" bIns="18000" anchor="ctr" anchorCtr="0">
                          <a:noAutofit/>
                        </wps:bodyPr>
                      </wps:wsp>
                      <wps:wsp>
                        <wps:cNvPr id="18" name="Connector 18"/>
                        <wps:cNvCnPr/>
                        <wps:spPr>
                          <a:xfrm>
                            <a:off x="72000" y="270000"/>
                            <a:ext cx="5760000" cy="0"/>
                          </a:xfrm>
                          <a:prstGeom prst="straightConnector1">
                            <a:avLst/>
                          </a:prstGeom>
                          <a:ln w="31750">
                            <a:solidFill>
                              <a:srgbClr val="7F7F7F"/>
                            </a:solidFill>
                            <a:tailEnd type="triangle" w="med" len="med"/>
                          </a:ln>
                        </wps:spPr>
                        <wps:bodyPr/>
                      </wps:wsp>
                      <wps:wsp>
                        <wps:cNvPr id="19" name="Shape 19"/>
                        <wps:cNvSpPr/>
                        <wps:spPr>
                          <a:xfrm>
                            <a:off x="36000" y="378000"/>
                            <a:ext cx="1836000" cy="30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1-bosqich</w:t>
                              </w:r>
                            </w:p>
                          </w:txbxContent>
                        </wps:txbx>
                        <wps:bodyPr rot="0" vert="horz" wrap="square" lIns="36000" tIns="18000" rIns="36000" bIns="18000" anchor="ctr" anchorCtr="0">
                          <a:noAutofit/>
                        </wps:bodyPr>
                      </wps:wsp>
                      <wps:wsp>
                        <wps:cNvPr id="20" name="Shape 20"/>
                        <wps:cNvSpPr/>
                        <wps:spPr>
                          <a:xfrm>
                            <a:off x="3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Kredit riski sezilarli</w:t>
                              </w:r>
                            </w:p>
                            <w:p>
                              <w:pPr>
                                <w:spacing w:before="0" w:after="0" w:line="228" w:lineRule="auto"/>
                                <w:jc w:val="center"/>
                                <w:ind w:firstLine="0"/>
                              </w:pPr>
                              <w:r>
                                <w:rPr>
                                  <w:rFonts w:ascii="Times New Roman" w:hAnsi="Times New Roman" w:cs="Times New Roman"/>
                                  <w:color w:val="000000"/>
                                  <w:sz w:val="22"/>
                                  <w:szCs w:val="22"/>
                                </w:rPr>
                                <w:t xml:space="preserve">oshmagan aktivlar</w:t>
                              </w:r>
                            </w:p>
                          </w:txbxContent>
                        </wps:txbx>
                        <wps:bodyPr rot="0" vert="horz" wrap="square" lIns="36000" tIns="18000" rIns="36000" bIns="18000" anchor="ctr" anchorCtr="0">
                          <a:noAutofit/>
                        </wps:bodyPr>
                      </wps:wsp>
                      <wps:wsp>
                        <wps:cNvPr id="21" name="Shape 21"/>
                        <wps:cNvSpPr/>
                        <wps:spPr>
                          <a:xfrm>
                            <a:off x="3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12 oylik kutilgan</w:t>
                              </w:r>
                            </w:p>
                            <w:p>
                              <w:pPr>
                                <w:spacing w:before="0" w:after="0" w:line="228" w:lineRule="auto"/>
                                <w:jc w:val="center"/>
                                <w:ind w:firstLine="0"/>
                              </w:pPr>
                              <w:r>
                                <w:rPr>
                                  <w:rFonts w:ascii="Times New Roman" w:hAnsi="Times New Roman" w:cs="Times New Roman"/>
                                  <w:b/>
                                  <w:color w:val="000000"/>
                                  <w:sz w:val="22"/>
                                  <w:szCs w:val="22"/>
                                </w:rPr>
                                <w:t xml:space="preserve">kredit zararlari</w:t>
                              </w:r>
                            </w:p>
                          </w:txbxContent>
                        </wps:txbx>
                        <wps:bodyPr rot="0" vert="horz" wrap="square" lIns="36000" tIns="18000" rIns="36000" bIns="18000" anchor="ctr" anchorCtr="0">
                          <a:noAutofit/>
                        </wps:bodyPr>
                      </wps:wsp>
                      <wps:wsp>
                        <wps:cNvPr id="22" name="Shape 22"/>
                        <wps:cNvSpPr/>
                        <wps:spPr>
                          <a:xfrm>
                            <a:off x="3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yalpi</w:t>
                              </w:r>
                            </w:p>
                            <w:p>
                              <w:pPr>
                                <w:spacing w:before="0" w:after="0" w:line="228" w:lineRule="auto"/>
                                <w:jc w:val="center"/>
                                <w:ind w:firstLine="0"/>
                              </w:pPr>
                              <w:r>
                                <w:rPr>
                                  <w:rFonts w:ascii="Times New Roman" w:hAnsi="Times New Roman" w:cs="Times New Roman"/>
                                  <w:color w:val="000000"/>
                                  <w:sz w:val="22"/>
                                  <w:szCs w:val="22"/>
                                </w:rPr>
                                <w:t xml:space="preserve">balans qiymatiga</w:t>
                              </w:r>
                            </w:p>
                            <w:p>
                              <w:pPr>
                                <w:spacing w:before="0" w:after="0" w:line="228" w:lineRule="auto"/>
                                <w:jc w:val="center"/>
                                <w:ind w:firstLine="0"/>
                              </w:pPr>
                              <w:r>
                                <w:rPr>
                                  <w:rFonts w:ascii="Times New Roman" w:hAnsi="Times New Roman" w:cs="Times New Roman"/>
                                  <w:color w:val="000000"/>
                                  <w:sz w:val="22"/>
                                  <w:szCs w:val="22"/>
                                </w:rPr>
                                <w:t xml:space="preserve">hisoblanadi</w:t>
                              </w:r>
                            </w:p>
                          </w:txbxContent>
                        </wps:txbx>
                        <wps:bodyPr rot="0" vert="horz" wrap="square" lIns="36000" tIns="18000" rIns="36000" bIns="18000" anchor="ctr" anchorCtr="0">
                          <a:noAutofit/>
                        </wps:bodyPr>
                      </wps:wsp>
                      <wps:wsp>
                        <wps:cNvPr id="23" name="Shape 23"/>
                        <wps:cNvSpPr/>
                        <wps:spPr>
                          <a:xfrm>
                            <a:off x="2016000" y="378000"/>
                            <a:ext cx="1836000" cy="30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4"/>
                                  <w:szCs w:val="24"/>
                                </w:rPr>
                                <w:t xml:space="preserve">2-bosqich</w:t>
                              </w:r>
                            </w:p>
                          </w:txbxContent>
                        </wps:txbx>
                        <wps:bodyPr rot="0" vert="horz" wrap="square" lIns="36000" tIns="18000" rIns="36000" bIns="18000" anchor="ctr" anchorCtr="0">
                          <a:noAutofit/>
                        </wps:bodyPr>
                      </wps:wsp>
                      <wps:wsp>
                        <wps:cNvPr id="24" name="Shape 24"/>
                        <wps:cNvSpPr/>
                        <wps:spPr>
                          <a:xfrm>
                            <a:off x="201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Kredit riski sezilarli</w:t>
                              </w:r>
                            </w:p>
                            <w:p>
                              <w:pPr>
                                <w:spacing w:before="0" w:after="0" w:line="228" w:lineRule="auto"/>
                                <w:jc w:val="center"/>
                                <w:ind w:firstLine="0"/>
                              </w:pPr>
                              <w:r>
                                <w:rPr>
                                  <w:rFonts w:ascii="Times New Roman" w:hAnsi="Times New Roman" w:cs="Times New Roman"/>
                                  <w:color w:val="000000"/>
                                  <w:sz w:val="22"/>
                                  <w:szCs w:val="22"/>
                                </w:rPr>
                                <w:t xml:space="preserve">oshgan aktivlar</w:t>
                              </w:r>
                            </w:p>
                          </w:txbxContent>
                        </wps:txbx>
                        <wps:bodyPr rot="0" vert="horz" wrap="square" lIns="36000" tIns="18000" rIns="36000" bIns="18000" anchor="ctr" anchorCtr="0">
                          <a:noAutofit/>
                        </wps:bodyPr>
                      </wps:wsp>
                      <wps:wsp>
                        <wps:cNvPr id="25" name="Shape 25"/>
                        <wps:cNvSpPr/>
                        <wps:spPr>
                          <a:xfrm>
                            <a:off x="201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Butun muddat uchun</w:t>
                              </w:r>
                            </w:p>
                            <w:p>
                              <w:pPr>
                                <w:spacing w:before="0" w:after="0" w:line="228" w:lineRule="auto"/>
                                <w:jc w:val="center"/>
                                <w:ind w:firstLine="0"/>
                              </w:pPr>
                              <w:r>
                                <w:rPr>
                                  <w:rFonts w:ascii="Times New Roman" w:hAnsi="Times New Roman" w:cs="Times New Roman"/>
                                  <w:b/>
                                  <w:color w:val="000000"/>
                                  <w:sz w:val="22"/>
                                  <w:szCs w:val="22"/>
                                </w:rPr>
                                <w:t xml:space="preserve">kutilgan kredit zararlari</w:t>
                              </w:r>
                            </w:p>
                          </w:txbxContent>
                        </wps:txbx>
                        <wps:bodyPr rot="0" vert="horz" wrap="square" lIns="36000" tIns="18000" rIns="36000" bIns="18000" anchor="ctr" anchorCtr="0">
                          <a:noAutofit/>
                        </wps:bodyPr>
                      </wps:wsp>
                      <wps:wsp>
                        <wps:cNvPr id="26" name="Shape 26"/>
                        <wps:cNvSpPr/>
                        <wps:spPr>
                          <a:xfrm>
                            <a:off x="201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yalpi</w:t>
                              </w:r>
                            </w:p>
                            <w:p>
                              <w:pPr>
                                <w:spacing w:before="0" w:after="0" w:line="228" w:lineRule="auto"/>
                                <w:jc w:val="center"/>
                                <w:ind w:firstLine="0"/>
                              </w:pPr>
                              <w:r>
                                <w:rPr>
                                  <w:rFonts w:ascii="Times New Roman" w:hAnsi="Times New Roman" w:cs="Times New Roman"/>
                                  <w:color w:val="000000"/>
                                  <w:sz w:val="22"/>
                                  <w:szCs w:val="22"/>
                                </w:rPr>
                                <w:t xml:space="preserve">balans qiymatiga</w:t>
                              </w:r>
                            </w:p>
                            <w:p>
                              <w:pPr>
                                <w:spacing w:before="0" w:after="0" w:line="228" w:lineRule="auto"/>
                                <w:jc w:val="center"/>
                                <w:ind w:firstLine="0"/>
                              </w:pPr>
                              <w:r>
                                <w:rPr>
                                  <w:rFonts w:ascii="Times New Roman" w:hAnsi="Times New Roman" w:cs="Times New Roman"/>
                                  <w:color w:val="000000"/>
                                  <w:sz w:val="22"/>
                                  <w:szCs w:val="22"/>
                                </w:rPr>
                                <w:t xml:space="preserve">hisoblanadi</w:t>
                              </w:r>
                            </w:p>
                          </w:txbxContent>
                        </wps:txbx>
                        <wps:bodyPr rot="0" vert="horz" wrap="square" lIns="36000" tIns="18000" rIns="36000" bIns="18000" anchor="ctr" anchorCtr="0">
                          <a:noAutofit/>
                        </wps:bodyPr>
                      </wps:wsp>
                      <wps:wsp>
                        <wps:cNvPr id="27" name="Shape 27"/>
                        <wps:cNvSpPr/>
                        <wps:spPr>
                          <a:xfrm>
                            <a:off x="3996000" y="378000"/>
                            <a:ext cx="1836000" cy="30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3-bosqich</w:t>
                              </w:r>
                            </w:p>
                          </w:txbxContent>
                        </wps:txbx>
                        <wps:bodyPr rot="0" vert="horz" wrap="square" lIns="36000" tIns="18000" rIns="36000" bIns="18000" anchor="ctr" anchorCtr="0">
                          <a:noAutofit/>
                        </wps:bodyPr>
                      </wps:wsp>
                      <wps:wsp>
                        <wps:cNvPr id="28" name="Shape 28"/>
                        <wps:cNvSpPr/>
                        <wps:spPr>
                          <a:xfrm>
                            <a:off x="3996000" y="756000"/>
                            <a:ext cx="1836000" cy="486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Qadrsizlangan</w:t>
                              </w:r>
                            </w:p>
                            <w:p>
                              <w:pPr>
                                <w:spacing w:before="0" w:after="0" w:line="228" w:lineRule="auto"/>
                                <w:jc w:val="center"/>
                                <w:ind w:firstLine="0"/>
                              </w:pPr>
                              <w:r>
                                <w:rPr>
                                  <w:rFonts w:ascii="Times New Roman" w:hAnsi="Times New Roman" w:cs="Times New Roman"/>
                                  <w:color w:val="000000"/>
                                  <w:sz w:val="22"/>
                                  <w:szCs w:val="22"/>
                                </w:rPr>
                                <w:t xml:space="preserve">(defolt) aktivlar</w:t>
                              </w:r>
                            </w:p>
                          </w:txbxContent>
                        </wps:txbx>
                        <wps:bodyPr rot="0" vert="horz" wrap="square" lIns="36000" tIns="18000" rIns="36000" bIns="18000" anchor="ctr" anchorCtr="0">
                          <a:noAutofit/>
                        </wps:bodyPr>
                      </wps:wsp>
                      <wps:wsp>
                        <wps:cNvPr id="29" name="Shape 29"/>
                        <wps:cNvSpPr/>
                        <wps:spPr>
                          <a:xfrm>
                            <a:off x="3996000" y="1314000"/>
                            <a:ext cx="1836000" cy="486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Butun muddat uchun</w:t>
                              </w:r>
                            </w:p>
                            <w:p>
                              <w:pPr>
                                <w:spacing w:before="0" w:after="0" w:line="228" w:lineRule="auto"/>
                                <w:jc w:val="center"/>
                                <w:ind w:firstLine="0"/>
                              </w:pPr>
                              <w:r>
                                <w:rPr>
                                  <w:rFonts w:ascii="Times New Roman" w:hAnsi="Times New Roman" w:cs="Times New Roman"/>
                                  <w:b/>
                                  <w:color w:val="000000"/>
                                  <w:sz w:val="22"/>
                                  <w:szCs w:val="22"/>
                                </w:rPr>
                                <w:t xml:space="preserve">kutilgan kredit zararlari</w:t>
                              </w:r>
                            </w:p>
                          </w:txbxContent>
                        </wps:txbx>
                        <wps:bodyPr rot="0" vert="horz" wrap="square" lIns="36000" tIns="18000" rIns="36000" bIns="18000" anchor="ctr" anchorCtr="0">
                          <a:noAutofit/>
                        </wps:bodyPr>
                      </wps:wsp>
                      <wps:wsp>
                        <wps:cNvPr id="30" name="Shape 30"/>
                        <wps:cNvSpPr/>
                        <wps:spPr>
                          <a:xfrm>
                            <a:off x="3996000" y="1872000"/>
                            <a:ext cx="1836000" cy="540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Foiz daromadi sof</w:t>
                              </w:r>
                            </w:p>
                            <w:p>
                              <w:pPr>
                                <w:spacing w:before="0" w:after="0" w:line="228" w:lineRule="auto"/>
                                <w:jc w:val="center"/>
                                <w:ind w:firstLine="0"/>
                              </w:pPr>
                              <w:r>
                                <w:rPr>
                                  <w:rFonts w:ascii="Times New Roman" w:hAnsi="Times New Roman" w:cs="Times New Roman"/>
                                  <w:color w:val="000000"/>
                                  <w:sz w:val="22"/>
                                  <w:szCs w:val="22"/>
                                </w:rPr>
                                <w:t xml:space="preserve">(zaxiradan keyingi)</w:t>
                              </w:r>
                            </w:p>
                            <w:p>
                              <w:pPr>
                                <w:spacing w:before="0" w:after="0" w:line="228" w:lineRule="auto"/>
                                <w:jc w:val="center"/>
                                <w:ind w:firstLine="0"/>
                              </w:pPr>
                              <w:r>
                                <w:rPr>
                                  <w:rFonts w:ascii="Times New Roman" w:hAnsi="Times New Roman" w:cs="Times New Roman"/>
                                  <w:color w:val="000000"/>
                                  <w:sz w:val="22"/>
                                  <w:szCs w:val="22"/>
                                </w:rPr>
                                <w:t xml:space="preserve">qiymatga hisoblanadi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1.2.4-rasm. MHXS 9 bo‘yicha kutilgan kredit zararlarini baholashning uch bosqichli modeli</w:t>
      </w:r>
      <w:r>
        <w:rPr>
          <w:rStyle w:val="FootnoteReference"/>
        </w:rPr>
        <w:footnoteReference w:id="157"/>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MHXS 9 kredit riskini muammo yuzaga kelgandan keyin emas, balki kredit riski sezilarli oshgan paytdan boshlab, ya’ni 2-bosqichdan e’tiborga oladi. Bu xususiyat moliyaviy barqarorlikni baholash uchun ikki jihatdan muhim. Birinchidan, u aktivlar sifati ko‘rsatkichlarini, xususan, zaxiralar bilan qoplanish darajasini ishonchliroq qiladi: Sokolinskaya prognoziga ko‘ra, MHXS 9 ga o‘tish natijasida Rossiya banklarida zaxiralar kredit portfelining 19,1 foiziga yetishi mumkin bo‘lgan</w:t>
      </w:r>
      <w:r>
        <w:rPr>
          <w:rStyle w:val="FootnoteReference"/>
        </w:rPr>
        <w:footnoteReference w:id="158"/>
      </w:r>
      <w:r>
        <w:rPr>
          <w:rFonts w:ascii="Times New Roman" w:hAnsi="Times New Roman" w:cs="Times New Roman" w:eastAsia="Times New Roman"/>
          <w:sz w:val="28"/>
        </w:rPr>
        <w:t xml:space="preserve">. Ikkinchidan, milliy hisobot va MHXS bo‘yicha hisoblangan ko‘rsatkichlar farqi bankning haqiqiy holatini aniqlashda qo‘shimcha axborot manbai bo‘ladi: muallif keltirgan misolda bitta bank 2015-yilda milliy hisobotda 63,7 mlrd rubl zarar, MHXS bo‘yicha esa 4,35 mlrd rubl foyda ko‘rsatgan</w:t>
      </w:r>
      <w:r>
        <w:rPr>
          <w:rStyle w:val="FootnoteReference"/>
        </w:rPr>
        <w:footnoteReference w:id="159"/>
      </w:r>
      <w:r>
        <w:rPr>
          <w:rFonts w:ascii="Times New Roman" w:hAnsi="Times New Roman" w:cs="Times New Roman" w:eastAsia="Times New Roman"/>
          <w:sz w:val="28"/>
        </w:rPr>
        <w:t xml:space="preserve">. Bazel III ga oid monografiyada ham Rossiya bank sektorida zaxiralar va muddati o‘tgan qarzlar ulushi o‘rtasidagi korrelyatsiya atigi 0,24 ni tashkil etgani, ya’ni amaldagi zaxira yaratish amaliyoti kutilgan yo‘qotishlarni qoplash maqsadiga javob bermasligi ko‘rsatilgan</w:t>
      </w:r>
      <w:r>
        <w:rPr>
          <w:rStyle w:val="FootnoteReference"/>
        </w:rPr>
        <w:footnoteReference w:id="160"/>
      </w:r>
      <w:r>
        <w:rPr>
          <w:rFonts w:ascii="Times New Roman" w:hAnsi="Times New Roman" w:cs="Times New Roman" w:eastAsia="Times New Roman"/>
          <w:sz w:val="28"/>
        </w:rPr>
        <w:t xml:space="preserve">. O‘zbekiston banklari misolida bu farq ikkinchi bobda tahlil qilinadi.</w:t>
      </w:r>
    </w:p>
    <w:p>
      <w:pPr>
        <w:pStyle w:val="BodyText"/>
        <w:spacing w:line="360" w:lineRule="auto" w:before="0" w:after="0"/>
        <w:ind w:firstLine="709"/>
        <w:jc w:val="both"/>
      </w:pPr>
      <w:r>
        <w:rPr>
          <w:rFonts w:ascii="Times New Roman" w:hAnsi="Times New Roman" w:cs="Times New Roman" w:eastAsia="Times New Roman"/>
          <w:sz w:val="28"/>
        </w:rPr>
        <w:t xml:space="preserve">Kapital va likvidlik standartlari hamda hisobot standartlari alohida bank darajasida qo‘llansa, Xalqaro valyuta jamg‘armasining moliyaviy barqarorlik ko‘rsatkichlari bank tizimi darajasida xalqaro taqqoslanadigan baholash vositasi hisoblanadi. Bu ko‘rsatkichlar 1990-yillar oxirida CAMELS nazorat reytingi tizimi asosida ishlab chiqilgan bo‘lib, 2006-yilgi qo‘llanmada 12 ta asosiy va 28 ta qo‘shimcha ko‘rsatkichni o‘z ichiga olgan</w:t>
      </w:r>
      <w:r>
        <w:rPr>
          <w:rStyle w:val="FootnoteReference"/>
        </w:rPr>
        <w:footnoteReference w:id="161"/>
      </w:r>
      <w:r>
        <w:rPr>
          <w:rFonts w:ascii="Times New Roman" w:hAnsi="Times New Roman" w:cs="Times New Roman" w:eastAsia="Times New Roman"/>
          <w:sz w:val="28"/>
        </w:rPr>
        <w:t xml:space="preserve">. 2019-yilgi yangi qo‘llanmada ko‘rsatkichlar soni 50 taga yetkazildi, ulardan 13 tasi yangi bo‘lib, depozit qabul qiluvchi tashkilotlar uchun 17 ta asosiy ko‘rsatkich minimal to‘plam sifatida tavsiya etildi, likvidlikni qoplash va sof barqaror moliyalashtirish me’yorlari esa 2018-yildan asosiy ko‘rsatkichlar qatoriga kiritildi</w:t>
      </w:r>
      <w:r>
        <w:rPr>
          <w:rStyle w:val="FootnoteReference"/>
        </w:rPr>
        <w:footnoteReference w:id="162"/>
      </w:r>
      <w:r>
        <w:rPr>
          <w:rFonts w:ascii="Times New Roman" w:hAnsi="Times New Roman" w:cs="Times New Roman" w:eastAsia="Times New Roman"/>
          <w:sz w:val="28"/>
        </w:rPr>
        <w:t xml:space="preserve">. Shu bilan birga, qo‘llanmada asosiy ko‘rsatkichlarning o‘zi cheklangan bashorat kuchiga ega ekani, ammo ular monitoring vositasi va kengroq tahliliy yondashuvlar uchun dastlabki ma’lumot sifatida foydali ekani qayd etilgan</w:t>
      </w:r>
      <w:r>
        <w:rPr>
          <w:rStyle w:val="FootnoteReference"/>
        </w:rPr>
        <w:footnoteReference w:id="163"/>
      </w:r>
      <w:r>
        <w:rPr>
          <w:rFonts w:ascii="Times New Roman" w:hAnsi="Times New Roman" w:cs="Times New Roman" w:eastAsia="Times New Roman"/>
          <w:sz w:val="28"/>
        </w:rPr>
        <w:t xml:space="preserve">. Demak, bu ko‘rsatkichlar baholash ko‘rsatkichlari tarkibini xalqaro miqyosda unifikatsiya qiladi, biroq mezoniy qiymatlar va yagona integral baho bermaydi.</w:t>
      </w:r>
    </w:p>
    <w:p>
      <w:pPr>
        <w:pStyle w:val="BodyText"/>
        <w:spacing w:line="360" w:lineRule="auto" w:before="0" w:after="0"/>
        <w:ind w:firstLine="709"/>
        <w:jc w:val="both"/>
      </w:pPr>
      <w:r>
        <w:rPr>
          <w:rFonts w:ascii="Times New Roman" w:hAnsi="Times New Roman" w:cs="Times New Roman" w:eastAsia="Times New Roman"/>
          <w:sz w:val="28"/>
        </w:rPr>
        <w:t xml:space="preserve">Ko‘rib chiqilgan standartlar va tizimlarning baholash metodikasi uchun ahamiyatini umumlashtirish ularni qiyosiy tavsiflash imkonini beradi (1.2.4-jadval).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1.2.4-jadval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Banklar moliyaviy barqarorligini baholash bo‘yicha xalqaro standartlar va tizimlarning qiyosiy tavsifi</w:t>
      </w:r>
      <w:r>
        <w:rPr>
          <w:rStyle w:val="FootnoteReference"/>
        </w:rPr>
        <w:footnoteReference w:id="16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530"/>
        <w:gridCol w:w="1474"/>
        <w:gridCol w:w="1644"/>
        <w:gridCol w:w="1587"/>
        <w:gridCol w:w="1644"/>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Mezon</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9</w:t>
            </w:r>
          </w:p>
        </w:tc>
        <w:tc>
          <w:tcPr>
            <w:tcW w:type="dxa" w:w="164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XVJ moliyaviy barqarorlik ko‘rsatkichlari</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CAMELS</w:t>
            </w:r>
          </w:p>
        </w:tc>
        <w:tc>
          <w:tcPr>
            <w:tcW w:type="dxa" w:w="164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Reyting agentliklari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Asosiy maqsad</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Minimal prudensial talablar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Kredit zararlarini to‘g‘ri aks ettirish</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Sektor barqarorligini kuzatish</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Nazorat reytingi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Investorlarga axborot</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Baholash darajasi</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Bank va tizim</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Bank</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Bank sektori</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Bank</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Bank</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Qamraydigan bloklar</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Kapital, likvidlik</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Kapital, aktivlar, daromad, likvidlik, bozor riski</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Kapital, aktivlar, boshqaruv, daromad, likvidlik, bozor riski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Biznes va moliyaviy profil</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Mezoniy qiymatlar</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Bor (minimumlar)</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Yo‘q (tamoyillar)</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Bor (ballar)</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Ichki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Yagona integral baho</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Bor (1–5)</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Bor (reyting)</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Natijaning oshkoraligi</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Normativlar ochiq</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Ochiq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Ochiq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Yopiq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Ochiq</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Asosiy cheklovi</w:t>
            </w:r>
          </w:p>
        </w:tc>
        <w:tc>
          <w:tcPr>
            <w:tcW w:type="dxa" w:w="1531"/>
          </w:tcPr>
          <w:p>
            <w:pPr>
              <w:pStyle w:val="Compact"/>
              <w:spacing w:line="240" w:lineRule="auto"/>
              <w:ind w:firstLine="0"/>
              <w:jc w:val="left"/>
            </w:pPr>
            <w:r>
              <w:rPr>
                <w:rFonts w:ascii="Times New Roman" w:hAnsi="Times New Roman" w:cs="Times New Roman" w:eastAsia="Times New Roman"/>
                <w:sz w:val="22"/>
              </w:rPr>
              <w:t xml:space="preserve">Aktivlar sifati va daromadlilikni qamramaydi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Faqat kredit riski</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Integral baho yo‘q</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Sub’ektiv, yopiq</w:t>
            </w:r>
          </w:p>
        </w:tc>
        <w:tc>
          <w:tcPr>
            <w:tcW w:type="dxa" w:w="1644"/>
          </w:tcPr>
          <w:p>
            <w:pPr>
              <w:pStyle w:val="Compact"/>
              <w:spacing w:line="240" w:lineRule="auto"/>
              <w:ind w:firstLine="0"/>
              <w:jc w:val="left"/>
            </w:pPr>
            <w:r>
              <w:rPr>
                <w:rFonts w:ascii="Times New Roman" w:hAnsi="Times New Roman" w:cs="Times New Roman" w:eastAsia="Times New Roman"/>
                <w:sz w:val="22"/>
              </w:rPr>
              <w:t xml:space="preserve">Hamma banklarni qamramaydi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ko‘rib chiqilgan standartlarning birortasi ham moliyaviy barqarorlikni ochiq ma’lumotlar asosida, mezoniy qiymatlar bilan va yagona integral baho shaklida baholash imkonini to‘liq bermaydi. Bazel III aniq mezonlar beradi, lekin faqat kapital va likvidlikni qamraydi, CAMELS kompleks baho beradi, ammo yopiq va sub’ektiv, Xalqaro valyuta jamg‘armasi ko‘rsatkichlari baholash tarkibini belgilaydi, lekin ularni yagona bahoga birlashtirmaydi, MHXS 9 esa ko‘rsatkichlar sifatini oshiradi, ammo o‘zi baholash tizimi emas. Reyting agentliklari esa H. Langohr va P. Langohr ta’rificha, bankning tashqi yordamsiz mustaqil kuchini baholab, aktivlar sifatini bank tahlilining eng muhim qismi deb hisoblaydi</w:t>
      </w:r>
      <w:r>
        <w:rPr>
          <w:rStyle w:val="FootnoteReference"/>
        </w:rPr>
        <w:footnoteReference w:id="165"/>
      </w:r>
      <w:r>
        <w:rPr>
          <w:rFonts w:ascii="Times New Roman" w:hAnsi="Times New Roman" w:cs="Times New Roman" w:eastAsia="Times New Roman"/>
          <w:sz w:val="28"/>
        </w:rPr>
        <w:t xml:space="preserve">, biroq O‘zbekistonda ular faqat bir qism banklarni qamraydi. Shu bilan birga, bu standartlar bir-birini to‘ldiradi va ularning afzalliklarini birlashtirish orqali takomillashtirilgan integral baholash tizimini qurish mumkin (1.2.5-rasm).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40000" cy="3060000"/>
                <wp:effectExtent l="0" t="0" r="0" b="0"/>
                <wp:docPr id="12" name="1.2.5-rasm"/>
                <wp:cNvGraphicFramePr/>
                <a:graphic>
                  <a:graphicData uri="http://schemas.microsoft.com/office/word/2010/wordprocessingGroup">
                    <wpg:wgp>
                      <wpg:cNvGrpSpPr/>
                      <wpg:grpSpPr>
                        <a:xfrm>
                          <a:off x="0" y="0"/>
                          <a:ext cx="5940000" cy="3060000"/>
                          <a:chOff x="0" y="0"/>
                          <a:chExt cx="5940000" cy="3060000"/>
                        </a:xfrm>
                      </wpg:grpSpPr>
                      <wps:wsp>
                        <wps:cNvPr id="31" name="Shape 31"/>
                        <wps:cNvSpPr/>
                        <wps:spPr>
                          <a:xfrm>
                            <a:off x="36000" y="0"/>
                            <a:ext cx="1296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Xalqaro standartlar</w:t>
                              </w:r>
                            </w:p>
                          </w:txbxContent>
                        </wps:txbx>
                        <wps:bodyPr rot="0" vert="horz" wrap="square" lIns="36000" tIns="18000" rIns="36000" bIns="18000" anchor="ctr" anchorCtr="0">
                          <a:noAutofit/>
                        </wps:bodyPr>
                      </wps:wsp>
                      <wps:wsp>
                        <wps:cNvPr id="32" name="Shape 32"/>
                        <wps:cNvSpPr/>
                        <wps:spPr>
                          <a:xfrm>
                            <a:off x="2160000" y="0"/>
                            <a:ext cx="1728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Baholash bloklari</w:t>
                              </w:r>
                            </w:p>
                          </w:txbxContent>
                        </wps:txbx>
                        <wps:bodyPr rot="0" vert="horz" wrap="square" lIns="36000" tIns="18000" rIns="36000" bIns="18000" anchor="ctr" anchorCtr="0">
                          <a:noAutofit/>
                        </wps:bodyPr>
                      </wps:wsp>
                      <wps:wsp>
                        <wps:cNvPr id="33" name="Connector 33"/>
                        <wps:cNvCnPr/>
                        <wps:spPr>
                          <a:xfrm>
                            <a:off x="1332000" y="486000"/>
                            <a:ext cx="828000" cy="0"/>
                          </a:xfrm>
                          <a:prstGeom prst="straightConnector1">
                            <a:avLst/>
                          </a:prstGeom>
                          <a:ln w="12700">
                            <a:solidFill>
                              <a:srgbClr val="70AD47"/>
                            </a:solidFill>
                          </a:ln>
                        </wps:spPr>
                        <wps:bodyPr/>
                      </wps:wsp>
                      <wps:wsp>
                        <wps:cNvPr id="34" name="Connector 34"/>
                        <wps:cNvCnPr/>
                        <wps:spPr>
                          <a:xfrm>
                            <a:off x="1332000" y="486000"/>
                            <a:ext cx="828000" cy="1782000"/>
                          </a:xfrm>
                          <a:prstGeom prst="straightConnector1">
                            <a:avLst/>
                          </a:prstGeom>
                          <a:ln w="12700">
                            <a:solidFill>
                              <a:srgbClr val="70AD47"/>
                            </a:solidFill>
                          </a:ln>
                        </wps:spPr>
                        <wps:bodyPr/>
                      </wps:wsp>
                      <wps:wsp>
                        <wps:cNvPr id="35" name="Connector 35"/>
                        <wps:cNvCnPr/>
                        <wps:spPr>
                          <a:xfrm>
                            <a:off x="1332000" y="1080000"/>
                            <a:ext cx="828000" cy="0"/>
                          </a:xfrm>
                          <a:prstGeom prst="straightConnector1">
                            <a:avLst/>
                          </a:prstGeom>
                          <a:ln w="12700">
                            <a:solidFill>
                              <a:srgbClr val="EB6834"/>
                            </a:solidFill>
                          </a:ln>
                        </wps:spPr>
                        <wps:bodyPr/>
                      </wps:wsp>
                      <wps:wsp>
                        <wps:cNvPr id="36" name="Connector 36"/>
                        <wps:cNvCnPr/>
                        <wps:spPr>
                          <a:xfrm flipV="1">
                            <a:off x="1332000" y="486000"/>
                            <a:ext cx="828000" cy="1188000"/>
                          </a:xfrm>
                          <a:prstGeom prst="straightConnector1">
                            <a:avLst/>
                          </a:prstGeom>
                          <a:ln w="12700">
                            <a:solidFill>
                              <a:srgbClr val="5B9BD5"/>
                            </a:solidFill>
                          </a:ln>
                        </wps:spPr>
                        <wps:bodyPr/>
                      </wps:wsp>
                      <wps:wsp>
                        <wps:cNvPr id="37" name="Connector 37"/>
                        <wps:cNvCnPr/>
                        <wps:spPr>
                          <a:xfrm flipV="1">
                            <a:off x="1332000" y="1080000"/>
                            <a:ext cx="828000" cy="594000"/>
                          </a:xfrm>
                          <a:prstGeom prst="straightConnector1">
                            <a:avLst/>
                          </a:prstGeom>
                          <a:ln w="12700">
                            <a:solidFill>
                              <a:srgbClr val="5B9BD5"/>
                            </a:solidFill>
                          </a:ln>
                        </wps:spPr>
                        <wps:bodyPr/>
                      </wps:wsp>
                      <wps:wsp>
                        <wps:cNvPr id="38" name="Connector 38"/>
                        <wps:cNvCnPr/>
                        <wps:spPr>
                          <a:xfrm>
                            <a:off x="1332000" y="1674000"/>
                            <a:ext cx="828000" cy="0"/>
                          </a:xfrm>
                          <a:prstGeom prst="straightConnector1">
                            <a:avLst/>
                          </a:prstGeom>
                          <a:ln w="12700">
                            <a:solidFill>
                              <a:srgbClr val="5B9BD5"/>
                            </a:solidFill>
                          </a:ln>
                        </wps:spPr>
                        <wps:bodyPr/>
                      </wps:wsp>
                      <wps:wsp>
                        <wps:cNvPr id="39" name="Connector 39"/>
                        <wps:cNvCnPr/>
                        <wps:spPr>
                          <a:xfrm>
                            <a:off x="1332000" y="1674000"/>
                            <a:ext cx="828000" cy="594000"/>
                          </a:xfrm>
                          <a:prstGeom prst="straightConnector1">
                            <a:avLst/>
                          </a:prstGeom>
                          <a:ln w="12700">
                            <a:solidFill>
                              <a:srgbClr val="5B9BD5"/>
                            </a:solidFill>
                          </a:ln>
                        </wps:spPr>
                        <wps:bodyPr/>
                      </wps:wsp>
                      <wps:wsp>
                        <wps:cNvPr id="40" name="Connector 40"/>
                        <wps:cNvCnPr/>
                        <wps:spPr>
                          <a:xfrm>
                            <a:off x="1332000" y="1674000"/>
                            <a:ext cx="828000" cy="1188000"/>
                          </a:xfrm>
                          <a:prstGeom prst="straightConnector1">
                            <a:avLst/>
                          </a:prstGeom>
                          <a:ln w="12700">
                            <a:solidFill>
                              <a:srgbClr val="5B9BD5"/>
                            </a:solidFill>
                          </a:ln>
                        </wps:spPr>
                        <wps:bodyPr/>
                      </wps:wsp>
                      <wps:wsp>
                        <wps:cNvPr id="41" name="Connector 41"/>
                        <wps:cNvCnPr/>
                        <wps:spPr>
                          <a:xfrm flipV="1">
                            <a:off x="1332000" y="486000"/>
                            <a:ext cx="828000" cy="1782000"/>
                          </a:xfrm>
                          <a:prstGeom prst="straightConnector1">
                            <a:avLst/>
                          </a:prstGeom>
                          <a:ln w="12700">
                            <a:solidFill>
                              <a:srgbClr val="2A78D6"/>
                            </a:solidFill>
                          </a:ln>
                        </wps:spPr>
                        <wps:bodyPr/>
                      </wps:wsp>
                      <wps:wsp>
                        <wps:cNvPr id="42" name="Connector 42"/>
                        <wps:cNvCnPr/>
                        <wps:spPr>
                          <a:xfrm flipV="1">
                            <a:off x="1332000" y="1080000"/>
                            <a:ext cx="828000" cy="1188000"/>
                          </a:xfrm>
                          <a:prstGeom prst="straightConnector1">
                            <a:avLst/>
                          </a:prstGeom>
                          <a:ln w="12700">
                            <a:solidFill>
                              <a:srgbClr val="2A78D6"/>
                            </a:solidFill>
                          </a:ln>
                        </wps:spPr>
                        <wps:bodyPr/>
                      </wps:wsp>
                      <wps:wsp>
                        <wps:cNvPr id="43" name="Connector 43"/>
                        <wps:cNvCnPr/>
                        <wps:spPr>
                          <a:xfrm flipV="1">
                            <a:off x="1332000" y="1674000"/>
                            <a:ext cx="828000" cy="594000"/>
                          </a:xfrm>
                          <a:prstGeom prst="straightConnector1">
                            <a:avLst/>
                          </a:prstGeom>
                          <a:ln w="12700">
                            <a:solidFill>
                              <a:srgbClr val="2A78D6"/>
                            </a:solidFill>
                          </a:ln>
                        </wps:spPr>
                        <wps:bodyPr/>
                      </wps:wsp>
                      <wps:wsp>
                        <wps:cNvPr id="44" name="Connector 44"/>
                        <wps:cNvCnPr/>
                        <wps:spPr>
                          <a:xfrm>
                            <a:off x="1332000" y="2268000"/>
                            <a:ext cx="828000" cy="0"/>
                          </a:xfrm>
                          <a:prstGeom prst="straightConnector1">
                            <a:avLst/>
                          </a:prstGeom>
                          <a:ln w="12700">
                            <a:solidFill>
                              <a:srgbClr val="2A78D6"/>
                            </a:solidFill>
                          </a:ln>
                        </wps:spPr>
                        <wps:bodyPr/>
                      </wps:wsp>
                      <wps:wsp>
                        <wps:cNvPr id="45" name="Connector 45"/>
                        <wps:cNvCnPr/>
                        <wps:spPr>
                          <a:xfrm>
                            <a:off x="1332000" y="2268000"/>
                            <a:ext cx="828000" cy="594000"/>
                          </a:xfrm>
                          <a:prstGeom prst="straightConnector1">
                            <a:avLst/>
                          </a:prstGeom>
                          <a:ln w="12700">
                            <a:solidFill>
                              <a:srgbClr val="2A78D6"/>
                            </a:solidFill>
                          </a:ln>
                        </wps:spPr>
                        <wps:bodyPr/>
                      </wps:wsp>
                      <wps:wsp>
                        <wps:cNvPr id="46" name="Connector 46"/>
                        <wps:cNvCnPr/>
                        <wps:spPr>
                          <a:xfrm flipV="1">
                            <a:off x="1332000" y="486000"/>
                            <a:ext cx="828000" cy="2376000"/>
                          </a:xfrm>
                          <a:prstGeom prst="straightConnector1">
                            <a:avLst/>
                          </a:prstGeom>
                          <a:ln w="12700">
                            <a:solidFill>
                              <a:srgbClr val="7F7F7F"/>
                            </a:solidFill>
                          </a:ln>
                        </wps:spPr>
                        <wps:bodyPr/>
                      </wps:wsp>
                      <wps:wsp>
                        <wps:cNvPr id="47" name="Connector 47"/>
                        <wps:cNvCnPr/>
                        <wps:spPr>
                          <a:xfrm flipV="1">
                            <a:off x="1332000" y="1080000"/>
                            <a:ext cx="828000" cy="1782000"/>
                          </a:xfrm>
                          <a:prstGeom prst="straightConnector1">
                            <a:avLst/>
                          </a:prstGeom>
                          <a:ln w="12700">
                            <a:solidFill>
                              <a:srgbClr val="7F7F7F"/>
                            </a:solidFill>
                          </a:ln>
                        </wps:spPr>
                        <wps:bodyPr/>
                      </wps:wsp>
                      <wps:wsp>
                        <wps:cNvPr id="48" name="Connector 48"/>
                        <wps:cNvCnPr/>
                        <wps:spPr>
                          <a:xfrm flipV="1">
                            <a:off x="1332000" y="1674000"/>
                            <a:ext cx="828000" cy="1188000"/>
                          </a:xfrm>
                          <a:prstGeom prst="straightConnector1">
                            <a:avLst/>
                          </a:prstGeom>
                          <a:ln w="12700">
                            <a:solidFill>
                              <a:srgbClr val="7F7F7F"/>
                            </a:solidFill>
                          </a:ln>
                        </wps:spPr>
                        <wps:bodyPr/>
                      </wps:wsp>
                      <wps:wsp>
                        <wps:cNvPr id="49" name="Connector 49"/>
                        <wps:cNvCnPr/>
                        <wps:spPr>
                          <a:xfrm flipV="1">
                            <a:off x="1332000" y="2268000"/>
                            <a:ext cx="828000" cy="594000"/>
                          </a:xfrm>
                          <a:prstGeom prst="straightConnector1">
                            <a:avLst/>
                          </a:prstGeom>
                          <a:ln w="12700">
                            <a:solidFill>
                              <a:srgbClr val="7F7F7F"/>
                            </a:solidFill>
                          </a:ln>
                        </wps:spPr>
                        <wps:bodyPr/>
                      </wps:wsp>
                      <wps:wsp>
                        <wps:cNvPr id="50" name="Shape 50"/>
                        <wps:cNvSpPr/>
                        <wps:spPr>
                          <a:xfrm>
                            <a:off x="36000" y="288000"/>
                            <a:ext cx="129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Bazel III</w:t>
                              </w:r>
                            </w:p>
                          </w:txbxContent>
                        </wps:txbx>
                        <wps:bodyPr rot="0" vert="horz" wrap="square" lIns="36000" tIns="18000" rIns="36000" bIns="18000" anchor="ctr" anchorCtr="0">
                          <a:noAutofit/>
                        </wps:bodyPr>
                      </wps:wsp>
                      <wps:wsp>
                        <wps:cNvPr id="51" name="Shape 51"/>
                        <wps:cNvSpPr/>
                        <wps:spPr>
                          <a:xfrm>
                            <a:off x="36000" y="882000"/>
                            <a:ext cx="129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MHXS 9</w:t>
                              </w:r>
                            </w:p>
                          </w:txbxContent>
                        </wps:txbx>
                        <wps:bodyPr rot="0" vert="horz" wrap="square" lIns="36000" tIns="18000" rIns="36000" bIns="18000" anchor="ctr" anchorCtr="0">
                          <a:noAutofit/>
                        </wps:bodyPr>
                      </wps:wsp>
                      <wps:wsp>
                        <wps:cNvPr id="52" name="Shape 52"/>
                        <wps:cNvSpPr/>
                        <wps:spPr>
                          <a:xfrm>
                            <a:off x="36000" y="1476000"/>
                            <a:ext cx="1296000" cy="396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XVJ barqarorlik</w:t>
                              </w:r>
                            </w:p>
                            <w:p>
                              <w:pPr>
                                <w:spacing w:before="0" w:after="0" w:line="228" w:lineRule="auto"/>
                                <w:jc w:val="center"/>
                                <w:ind w:firstLine="0"/>
                              </w:pPr>
                              <w:r>
                                <w:rPr>
                                  <w:rFonts w:ascii="Times New Roman" w:hAnsi="Times New Roman" w:cs="Times New Roman"/>
                                  <w:b/>
                                  <w:color w:val="000000"/>
                                  <w:sz w:val="22"/>
                                  <w:szCs w:val="22"/>
                                </w:rPr>
                                <w:t xml:space="preserve">ko‘rsatkichlari</w:t>
                              </w:r>
                            </w:p>
                          </w:txbxContent>
                        </wps:txbx>
                        <wps:bodyPr rot="0" vert="horz" wrap="square" lIns="36000" tIns="18000" rIns="36000" bIns="18000" anchor="ctr" anchorCtr="0">
                          <a:noAutofit/>
                        </wps:bodyPr>
                      </wps:wsp>
                      <wps:wsp>
                        <wps:cNvPr id="53" name="Shape 53"/>
                        <wps:cNvSpPr/>
                        <wps:spPr>
                          <a:xfrm>
                            <a:off x="36000" y="2070000"/>
                            <a:ext cx="129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CAMELS</w:t>
                              </w:r>
                            </w:p>
                          </w:txbxContent>
                        </wps:txbx>
                        <wps:bodyPr rot="0" vert="horz" wrap="square" lIns="36000" tIns="18000" rIns="36000" bIns="18000" anchor="ctr" anchorCtr="0">
                          <a:noAutofit/>
                        </wps:bodyPr>
                      </wps:wsp>
                      <wps:wsp>
                        <wps:cNvPr id="54" name="Shape 54"/>
                        <wps:cNvSpPr/>
                        <wps:spPr>
                          <a:xfrm>
                            <a:off x="36000" y="2664000"/>
                            <a:ext cx="1296000" cy="396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Reyting agentliklari</w:t>
                              </w:r>
                            </w:p>
                          </w:txbxContent>
                        </wps:txbx>
                        <wps:bodyPr rot="0" vert="horz" wrap="square" lIns="36000" tIns="18000" rIns="36000" bIns="18000" anchor="ctr" anchorCtr="0">
                          <a:noAutofit/>
                        </wps:bodyPr>
                      </wps:wsp>
                      <wps:wsp>
                        <wps:cNvPr id="55" name="Shape 55"/>
                        <wps:cNvSpPr/>
                        <wps:spPr>
                          <a:xfrm>
                            <a:off x="2160000" y="288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Kapital yetarliligi</w:t>
                              </w:r>
                            </w:p>
                          </w:txbxContent>
                        </wps:txbx>
                        <wps:bodyPr rot="0" vert="horz" wrap="square" lIns="36000" tIns="18000" rIns="36000" bIns="18000" anchor="ctr" anchorCtr="0">
                          <a:noAutofit/>
                        </wps:bodyPr>
                      </wps:wsp>
                      <wps:wsp>
                        <wps:cNvPr id="56" name="Shape 56"/>
                        <wps:cNvSpPr/>
                        <wps:spPr>
                          <a:xfrm>
                            <a:off x="2160000" y="882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Aktivlar sifati</w:t>
                              </w:r>
                            </w:p>
                          </w:txbxContent>
                        </wps:txbx>
                        <wps:bodyPr rot="0" vert="horz" wrap="square" lIns="36000" tIns="18000" rIns="36000" bIns="18000" anchor="ctr" anchorCtr="0">
                          <a:noAutofit/>
                        </wps:bodyPr>
                      </wps:wsp>
                      <wps:wsp>
                        <wps:cNvPr id="57" name="Shape 57"/>
                        <wps:cNvSpPr/>
                        <wps:spPr>
                          <a:xfrm>
                            <a:off x="2160000" y="1476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Daromadlilik</w:t>
                              </w:r>
                            </w:p>
                          </w:txbxContent>
                        </wps:txbx>
                        <wps:bodyPr rot="0" vert="horz" wrap="square" lIns="36000" tIns="18000" rIns="36000" bIns="18000" anchor="ctr" anchorCtr="0">
                          <a:noAutofit/>
                        </wps:bodyPr>
                      </wps:wsp>
                      <wps:wsp>
                        <wps:cNvPr id="58" name="Shape 58"/>
                        <wps:cNvSpPr/>
                        <wps:spPr>
                          <a:xfrm>
                            <a:off x="2160000" y="2070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Likvidlik</w:t>
                              </w:r>
                            </w:p>
                          </w:txbxContent>
                        </wps:txbx>
                        <wps:bodyPr rot="0" vert="horz" wrap="square" lIns="36000" tIns="18000" rIns="36000" bIns="18000" anchor="ctr" anchorCtr="0">
                          <a:noAutofit/>
                        </wps:bodyPr>
                      </wps:wsp>
                      <wps:wsp>
                        <wps:cNvPr id="59" name="Shape 59"/>
                        <wps:cNvSpPr/>
                        <wps:spPr>
                          <a:xfrm>
                            <a:off x="2160000" y="2664000"/>
                            <a:ext cx="1728000" cy="396000"/>
                          </a:xfrm>
                          <a:prstGeom prst="roundRect">
                            <a:avLst>
                              <a:gd name="adj" fmla="val 10000"/>
                            </a:avLst>
                          </a:prstGeom>
                          <a:solidFill>
                            <a:srgbClr val="DEEBF7"/>
                          </a:solidFill>
                          <a:ln w="12700">
                            <a:solidFill>
                              <a:srgbClr val="5B9BD5"/>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Bozor (valyuta) riskiga</w:t>
                              </w:r>
                            </w:p>
                            <w:p>
                              <w:pPr>
                                <w:spacing w:before="0" w:after="0" w:line="228" w:lineRule="auto"/>
                                <w:jc w:val="center"/>
                                <w:ind w:firstLine="0"/>
                              </w:pPr>
                              <w:r>
                                <w:rPr>
                                  <w:rFonts w:ascii="Times New Roman" w:hAnsi="Times New Roman" w:cs="Times New Roman"/>
                                  <w:color w:val="000000"/>
                                  <w:sz w:val="22"/>
                                  <w:szCs w:val="22"/>
                                </w:rPr>
                                <w:t xml:space="preserve">sezgirlik</w:t>
                              </w:r>
                            </w:p>
                          </w:txbxContent>
                        </wps:txbx>
                        <wps:bodyPr rot="0" vert="horz" wrap="square" lIns="36000" tIns="18000" rIns="36000" bIns="18000" anchor="ctr" anchorCtr="0">
                          <a:noAutofit/>
                        </wps:bodyPr>
                      </wps:wsp>
                      <wps:wsp>
                        <wps:cNvPr id="60" name="Connector 60"/>
                        <wps:cNvCnPr/>
                        <wps:spPr>
                          <a:xfrm>
                            <a:off x="3888000" y="486000"/>
                            <a:ext cx="648000" cy="1152000"/>
                          </a:xfrm>
                          <a:prstGeom prst="straightConnector1">
                            <a:avLst/>
                          </a:prstGeom>
                          <a:ln w="15875">
                            <a:solidFill>
                              <a:srgbClr val="404040"/>
                            </a:solidFill>
                            <a:tailEnd type="triangle" w="med" len="med"/>
                          </a:ln>
                        </wps:spPr>
                        <wps:bodyPr/>
                      </wps:wsp>
                      <wps:wsp>
                        <wps:cNvPr id="61" name="Connector 61"/>
                        <wps:cNvCnPr/>
                        <wps:spPr>
                          <a:xfrm>
                            <a:off x="3888000" y="1080000"/>
                            <a:ext cx="648000" cy="558000"/>
                          </a:xfrm>
                          <a:prstGeom prst="straightConnector1">
                            <a:avLst/>
                          </a:prstGeom>
                          <a:ln w="15875">
                            <a:solidFill>
                              <a:srgbClr val="404040"/>
                            </a:solidFill>
                            <a:tailEnd type="triangle" w="med" len="med"/>
                          </a:ln>
                        </wps:spPr>
                        <wps:bodyPr/>
                      </wps:wsp>
                      <wps:wsp>
                        <wps:cNvPr id="62" name="Connector 62"/>
                        <wps:cNvCnPr/>
                        <wps:spPr>
                          <a:xfrm flipV="1">
                            <a:off x="3888000" y="1638000"/>
                            <a:ext cx="648000" cy="36000"/>
                          </a:xfrm>
                          <a:prstGeom prst="straightConnector1">
                            <a:avLst/>
                          </a:prstGeom>
                          <a:ln w="15875">
                            <a:solidFill>
                              <a:srgbClr val="404040"/>
                            </a:solidFill>
                            <a:tailEnd type="triangle" w="med" len="med"/>
                          </a:ln>
                        </wps:spPr>
                        <wps:bodyPr/>
                      </wps:wsp>
                      <wps:wsp>
                        <wps:cNvPr id="63" name="Connector 63"/>
                        <wps:cNvCnPr/>
                        <wps:spPr>
                          <a:xfrm flipV="1">
                            <a:off x="3888000" y="1638000"/>
                            <a:ext cx="648000" cy="630000"/>
                          </a:xfrm>
                          <a:prstGeom prst="straightConnector1">
                            <a:avLst/>
                          </a:prstGeom>
                          <a:ln w="15875">
                            <a:solidFill>
                              <a:srgbClr val="404040"/>
                            </a:solidFill>
                            <a:tailEnd type="triangle" w="med" len="med"/>
                          </a:ln>
                        </wps:spPr>
                        <wps:bodyPr/>
                      </wps:wsp>
                      <wps:wsp>
                        <wps:cNvPr id="64" name="Connector 64"/>
                        <wps:cNvCnPr/>
                        <wps:spPr>
                          <a:xfrm flipV="1">
                            <a:off x="3888000" y="1638000"/>
                            <a:ext cx="648000" cy="1224000"/>
                          </a:xfrm>
                          <a:prstGeom prst="straightConnector1">
                            <a:avLst/>
                          </a:prstGeom>
                          <a:ln w="15875">
                            <a:solidFill>
                              <a:srgbClr val="404040"/>
                            </a:solidFill>
                            <a:tailEnd type="triangle" w="med" len="med"/>
                          </a:ln>
                        </wps:spPr>
                        <wps:bodyPr/>
                      </wps:wsp>
                      <wps:wsp>
                        <wps:cNvPr id="65" name="Shape 65"/>
                        <wps:cNvSpPr/>
                        <wps:spPr>
                          <a:xfrm>
                            <a:off x="4536000" y="1134000"/>
                            <a:ext cx="1368000" cy="100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4"/>
                                  <w:szCs w:val="24"/>
                                </w:rPr>
                                <w:t xml:space="preserve">Moliyaviy</w:t>
                              </w:r>
                            </w:p>
                            <w:p>
                              <w:pPr>
                                <w:spacing w:before="0" w:after="0" w:line="228" w:lineRule="auto"/>
                                <w:jc w:val="center"/>
                                <w:ind w:firstLine="0"/>
                              </w:pPr>
                              <w:r>
                                <w:rPr>
                                  <w:rFonts w:ascii="Times New Roman" w:hAnsi="Times New Roman" w:cs="Times New Roman"/>
                                  <w:b/>
                                  <w:color w:val="FFFFFF"/>
                                  <w:sz w:val="24"/>
                                  <w:szCs w:val="24"/>
                                </w:rPr>
                                <w:t xml:space="preserve">barqarorlikning</w:t>
                              </w:r>
                            </w:p>
                            <w:p>
                              <w:pPr>
                                <w:spacing w:before="0" w:after="0" w:line="228" w:lineRule="auto"/>
                                <w:jc w:val="center"/>
                                <w:ind w:firstLine="0"/>
                              </w:pPr>
                              <w:r>
                                <w:rPr>
                                  <w:rFonts w:ascii="Times New Roman" w:hAnsi="Times New Roman" w:cs="Times New Roman"/>
                                  <w:b/>
                                  <w:color w:val="FFFFFF"/>
                                  <w:sz w:val="24"/>
                                  <w:szCs w:val="24"/>
                                </w:rPr>
                                <w:t xml:space="preserve">integral bahosi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1.2.5-rasm. Xalqaro standartlarning moliyaviy barqarorlikni integral baholash bloklari bilan bog‘liqligi</w:t>
      </w:r>
      <w:r>
        <w:rPr>
          <w:rStyle w:val="FootnoteReference"/>
        </w:rPr>
        <w:footnoteReference w:id="166"/>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kapital yetarliligi va likvidlik bloklari uchun Bazel III mezonlari asos bo‘ladi, aktivlar sifati bloki MHXS 9 tamoyillariga tayanadi, beshala blokning ko‘rsatkichlar tarkibi esa CAMELS va Xalqaro valyuta jamg‘armasi ko‘rsatkichlari bilan muvofiqlashtiriladi. Valyuta riskiga sezgirlik bloki dollarlashuv darajasi yuqori bo‘lgan mamlakatlar uchun ayniqsa muhim bo‘lib, Izzi va hammualliflarning bank reyting modelida rivojlanayotgan mamlakatlar banklari uchun sifat omillari ichida xorijiy valyutadagi likvidlikka eng katta – 30 foiz vazn berilgan</w:t>
      </w:r>
      <w:r>
        <w:rPr>
          <w:rStyle w:val="FootnoteReference"/>
        </w:rPr>
        <w:footnoteReference w:id="16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Banklar moliyaviy barqarorligini baholashning xalqaro standartlari va metodologik yondashuvlarini tadqiq etgan holda xulosa qilish mumkinki, baholash zarurati axborot asimmetriyasi, depozit shartnomasining zaifligi, kapitalning bufer funksiyasi va tizimli risk kabi nazariy asoslardan kelib chiqadi va bu asoslarning har biri baholash metodikasiga muayyan blok sifatida o‘z talabini qo‘yadi. Moliyaviy barqarorlik moliyaviy holatdan farqli o‘laroq dinamik tushuncha bo‘lgani uchun uni bir sanadagi ko‘rsatkichlar bilan to‘liq baholab bo‘lmaydi, baholash metodikasi esa dinamika, muvozanat va mezoniy qiymatlarni o‘z ichiga olishi lozim. Baholash yondashuvlarining birortasi universal emas, rivojlanayotgan fond bozoriga ega mamlakatlar uchun esa buxgalteriya ma’lumotlariga asoslangan, reyting va statistik yondashuvlar afzalliklarini birlashtiruvchi gibrid integral baholash tizimi eng maqbul hisoblanadi. Bazel III kapital va likvidlik bo‘yicha aniq mezonlar va pog‘onali baholash namunasini, MHXS 9 aktivlar sifatini kelajakka yo‘naltirilgan holda baholash tamoyilini, Xalqaro valyuta jamg‘armasi ko‘rsatkichlari esa xalqaro taqqoslanadigan ko‘rsatkichlar tarkibini beradi, biroq ularning birortasi ham yagona integral bahoni ta’minlamaydi. Shu sababli bu standartlarning afzalliklarini birlashtiruvchi, mezoniy qiymatlari Bazel III ga bog‘langan va aktivlar sifati MHXS 9 bo‘yicha baholanadigan integral baholash metodikasini ishlab chiqish zarur bo‘lib, uning asoslari uchinchi bobda taklif etiladi.</w:t>
      </w:r>
    </w:p>
    <w:bookmarkEnd w:id="2"/>
    <w:bookmarkStart w:id="3" w:name="X0a8f05e5cd7bad167a6c1dddfdd9ff0edf10251"/>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1.3-§. Xorijiy mamlakatlarda banklar moliyaviy barqarorligini tartibga solish va baholash tajribasi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ko‘rib chiqilgan xalqaro standartlar banklar moliyaviy barqarorligini baholashning umumiy tamoyillarini belgilab beradi. Biroq bu tamoyillar har bir mamlakatda bir xil shaklda qo‘llanmaydi. Milliy nazorat organlari bank tizimining tuzilishi, huquqiy an’analar, statistik ma’lumotlarning holati va o‘tmishda boshdan kechirilgan inqirozlar tajribasidan kelib chiqqan holda o‘z baholash tizimlarini shakllantirgan. Shu bois xorijiy tajribani o‘rganish O‘zbekiston sharoitida qaysi yondashuvlar samara berishi mumkinligini aniqlash, boshqa mamlakatlar yo‘l qo‘ygan xatolarni takrorlamaslik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Tadqiqotda besh guruh mamlakatlar tajribasi tahlil qilindi: AQSh, G‘arbiy Yevropa mamlakatlari (Buyuk Britaniya, Germaniya, Fransiya, Italiya, Niderlandiya), Yevropa Ittifoqining makroprudensial tizimi, Rossiya Federatsiyasi hamda rivojlanayotgan bozorlar, ya’ni Xitoy, Sharqiy Yevropa va BRIKS mamlakatlari. Mamlakatlarni tanlashda ikki mezonga tayanildi: birinchidan, baholash tizimining ilmiy adabiyotda yetarlicha yoritilganligi, ikkinchidan, uning O‘zbekiston bank tizimi sharoitiga yaqinligi.</w:t>
      </w:r>
    </w:p>
    <w:p>
      <w:pPr>
        <w:pStyle w:val="BodyText"/>
        <w:spacing w:line="360" w:lineRule="auto" w:before="0" w:after="0"/>
        <w:ind w:firstLine="709"/>
        <w:jc w:val="both"/>
      </w:pPr>
      <w:r>
        <w:rPr>
          <w:rFonts w:ascii="Times New Roman" w:hAnsi="Times New Roman" w:cs="Times New Roman" w:eastAsia="Times New Roman"/>
          <w:sz w:val="28"/>
        </w:rPr>
        <w:t xml:space="preserve">Xorijiy tajribani tahlil qilishni avvalo mavjud baholash tizimlarini tartibga solishdan boshlash maqsadga muvofiq. Xalqaro hisob-kitoblar banki G-10 mamlakatlarida qo‘llanadigan nazorat tizimlarini to‘rt toifaga ajratadi: nazorat reyting tizimlari; moliyaviy koeffitsiyentlar va guruhlab tahlil qilish tizimlari; risklarni kompleks baholash tizimlari; statistik modellar</w:t>
      </w:r>
      <w:r>
        <w:rPr>
          <w:rStyle w:val="FootnoteReference"/>
        </w:rPr>
        <w:footnoteReference w:id="168"/>
      </w:r>
      <w:r>
        <w:rPr>
          <w:rFonts w:ascii="Times New Roman" w:hAnsi="Times New Roman" w:cs="Times New Roman" w:eastAsia="Times New Roman"/>
          <w:sz w:val="28"/>
        </w:rPr>
        <w:t xml:space="preserve">. Ushbu toifalar va ularga mansub milliy tizimlar 1.3.1-rasmda umumlashtirildi.</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304000"/>
                <wp:effectExtent l="0" t="0" r="0" b="0"/>
                <wp:docPr id="13" name="1.3.1-rasm"/>
                <wp:cNvGraphicFramePr/>
                <a:graphic>
                  <a:graphicData uri="http://schemas.microsoft.com/office/word/2010/wordprocessingGroup">
                    <wpg:wgp>
                      <wpg:cNvGrpSpPr/>
                      <wpg:grpSpPr>
                        <a:xfrm>
                          <a:off x="0" y="0"/>
                          <a:ext cx="5904000" cy="2304000"/>
                          <a:chOff x="0" y="0"/>
                          <a:chExt cx="5904000" cy="2304000"/>
                        </a:xfrm>
                      </wpg:grpSpPr>
                      <wps:wsp>
                        <wps:cNvPr id="2" name="Shape 2"/>
                        <wps:cNvSpPr/>
                        <wps:spPr>
                          <a:xfrm>
                            <a:off x="1332000" y="36000"/>
                            <a:ext cx="3240000" cy="36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Banklar moliyaviy barqarorligini baholash tizimlari</w:t>
                              </w:r>
                            </w:p>
                            <w:p>
                              <w:pPr>
                                <w:spacing w:before="0" w:after="0" w:line="228" w:lineRule="auto"/>
                                <w:jc w:val="center"/>
                                <w:ind w:firstLine="0"/>
                              </w:pPr>
                              <w:r>
                                <w:rPr>
                                  <w:rFonts w:ascii="Times New Roman" w:hAnsi="Times New Roman" w:cs="Times New Roman"/>
                                  <w:b/>
                                  <w:color w:val="FFFFFF"/>
                                  <w:sz w:val="22"/>
                                  <w:szCs w:val="22"/>
                                </w:rPr>
                                <w:t xml:space="preserve">(Xalqaro hisob-kitoblar banki tasnifi)</w:t>
                              </w:r>
                            </w:p>
                          </w:txbxContent>
                        </wps:txbx>
                        <wps:bodyPr rot="0" vert="horz" wrap="square" lIns="36000" tIns="18000" rIns="36000" bIns="18000" anchor="ctr" anchorCtr="0">
                          <a:noAutofit/>
                        </wps:bodyPr>
                      </wps:wsp>
                      <wps:wsp>
                        <wps:cNvPr id="3" name="Connector 3"/>
                        <wps:cNvCnPr/>
                        <wps:spPr>
                          <a:xfrm flipH="1">
                            <a:off x="729000" y="396000"/>
                            <a:ext cx="2223000" cy="234000"/>
                          </a:xfrm>
                          <a:prstGeom prst="straightConnector1">
                            <a:avLst/>
                          </a:prstGeom>
                          <a:ln w="15875">
                            <a:solidFill>
                              <a:srgbClr val="404040"/>
                            </a:solidFill>
                            <a:tailEnd type="triangle" w="med" len="med"/>
                          </a:ln>
                        </wps:spPr>
                        <wps:bodyPr/>
                      </wps:wsp>
                      <wps:wsp>
                        <wps:cNvPr id="4" name="Shape 4"/>
                        <wps:cNvSpPr/>
                        <wps:spPr>
                          <a:xfrm>
                            <a:off x="36000" y="630000"/>
                            <a:ext cx="1386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Nazorat reyting</w:t>
                              </w:r>
                            </w:p>
                            <w:p>
                              <w:pPr>
                                <w:spacing w:before="0" w:after="0" w:line="228" w:lineRule="auto"/>
                                <w:jc w:val="center"/>
                                <w:ind w:firstLine="0"/>
                              </w:pPr>
                              <w:r>
                                <w:rPr>
                                  <w:rFonts w:ascii="Times New Roman" w:hAnsi="Times New Roman" w:cs="Times New Roman"/>
                                  <w:b/>
                                  <w:color w:val="FFFFFF"/>
                                  <w:sz w:val="21"/>
                                  <w:szCs w:val="21"/>
                                </w:rPr>
                                <w:t xml:space="preserve">tizimlari</w:t>
                              </w:r>
                            </w:p>
                          </w:txbxContent>
                        </wps:txbx>
                        <wps:bodyPr rot="0" vert="horz" wrap="square" lIns="36000" tIns="18000" rIns="36000" bIns="18000" anchor="ctr" anchorCtr="0">
                          <a:noAutofit/>
                        </wps:bodyPr>
                      </wps:wsp>
                      <wps:wsp>
                        <wps:cNvPr id="5" name="Shape 5"/>
                        <wps:cNvSpPr/>
                        <wps:spPr>
                          <a:xfrm>
                            <a:off x="36000" y="1080000"/>
                            <a:ext cx="1386000" cy="828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CAMELS (AQSh)</w:t>
                              </w:r>
                            </w:p>
                            <w:p>
                              <w:pPr>
                                <w:spacing w:before="0" w:after="0" w:line="228" w:lineRule="auto"/>
                                <w:jc w:val="center"/>
                                <w:ind w:firstLine="0"/>
                              </w:pPr>
                              <w:r>
                                <w:rPr>
                                  <w:rFonts w:ascii="Times New Roman" w:hAnsi="Times New Roman" w:cs="Times New Roman"/>
                                  <w:color w:val="000000"/>
                                  <w:sz w:val="20"/>
                                  <w:szCs w:val="20"/>
                                </w:rPr>
                                <w:t xml:space="preserve">ORAP (Fransiya)</w:t>
                              </w:r>
                            </w:p>
                            <w:p>
                              <w:pPr>
                                <w:spacing w:before="0" w:after="0" w:line="228" w:lineRule="auto"/>
                                <w:jc w:val="center"/>
                                <w:ind w:firstLine="0"/>
                              </w:pPr>
                              <w:r>
                                <w:rPr>
                                  <w:rFonts w:ascii="Times New Roman" w:hAnsi="Times New Roman" w:cs="Times New Roman"/>
                                  <w:color w:val="000000"/>
                                  <w:sz w:val="20"/>
                                  <w:szCs w:val="20"/>
                                </w:rPr>
                                <w:t xml:space="preserve">PATROL (Italiya)</w:t>
                              </w:r>
                            </w:p>
                            <w:p>
                              <w:pPr>
                                <w:spacing w:before="0" w:after="0" w:line="228" w:lineRule="auto"/>
                                <w:jc w:val="center"/>
                                <w:ind w:firstLine="0"/>
                              </w:pPr>
                              <w:r>
                                <w:rPr>
                                  <w:rFonts w:ascii="Times New Roman" w:hAnsi="Times New Roman" w:cs="Times New Roman"/>
                                  <w:color w:val="000000"/>
                                  <w:sz w:val="20"/>
                                  <w:szCs w:val="20"/>
                                </w:rPr>
                                <w:t xml:space="preserve">Rossiya banki</w:t>
                              </w:r>
                            </w:p>
                            <w:p>
                              <w:pPr>
                                <w:spacing w:before="0" w:after="0" w:line="228" w:lineRule="auto"/>
                                <w:jc w:val="center"/>
                                <w:ind w:firstLine="0"/>
                              </w:pPr>
                              <w:r>
                                <w:rPr>
                                  <w:rFonts w:ascii="Times New Roman" w:hAnsi="Times New Roman" w:cs="Times New Roman"/>
                                  <w:color w:val="000000"/>
                                  <w:sz w:val="20"/>
                                  <w:szCs w:val="20"/>
                                </w:rPr>
                                <w:t xml:space="preserve">reytingi</w:t>
                              </w:r>
                            </w:p>
                          </w:txbxContent>
                        </wps:txbx>
                        <wps:bodyPr rot="0" vert="horz" wrap="square" lIns="36000" tIns="18000" rIns="36000" bIns="18000" anchor="ctr" anchorCtr="0">
                          <a:noAutofit/>
                        </wps:bodyPr>
                      </wps:wsp>
                      <wps:wsp>
                        <wps:cNvPr id="6" name="Connector 6"/>
                        <wps:cNvCnPr/>
                        <wps:spPr>
                          <a:xfrm flipH="1">
                            <a:off x="2205000" y="396000"/>
                            <a:ext cx="747000" cy="234000"/>
                          </a:xfrm>
                          <a:prstGeom prst="straightConnector1">
                            <a:avLst/>
                          </a:prstGeom>
                          <a:ln w="15875">
                            <a:solidFill>
                              <a:srgbClr val="404040"/>
                            </a:solidFill>
                            <a:tailEnd type="triangle" w="med" len="med"/>
                          </a:ln>
                        </wps:spPr>
                        <wps:bodyPr/>
                      </wps:wsp>
                      <wps:wsp>
                        <wps:cNvPr id="7" name="Shape 7"/>
                        <wps:cNvSpPr/>
                        <wps:spPr>
                          <a:xfrm>
                            <a:off x="1512000" y="630000"/>
                            <a:ext cx="138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Koeffitsiyentlar va</w:t>
                              </w:r>
                            </w:p>
                            <w:p>
                              <w:pPr>
                                <w:spacing w:before="0" w:after="0" w:line="228" w:lineRule="auto"/>
                                <w:jc w:val="center"/>
                                <w:ind w:firstLine="0"/>
                              </w:pPr>
                              <w:r>
                                <w:rPr>
                                  <w:rFonts w:ascii="Times New Roman" w:hAnsi="Times New Roman" w:cs="Times New Roman"/>
                                  <w:b/>
                                  <w:color w:val="FFFFFF"/>
                                  <w:sz w:val="21"/>
                                  <w:szCs w:val="21"/>
                                </w:rPr>
                                <w:t xml:space="preserve">guruhlab tahlil</w:t>
                              </w:r>
                            </w:p>
                          </w:txbxContent>
                        </wps:txbx>
                        <wps:bodyPr rot="0" vert="horz" wrap="square" lIns="36000" tIns="18000" rIns="36000" bIns="18000" anchor="ctr" anchorCtr="0">
                          <a:noAutofit/>
                        </wps:bodyPr>
                      </wps:wsp>
                      <wps:wsp>
                        <wps:cNvPr id="8" name="Shape 8"/>
                        <wps:cNvSpPr/>
                        <wps:spPr>
                          <a:xfrm>
                            <a:off x="1512000" y="1080000"/>
                            <a:ext cx="1386000" cy="828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BAKIS (Germaniya)</w:t>
                              </w:r>
                            </w:p>
                            <w:p>
                              <w:pPr>
                                <w:spacing w:before="0" w:after="0" w:line="228" w:lineRule="auto"/>
                                <w:jc w:val="center"/>
                                <w:ind w:firstLine="0"/>
                              </w:pPr>
                              <w:r>
                                <w:rPr>
                                  <w:rFonts w:ascii="Times New Roman" w:hAnsi="Times New Roman" w:cs="Times New Roman"/>
                                  <w:color w:val="000000"/>
                                  <w:sz w:val="20"/>
                                  <w:szCs w:val="20"/>
                                </w:rPr>
                                <w:t xml:space="preserve">EBA risk</w:t>
                              </w:r>
                            </w:p>
                            <w:p>
                              <w:pPr>
                                <w:spacing w:before="0" w:after="0" w:line="228" w:lineRule="auto"/>
                                <w:jc w:val="center"/>
                                <w:ind w:firstLine="0"/>
                              </w:pPr>
                              <w:r>
                                <w:rPr>
                                  <w:rFonts w:ascii="Times New Roman" w:hAnsi="Times New Roman" w:cs="Times New Roman"/>
                                  <w:color w:val="000000"/>
                                  <w:sz w:val="20"/>
                                  <w:szCs w:val="20"/>
                                </w:rPr>
                                <w:t xml:space="preserve">indikatorlari</w:t>
                              </w:r>
                            </w:p>
                            <w:p>
                              <w:pPr>
                                <w:spacing w:before="0" w:after="0" w:line="228" w:lineRule="auto"/>
                                <w:jc w:val="center"/>
                                <w:ind w:firstLine="0"/>
                              </w:pPr>
                              <w:r>
                                <w:rPr>
                                  <w:rFonts w:ascii="Times New Roman" w:hAnsi="Times New Roman" w:cs="Times New Roman"/>
                                  <w:color w:val="000000"/>
                                  <w:sz w:val="20"/>
                                  <w:szCs w:val="20"/>
                                </w:rPr>
                                <w:t xml:space="preserve">(Yevropa Ittifoqi)</w:t>
                              </w:r>
                            </w:p>
                          </w:txbxContent>
                        </wps:txbx>
                        <wps:bodyPr rot="0" vert="horz" wrap="square" lIns="36000" tIns="18000" rIns="36000" bIns="18000" anchor="ctr" anchorCtr="0">
                          <a:noAutofit/>
                        </wps:bodyPr>
                      </wps:wsp>
                      <wps:wsp>
                        <wps:cNvPr id="9" name="Connector 9"/>
                        <wps:cNvCnPr/>
                        <wps:spPr>
                          <a:xfrm>
                            <a:off x="2952000" y="396000"/>
                            <a:ext cx="729000" cy="234000"/>
                          </a:xfrm>
                          <a:prstGeom prst="straightConnector1">
                            <a:avLst/>
                          </a:prstGeom>
                          <a:ln w="15875">
                            <a:solidFill>
                              <a:srgbClr val="404040"/>
                            </a:solidFill>
                            <a:tailEnd type="triangle" w="med" len="med"/>
                          </a:ln>
                        </wps:spPr>
                        <wps:bodyPr/>
                      </wps:wsp>
                      <wps:wsp>
                        <wps:cNvPr id="10" name="Shape 10"/>
                        <wps:cNvSpPr/>
                        <wps:spPr>
                          <a:xfrm>
                            <a:off x="2988000" y="630000"/>
                            <a:ext cx="138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1"/>
                                  <w:szCs w:val="21"/>
                                </w:rPr>
                                <w:t xml:space="preserve">Risklarni kompleks</w:t>
                              </w:r>
                            </w:p>
                            <w:p>
                              <w:pPr>
                                <w:spacing w:before="0" w:after="0" w:line="228" w:lineRule="auto"/>
                                <w:jc w:val="center"/>
                                <w:ind w:firstLine="0"/>
                              </w:pPr>
                              <w:r>
                                <w:rPr>
                                  <w:rFonts w:ascii="Times New Roman" w:hAnsi="Times New Roman" w:cs="Times New Roman"/>
                                  <w:b/>
                                  <w:color w:val="FFFFFF"/>
                                  <w:sz w:val="21"/>
                                  <w:szCs w:val="21"/>
                                </w:rPr>
                                <w:t xml:space="preserve">baholash</w:t>
                              </w:r>
                            </w:p>
                          </w:txbxContent>
                        </wps:txbx>
                        <wps:bodyPr rot="0" vert="horz" wrap="square" lIns="36000" tIns="18000" rIns="36000" bIns="18000" anchor="ctr" anchorCtr="0">
                          <a:noAutofit/>
                        </wps:bodyPr>
                      </wps:wsp>
                      <wps:wsp>
                        <wps:cNvPr id="11" name="Shape 11"/>
                        <wps:cNvSpPr/>
                        <wps:spPr>
                          <a:xfrm>
                            <a:off x="2988000" y="1080000"/>
                            <a:ext cx="1386000" cy="828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BAITE, RATE</w:t>
                              </w:r>
                            </w:p>
                            <w:p>
                              <w:pPr>
                                <w:spacing w:before="0" w:after="0" w:line="228" w:lineRule="auto"/>
                                <w:jc w:val="center"/>
                                <w:ind w:firstLine="0"/>
                              </w:pPr>
                              <w:r>
                                <w:rPr>
                                  <w:rFonts w:ascii="Times New Roman" w:hAnsi="Times New Roman" w:cs="Times New Roman"/>
                                  <w:color w:val="000000"/>
                                  <w:sz w:val="20"/>
                                  <w:szCs w:val="20"/>
                                </w:rPr>
                                <w:t xml:space="preserve">(Buyuk Britaniya)</w:t>
                              </w:r>
                            </w:p>
                            <w:p>
                              <w:pPr>
                                <w:spacing w:before="0" w:after="0" w:line="228" w:lineRule="auto"/>
                                <w:jc w:val="center"/>
                                <w:ind w:firstLine="0"/>
                              </w:pPr>
                              <w:r>
                                <w:rPr>
                                  <w:rFonts w:ascii="Times New Roman" w:hAnsi="Times New Roman" w:cs="Times New Roman"/>
                                  <w:color w:val="000000"/>
                                  <w:sz w:val="20"/>
                                  <w:szCs w:val="20"/>
                                </w:rPr>
                                <w:t xml:space="preserve">RAST</w:t>
                              </w:r>
                            </w:p>
                            <w:p>
                              <w:pPr>
                                <w:spacing w:before="0" w:after="0" w:line="228" w:lineRule="auto"/>
                                <w:jc w:val="center"/>
                                <w:ind w:firstLine="0"/>
                              </w:pPr>
                              <w:r>
                                <w:rPr>
                                  <w:rFonts w:ascii="Times New Roman" w:hAnsi="Times New Roman" w:cs="Times New Roman"/>
                                  <w:color w:val="000000"/>
                                  <w:sz w:val="20"/>
                                  <w:szCs w:val="20"/>
                                </w:rPr>
                                <w:t xml:space="preserve">(Niderlandiya)</w:t>
                              </w:r>
                            </w:p>
                          </w:txbxContent>
                        </wps:txbx>
                        <wps:bodyPr rot="0" vert="horz" wrap="square" lIns="36000" tIns="18000" rIns="36000" bIns="18000" anchor="ctr" anchorCtr="0">
                          <a:noAutofit/>
                        </wps:bodyPr>
                      </wps:wsp>
                      <wps:wsp>
                        <wps:cNvPr id="12" name="Connector 12"/>
                        <wps:cNvCnPr/>
                        <wps:spPr>
                          <a:xfrm>
                            <a:off x="2952000" y="396000"/>
                            <a:ext cx="2205000" cy="234000"/>
                          </a:xfrm>
                          <a:prstGeom prst="straightConnector1">
                            <a:avLst/>
                          </a:prstGeom>
                          <a:ln w="15875">
                            <a:solidFill>
                              <a:srgbClr val="404040"/>
                            </a:solidFill>
                            <a:tailEnd type="triangle" w="med" len="med"/>
                          </a:ln>
                        </wps:spPr>
                        <wps:bodyPr/>
                      </wps:wsp>
                      <wps:wsp>
                        <wps:cNvPr id="13" name="Shape 13"/>
                        <wps:cNvSpPr/>
                        <wps:spPr>
                          <a:xfrm>
                            <a:off x="4464000" y="630000"/>
                            <a:ext cx="1386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1"/>
                                  <w:szCs w:val="21"/>
                                </w:rPr>
                                <w:t xml:space="preserve">Statistik</w:t>
                              </w:r>
                            </w:p>
                            <w:p>
                              <w:pPr>
                                <w:spacing w:before="0" w:after="0" w:line="228" w:lineRule="auto"/>
                                <w:jc w:val="center"/>
                                <w:ind w:firstLine="0"/>
                              </w:pPr>
                              <w:r>
                                <w:rPr>
                                  <w:rFonts w:ascii="Times New Roman" w:hAnsi="Times New Roman" w:cs="Times New Roman"/>
                                  <w:b/>
                                  <w:color w:val="000000"/>
                                  <w:sz w:val="21"/>
                                  <w:szCs w:val="21"/>
                                </w:rPr>
                                <w:t xml:space="preserve">modellar</w:t>
                              </w:r>
                            </w:p>
                          </w:txbxContent>
                        </wps:txbx>
                        <wps:bodyPr rot="0" vert="horz" wrap="square" lIns="36000" tIns="18000" rIns="36000" bIns="18000" anchor="ctr" anchorCtr="0">
                          <a:noAutofit/>
                        </wps:bodyPr>
                      </wps:wsp>
                      <wps:wsp>
                        <wps:cNvPr id="14" name="Shape 14"/>
                        <wps:cNvSpPr/>
                        <wps:spPr>
                          <a:xfrm>
                            <a:off x="4464000" y="1080000"/>
                            <a:ext cx="1386000" cy="828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FIMS, SEER,</w:t>
                              </w:r>
                            </w:p>
                            <w:p>
                              <w:pPr>
                                <w:spacing w:before="0" w:after="0" w:line="228" w:lineRule="auto"/>
                                <w:jc w:val="center"/>
                                <w:ind w:firstLine="0"/>
                              </w:pPr>
                              <w:r>
                                <w:rPr>
                                  <w:rFonts w:ascii="Times New Roman" w:hAnsi="Times New Roman" w:cs="Times New Roman"/>
                                  <w:color w:val="000000"/>
                                  <w:sz w:val="20"/>
                                  <w:szCs w:val="20"/>
                                </w:rPr>
                                <w:t xml:space="preserve">SCOR (AQSh)</w:t>
                              </w:r>
                            </w:p>
                            <w:p>
                              <w:pPr>
                                <w:spacing w:before="0" w:after="0" w:line="228" w:lineRule="auto"/>
                                <w:jc w:val="center"/>
                                <w:ind w:firstLine="0"/>
                              </w:pPr>
                              <w:r>
                                <w:rPr>
                                  <w:rFonts w:ascii="Times New Roman" w:hAnsi="Times New Roman" w:cs="Times New Roman"/>
                                  <w:color w:val="000000"/>
                                  <w:sz w:val="20"/>
                                  <w:szCs w:val="20"/>
                                </w:rPr>
                                <w:t xml:space="preserve">SAABA ekspert</w:t>
                              </w:r>
                            </w:p>
                            <w:p>
                              <w:pPr>
                                <w:spacing w:before="0" w:after="0" w:line="228" w:lineRule="auto"/>
                                <w:jc w:val="center"/>
                                <w:ind w:firstLine="0"/>
                              </w:pPr>
                              <w:r>
                                <w:rPr>
                                  <w:rFonts w:ascii="Times New Roman" w:hAnsi="Times New Roman" w:cs="Times New Roman"/>
                                  <w:color w:val="000000"/>
                                  <w:sz w:val="20"/>
                                  <w:szCs w:val="20"/>
                                </w:rPr>
                                <w:t xml:space="preserve">tizimi (Fransiya)</w:t>
                              </w:r>
                            </w:p>
                          </w:txbxContent>
                        </wps:txbx>
                        <wps:bodyPr rot="0" vert="horz" wrap="square" lIns="36000" tIns="18000" rIns="36000" bIns="18000" anchor="ctr" anchorCtr="0">
                          <a:noAutofit/>
                        </wps:bodyPr>
                      </wps:wsp>
                      <wps:wsp>
                        <wps:cNvPr id="15" name="Shape 15"/>
                        <wps:cNvSpPr/>
                        <wps:spPr>
                          <a:xfrm>
                            <a:off x="36000" y="1980000"/>
                            <a:ext cx="5796000" cy="270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Joriy holatni baholash  ←————————————————→  Kelgusi holatni bashorat qilish</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1.3.1-rasm. Xorijiy mamlakatlarda banklar moliyaviy barqarorligini baholash tizimlarining tasnifi</w:t>
      </w:r>
      <w:r>
        <w:rPr>
          <w:rStyle w:val="FootnoteReference"/>
        </w:rPr>
        <w:footnoteReference w:id="169"/>
      </w:r>
    </w:p>
    <w:p>
      <w:pPr>
        <w:pStyle w:val="BodyText"/>
        <w:spacing w:line="360" w:lineRule="auto" w:before="0" w:after="0"/>
        <w:ind w:firstLine="709"/>
        <w:jc w:val="both"/>
      </w:pPr>
      <w:r>
        <w:rPr>
          <w:rFonts w:ascii="Times New Roman" w:hAnsi="Times New Roman" w:cs="Times New Roman" w:eastAsia="Times New Roman"/>
          <w:sz w:val="28"/>
        </w:rPr>
        <w:t xml:space="preserve">Tasnifdan ko‘rinib turibdiki, rivojlangan mamlakatlarda bitta tizim bilan cheklanib qolinmaydi, balki bir vaqtning o‘zida bir necha turdagi tizim qo‘llanadi. Masalan, AQShda CAMELS reyting tizimi bilan bir qatorda SEER, SCOR kabi statistik modellar ishlatilsa, Fransiyada ORAP reyting tizimi va SAABA ekspert tizimi bir-birini to‘ldirgan holda faoliyat yuritadi. Bunday yondashuvning mantig‘i shundaki, reyting tizimi bankning joriy holatini baholaydi, statistik model esa uning kelgusidagi holatini bashorat qiladi. Ushbu tizimlarning asosiy xususiyatlari 1.3.1-jadvalda qiyosiy tarzda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1.3.1-jadval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Rivojlangan mamlakatlarda banklarni baholash tizimlarining qiyosiy tavsifi</w:t>
      </w:r>
      <w:r>
        <w:rPr>
          <w:rStyle w:val="FootnoteReference"/>
        </w:rPr>
        <w:footnoteReference w:id="170"/>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Mamlakat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Tizim (joriy etilgan yili)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Turi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Asosiy xususiyatlari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w:t>
            </w:r>
          </w:p>
        </w:tc>
        <w:tc>
          <w:tcPr/>
          <w:p>
            <w:pPr>
              <w:pStyle w:val="Compact"/>
              <w:spacing w:line="240" w:lineRule="auto"/>
              <w:ind w:firstLine="0"/>
              <w:jc w:val="left"/>
            </w:pPr>
            <w:r>
              <w:rPr>
                <w:rFonts w:ascii="Times New Roman" w:hAnsi="Times New Roman" w:cs="Times New Roman" w:eastAsia="Times New Roman"/>
                <w:sz w:val="22"/>
              </w:rPr>
              <w:t xml:space="preserve">CAMELS (1978–1979)</w:t>
            </w:r>
          </w:p>
        </w:tc>
        <w:tc>
          <w:tcPr/>
          <w:p>
            <w:pPr>
              <w:pStyle w:val="Compact"/>
              <w:spacing w:line="240" w:lineRule="auto"/>
              <w:ind w:firstLine="0"/>
              <w:jc w:val="left"/>
            </w:pPr>
            <w:r>
              <w:rPr>
                <w:rFonts w:ascii="Times New Roman" w:hAnsi="Times New Roman" w:cs="Times New Roman" w:eastAsia="Times New Roman"/>
                <w:sz w:val="22"/>
              </w:rPr>
              <w:t xml:space="preserve">Reyting</w:t>
            </w:r>
          </w:p>
        </w:tc>
        <w:tc>
          <w:tcPr/>
          <w:p>
            <w:pPr>
              <w:pStyle w:val="Compact"/>
              <w:spacing w:line="240" w:lineRule="auto"/>
              <w:ind w:firstLine="0"/>
              <w:jc w:val="left"/>
            </w:pPr>
            <w:r>
              <w:rPr>
                <w:rFonts w:ascii="Times New Roman" w:hAnsi="Times New Roman" w:cs="Times New Roman" w:eastAsia="Times New Roman"/>
                <w:sz w:val="22"/>
              </w:rPr>
              <w:t xml:space="preserve">6 komponent, 1–5 ballik shkala; yig‘ma ball o‘rtacha emas, tekshiruv guruhi bahosi; natijalar oshkor qilinmaydi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w:t>
            </w:r>
          </w:p>
        </w:tc>
        <w:tc>
          <w:tcPr/>
          <w:p>
            <w:pPr>
              <w:pStyle w:val="Compact"/>
              <w:spacing w:line="240" w:lineRule="auto"/>
              <w:ind w:firstLine="0"/>
              <w:jc w:val="left"/>
            </w:pPr>
            <w:r>
              <w:rPr>
                <w:rFonts w:ascii="Times New Roman" w:hAnsi="Times New Roman" w:cs="Times New Roman" w:eastAsia="Times New Roman"/>
                <w:sz w:val="22"/>
              </w:rPr>
              <w:t xml:space="preserve">FIMS, SEER, SCOR</w:t>
            </w:r>
          </w:p>
        </w:tc>
        <w:tc>
          <w:tcPr/>
          <w:p>
            <w:pPr>
              <w:pStyle w:val="Compact"/>
              <w:spacing w:line="240" w:lineRule="auto"/>
              <w:ind w:firstLine="0"/>
              <w:jc w:val="left"/>
            </w:pPr>
            <w:r>
              <w:rPr>
                <w:rFonts w:ascii="Times New Roman" w:hAnsi="Times New Roman" w:cs="Times New Roman" w:eastAsia="Times New Roman"/>
                <w:sz w:val="22"/>
              </w:rPr>
              <w:t xml:space="preserve">Statistik</w:t>
            </w:r>
          </w:p>
        </w:tc>
        <w:tc>
          <w:tcPr/>
          <w:p>
            <w:pPr>
              <w:pStyle w:val="Compact"/>
              <w:spacing w:line="240" w:lineRule="auto"/>
              <w:ind w:firstLine="0"/>
              <w:jc w:val="left"/>
            </w:pPr>
            <w:r>
              <w:rPr>
                <w:rFonts w:ascii="Times New Roman" w:hAnsi="Times New Roman" w:cs="Times New Roman" w:eastAsia="Times New Roman"/>
                <w:sz w:val="22"/>
              </w:rPr>
              <w:t xml:space="preserve">Logit modellar orqali reyting pasayishi va bankrotlik ehtimolini bashorat qilish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Buyuk Britaniya</w:t>
            </w:r>
          </w:p>
        </w:tc>
        <w:tc>
          <w:tcPr/>
          <w:p>
            <w:pPr>
              <w:pStyle w:val="Compact"/>
              <w:spacing w:line="240" w:lineRule="auto"/>
              <w:ind w:firstLine="0"/>
              <w:jc w:val="left"/>
            </w:pPr>
            <w:r>
              <w:rPr>
                <w:rFonts w:ascii="Times New Roman" w:hAnsi="Times New Roman" w:cs="Times New Roman" w:eastAsia="Times New Roman"/>
                <w:sz w:val="22"/>
              </w:rPr>
              <w:t xml:space="preserve">BAITE (1997), RATE (1998)</w:t>
            </w:r>
          </w:p>
        </w:tc>
        <w:tc>
          <w:tcPr/>
          <w:p>
            <w:pPr>
              <w:pStyle w:val="Compact"/>
              <w:spacing w:line="240" w:lineRule="auto"/>
              <w:ind w:firstLine="0"/>
              <w:jc w:val="left"/>
            </w:pPr>
            <w:r>
              <w:rPr>
                <w:rFonts w:ascii="Times New Roman" w:hAnsi="Times New Roman" w:cs="Times New Roman" w:eastAsia="Times New Roman"/>
                <w:sz w:val="22"/>
              </w:rPr>
              <w:t xml:space="preserve">Risklarni kompleks baholash</w:t>
            </w:r>
          </w:p>
        </w:tc>
        <w:tc>
          <w:tcPr/>
          <w:p>
            <w:pPr>
              <w:pStyle w:val="Compact"/>
              <w:spacing w:line="240" w:lineRule="auto"/>
              <w:ind w:firstLine="0"/>
              <w:jc w:val="left"/>
            </w:pPr>
            <w:r>
              <w:rPr>
                <w:rFonts w:ascii="Times New Roman" w:hAnsi="Times New Roman" w:cs="Times New Roman" w:eastAsia="Times New Roman"/>
                <w:sz w:val="22"/>
              </w:rPr>
              <w:t xml:space="preserve">9 yo‘nalish; risk darajasi va nazorat sifati matritsasi; nazorat davri riskka bog‘langan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Germaniya</w:t>
            </w:r>
          </w:p>
        </w:tc>
        <w:tc>
          <w:tcPr/>
          <w:p>
            <w:pPr>
              <w:pStyle w:val="Compact"/>
              <w:spacing w:line="240" w:lineRule="auto"/>
              <w:ind w:firstLine="0"/>
              <w:jc w:val="left"/>
            </w:pPr>
            <w:r>
              <w:rPr>
                <w:rFonts w:ascii="Times New Roman" w:hAnsi="Times New Roman" w:cs="Times New Roman" w:eastAsia="Times New Roman"/>
                <w:sz w:val="22"/>
              </w:rPr>
              <w:t xml:space="preserve">BAKIS (1997)</w:t>
            </w:r>
          </w:p>
        </w:tc>
        <w:tc>
          <w:tcPr/>
          <w:p>
            <w:pPr>
              <w:pStyle w:val="Compact"/>
              <w:spacing w:line="240" w:lineRule="auto"/>
              <w:ind w:firstLine="0"/>
              <w:jc w:val="left"/>
            </w:pPr>
            <w:r>
              <w:rPr>
                <w:rFonts w:ascii="Times New Roman" w:hAnsi="Times New Roman" w:cs="Times New Roman" w:eastAsia="Times New Roman"/>
                <w:sz w:val="22"/>
              </w:rPr>
              <w:t xml:space="preserve">Koeffitsiyentlar va guruhlab tahlil</w:t>
            </w:r>
          </w:p>
        </w:tc>
        <w:tc>
          <w:tcPr/>
          <w:p>
            <w:pPr>
              <w:pStyle w:val="Compact"/>
              <w:spacing w:line="240" w:lineRule="auto"/>
              <w:ind w:firstLine="0"/>
              <w:jc w:val="left"/>
            </w:pPr>
            <w:r>
              <w:rPr>
                <w:rFonts w:ascii="Times New Roman" w:hAnsi="Times New Roman" w:cs="Times New Roman" w:eastAsia="Times New Roman"/>
                <w:sz w:val="22"/>
              </w:rPr>
              <w:t xml:space="preserve">47 ko‘rsatkich, teng vaznlar; guruh o‘rtachasi bilan taqqoslash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Fransiya</w:t>
            </w:r>
          </w:p>
        </w:tc>
        <w:tc>
          <w:tcPr/>
          <w:p>
            <w:pPr>
              <w:pStyle w:val="Compact"/>
              <w:spacing w:line="240" w:lineRule="auto"/>
              <w:ind w:firstLine="0"/>
              <w:jc w:val="left"/>
            </w:pPr>
            <w:r>
              <w:rPr>
                <w:rFonts w:ascii="Times New Roman" w:hAnsi="Times New Roman" w:cs="Times New Roman" w:eastAsia="Times New Roman"/>
                <w:sz w:val="22"/>
              </w:rPr>
              <w:t xml:space="preserve">ORAP (1997), SAABA</w:t>
            </w:r>
          </w:p>
        </w:tc>
        <w:tc>
          <w:tcPr/>
          <w:p>
            <w:pPr>
              <w:pStyle w:val="Compact"/>
              <w:spacing w:line="240" w:lineRule="auto"/>
              <w:ind w:firstLine="0"/>
              <w:jc w:val="left"/>
            </w:pPr>
            <w:r>
              <w:rPr>
                <w:rFonts w:ascii="Times New Roman" w:hAnsi="Times New Roman" w:cs="Times New Roman" w:eastAsia="Times New Roman"/>
                <w:sz w:val="22"/>
              </w:rPr>
              <w:t xml:space="preserve">Reyting va ekspert tizimi</w:t>
            </w:r>
          </w:p>
        </w:tc>
        <w:tc>
          <w:tcPr/>
          <w:p>
            <w:pPr>
              <w:pStyle w:val="Compact"/>
              <w:spacing w:line="240" w:lineRule="auto"/>
              <w:ind w:firstLine="0"/>
              <w:jc w:val="left"/>
            </w:pPr>
            <w:r>
              <w:rPr>
                <w:rFonts w:ascii="Times New Roman" w:hAnsi="Times New Roman" w:cs="Times New Roman" w:eastAsia="Times New Roman"/>
                <w:sz w:val="22"/>
              </w:rPr>
              <w:t xml:space="preserve">SAABA 25 ma’lumotlar bazasidan foydalanadi; 3 yillik to‘lov qobiliyati bahosi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Italiya</w:t>
            </w:r>
          </w:p>
        </w:tc>
        <w:tc>
          <w:tcPr/>
          <w:p>
            <w:pPr>
              <w:pStyle w:val="Compact"/>
              <w:spacing w:line="240" w:lineRule="auto"/>
              <w:ind w:firstLine="0"/>
              <w:jc w:val="left"/>
            </w:pPr>
            <w:r>
              <w:rPr>
                <w:rFonts w:ascii="Times New Roman" w:hAnsi="Times New Roman" w:cs="Times New Roman" w:eastAsia="Times New Roman"/>
                <w:sz w:val="22"/>
              </w:rPr>
              <w:t xml:space="preserve">PATROL (1993)</w:t>
            </w:r>
          </w:p>
        </w:tc>
        <w:tc>
          <w:tcPr/>
          <w:p>
            <w:pPr>
              <w:pStyle w:val="Compact"/>
              <w:spacing w:line="240" w:lineRule="auto"/>
              <w:ind w:firstLine="0"/>
              <w:jc w:val="left"/>
            </w:pPr>
            <w:r>
              <w:rPr>
                <w:rFonts w:ascii="Times New Roman" w:hAnsi="Times New Roman" w:cs="Times New Roman" w:eastAsia="Times New Roman"/>
                <w:sz w:val="22"/>
              </w:rPr>
              <w:t xml:space="preserve">Reyting</w:t>
            </w:r>
          </w:p>
        </w:tc>
        <w:tc>
          <w:tcPr/>
          <w:p>
            <w:pPr>
              <w:pStyle w:val="Compact"/>
              <w:spacing w:line="240" w:lineRule="auto"/>
              <w:ind w:firstLine="0"/>
              <w:jc w:val="left"/>
            </w:pPr>
            <w:r>
              <w:rPr>
                <w:rFonts w:ascii="Times New Roman" w:hAnsi="Times New Roman" w:cs="Times New Roman" w:eastAsia="Times New Roman"/>
                <w:sz w:val="22"/>
              </w:rPr>
              <w:t xml:space="preserve">Masofaviy nazorat va reyting</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Niderlandiya</w:t>
            </w:r>
          </w:p>
        </w:tc>
        <w:tc>
          <w:tcPr/>
          <w:p>
            <w:pPr>
              <w:pStyle w:val="Compact"/>
              <w:spacing w:line="240" w:lineRule="auto"/>
              <w:ind w:firstLine="0"/>
              <w:jc w:val="left"/>
            </w:pPr>
            <w:r>
              <w:rPr>
                <w:rFonts w:ascii="Times New Roman" w:hAnsi="Times New Roman" w:cs="Times New Roman" w:eastAsia="Times New Roman"/>
                <w:sz w:val="22"/>
              </w:rPr>
              <w:t xml:space="preserve">RAST</w:t>
            </w:r>
          </w:p>
        </w:tc>
        <w:tc>
          <w:tcPr/>
          <w:p>
            <w:pPr>
              <w:pStyle w:val="Compact"/>
              <w:spacing w:line="240" w:lineRule="auto"/>
              <w:ind w:firstLine="0"/>
              <w:jc w:val="left"/>
            </w:pPr>
            <w:r>
              <w:rPr>
                <w:rFonts w:ascii="Times New Roman" w:hAnsi="Times New Roman" w:cs="Times New Roman" w:eastAsia="Times New Roman"/>
                <w:sz w:val="22"/>
              </w:rPr>
              <w:t xml:space="preserve">Risklarni kompleks baholash</w:t>
            </w:r>
          </w:p>
        </w:tc>
        <w:tc>
          <w:tcPr/>
          <w:p>
            <w:pPr>
              <w:pStyle w:val="Compact"/>
              <w:spacing w:line="240" w:lineRule="auto"/>
              <w:ind w:firstLine="0"/>
              <w:jc w:val="left"/>
            </w:pPr>
            <w:r>
              <w:rPr>
                <w:rFonts w:ascii="Times New Roman" w:hAnsi="Times New Roman" w:cs="Times New Roman" w:eastAsia="Times New Roman"/>
                <w:sz w:val="22"/>
              </w:rPr>
              <w:t xml:space="preserve">Risklarni tahlil qilish va nazorat choralarini belgilash</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ko‘rib chiqilgan tizimlarning aksariyati 1990-yillarning ikkinchi yarmida joriy etilgan. Bu tasodif emas, albatta: aynan shu davrda Bazel qo‘mitasining samarali bank nazorati bo‘yicha asosiy tamoyillari qabul qilinib, nazoratning risklarga asoslangan yondashuvga o‘tishi boshlangan edi. Shu bilan birga, tizimlar o‘rtasida muhim farq ham ko‘zga tashlanadi. AQSh va Fransiya tizimlari asosan bankning o‘ziga baho beradi, Buyuk Britaniya va Niderlandiya tizimlari esa baho bilan birga nazorat organining keyingi harakatini ham belgilaydi.</w:t>
      </w:r>
    </w:p>
    <w:p>
      <w:pPr>
        <w:pStyle w:val="BodyText"/>
        <w:spacing w:line="360" w:lineRule="auto" w:before="0" w:after="0"/>
        <w:ind w:firstLine="709"/>
        <w:jc w:val="both"/>
      </w:pPr>
      <w:r>
        <w:rPr>
          <w:rFonts w:ascii="Times New Roman" w:hAnsi="Times New Roman" w:cs="Times New Roman" w:eastAsia="Times New Roman"/>
          <w:sz w:val="28"/>
        </w:rPr>
        <w:t xml:space="preserve">Ushbu tizimlar orasida eng ko‘p qatlamlisi AQSh tizimi hisoblanadi. Uning shakllanishi bevosita mamlakat bank inqirozlari tarixi bilan bog‘liq. J.M. Hendrickson ko‘rsatganidek, AQShda bank regulyatsiyasi «inqiroz – yangi qoida» sxemasi bo‘yicha, ya’ni sinov va xatolar orqali rivojlangan; 1929–1933-yillarda taxminan 10 ming bank, 2009-yilning o‘zida esa 140 bank inqirozga uchragan</w:t>
      </w:r>
      <w:r>
        <w:rPr>
          <w:rStyle w:val="FootnoteReference"/>
        </w:rPr>
        <w:footnoteReference w:id="171"/>
      </w:r>
      <w:r>
        <w:rPr>
          <w:rFonts w:ascii="Times New Roman" w:hAnsi="Times New Roman" w:cs="Times New Roman" w:eastAsia="Times New Roman"/>
          <w:sz w:val="28"/>
        </w:rPr>
        <w:t xml:space="preserve">. Har bir yirik inqiroz nazorat tizimiga yangi vositani olib kirgan, natijada bugungi kunda AQShda reyting, kapitalga asoslangan majburiy choralar, statistik modellar va stress-testlardan iborat to‘rt qatlamli tizim shakllangan.</w:t>
      </w:r>
    </w:p>
    <w:p>
      <w:pPr>
        <w:pStyle w:val="BodyText"/>
        <w:spacing w:line="360" w:lineRule="auto" w:before="0" w:after="0"/>
        <w:ind w:firstLine="709"/>
        <w:jc w:val="both"/>
      </w:pPr>
      <w:r>
        <w:rPr>
          <w:rFonts w:ascii="Times New Roman" w:hAnsi="Times New Roman" w:cs="Times New Roman" w:eastAsia="Times New Roman"/>
          <w:sz w:val="28"/>
        </w:rPr>
        <w:t xml:space="preserve">Bu tizimning birinchi qatlamini CAMELS reyting tizimi tashkil etadi. U 1978-yilda Moliya institutlari federal ekspertiza kengashi tomonidan yaratilgan bo‘lib, 1997-yildan unga bozor riskiga sezgirlik komponenti qo‘shilgan</w:t>
      </w:r>
      <w:r>
        <w:rPr>
          <w:rStyle w:val="FootnoteReference"/>
        </w:rPr>
        <w:footnoteReference w:id="172"/>
      </w:r>
      <w:r>
        <w:rPr>
          <w:rFonts w:ascii="Times New Roman" w:hAnsi="Times New Roman" w:cs="Times New Roman" w:eastAsia="Times New Roman"/>
          <w:sz w:val="28"/>
        </w:rPr>
        <w:t xml:space="preserve">. Har bir komponent 1 (eng yaxshi) dan 5 (eng yomon) gacha baholanadi. Ta’kidlash lozimki, T.F. Cargill fikricha, yig‘ma ball komponentlarning oddiy o‘rtachasi emas, balki tekshiruv guruhining umumiy bahosidir; 3, 4 yoki 5 ball olgan bank «muammoli banklar» ro‘yxatiga kiritiladi, ballarning o‘zi esa omonatchilar orasida vahima chiqarmaslik uchun oshkor qilinmaydi</w:t>
      </w:r>
      <w:r>
        <w:rPr>
          <w:rStyle w:val="FootnoteReference"/>
        </w:rPr>
        <w:footnoteReference w:id="173"/>
      </w:r>
      <w:r>
        <w:rPr>
          <w:rFonts w:ascii="Times New Roman" w:hAnsi="Times New Roman" w:cs="Times New Roman" w:eastAsia="Times New Roman"/>
          <w:sz w:val="28"/>
        </w:rPr>
        <w:t xml:space="preserve">. Demak, CAMELS tizimi ichki nazorat vositasi bo‘lib, bozor intizomini kuchaytirishga xizmat qilmaydi.</w:t>
      </w:r>
    </w:p>
    <w:p>
      <w:pPr>
        <w:pStyle w:val="BodyText"/>
        <w:spacing w:line="360" w:lineRule="auto" w:before="0" w:after="0"/>
        <w:ind w:firstLine="709"/>
        <w:jc w:val="both"/>
      </w:pPr>
      <w:r>
        <w:rPr>
          <w:rFonts w:ascii="Times New Roman" w:hAnsi="Times New Roman" w:cs="Times New Roman" w:eastAsia="Times New Roman"/>
          <w:sz w:val="28"/>
        </w:rPr>
        <w:t xml:space="preserve">Reyting tizimining bu cheklovi 1980-yillarda yaqqol namoyon bo‘ldi. Jamg‘arma va kredit muassasalari inqirozi soliq to‘lovchilarga 214 mlrd dollarga tushgach, nazorat organlarining kechikib harakat qilishiga barham berish maqsadida kapital yetarliligiga asoslangan tezkor tuzatuvchi choralar tizimi joriy etildi</w:t>
      </w:r>
      <w:r>
        <w:rPr>
          <w:rStyle w:val="FootnoteReference"/>
        </w:rPr>
        <w:footnoteReference w:id="174"/>
      </w:r>
      <w:r>
        <w:rPr>
          <w:rFonts w:ascii="Times New Roman" w:hAnsi="Times New Roman" w:cs="Times New Roman" w:eastAsia="Times New Roman"/>
          <w:sz w:val="28"/>
        </w:rPr>
        <w:t xml:space="preserve">. Unga ko‘ra banklar kapital darajasiga qarab besh toifaga ajratiladi va har bir toifaga majburiy nazorat choralari biriktiriladi (1.3.2-rasm).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76000" cy="2376000"/>
                <wp:effectExtent l="0" t="0" r="0" b="0"/>
                <wp:docPr id="14" name="1.3.2-rasm"/>
                <wp:cNvGraphicFramePr/>
                <a:graphic>
                  <a:graphicData uri="http://schemas.microsoft.com/office/word/2010/wordprocessingGroup">
                    <wpg:wgp>
                      <wpg:cNvGrpSpPr/>
                      <wpg:grpSpPr>
                        <a:xfrm>
                          <a:off x="0" y="0"/>
                          <a:ext cx="5976000" cy="2376000"/>
                          <a:chOff x="0" y="0"/>
                          <a:chExt cx="5976000" cy="2376000"/>
                        </a:xfrm>
                      </wpg:grpSpPr>
                      <wps:wsp>
                        <wps:cNvPr id="16" name="Shape 16"/>
                        <wps:cNvSpPr/>
                        <wps:spPr>
                          <a:xfrm>
                            <a:off x="36000" y="36000"/>
                            <a:ext cx="1656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Yaxshi kapitallashgan</w:t>
                              </w:r>
                            </w:p>
                          </w:txbxContent>
                        </wps:txbx>
                        <wps:bodyPr rot="0" vert="horz" wrap="square" lIns="36000" tIns="18000" rIns="36000" bIns="18000" anchor="ctr" anchorCtr="0">
                          <a:noAutofit/>
                        </wps:bodyPr>
                      </wps:wsp>
                      <wps:wsp>
                        <wps:cNvPr id="17" name="Shape 17"/>
                        <wps:cNvSpPr/>
                        <wps:spPr>
                          <a:xfrm>
                            <a:off x="1746000" y="36000"/>
                            <a:ext cx="1944000" cy="39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 10%; 1-darajali ≥ 6%; leverej ≥ 5%</w:t>
                              </w:r>
                            </w:p>
                          </w:txbxContent>
                        </wps:txbx>
                        <wps:bodyPr rot="0" vert="horz" wrap="square" lIns="36000" tIns="18000" rIns="36000" bIns="18000" anchor="ctr" anchorCtr="0">
                          <a:noAutofit/>
                        </wps:bodyPr>
                      </wps:wsp>
                      <wps:wsp>
                        <wps:cNvPr id="18" name="Shape 18"/>
                        <wps:cNvSpPr/>
                        <wps:spPr>
                          <a:xfrm>
                            <a:off x="3744000" y="36000"/>
                            <a:ext cx="2088000" cy="396000"/>
                          </a:xfrm>
                          <a:prstGeom prst="roundRect">
                            <a:avLst>
                              <a:gd name="adj" fmla="val 10000"/>
                            </a:avLst>
                          </a:prstGeom>
                          <a:solidFill>
                            <a:srgbClr val="FFFFFF"/>
                          </a:solidFill>
                          <a:ln w="12700">
                            <a:solidFill>
                              <a:srgbClr val="70AD47"/>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Cheklovlar yo‘q</w:t>
                              </w:r>
                            </w:p>
                          </w:txbxContent>
                        </wps:txbx>
                        <wps:bodyPr rot="0" vert="horz" wrap="square" lIns="36000" tIns="18000" rIns="36000" bIns="18000" anchor="ctr" anchorCtr="0">
                          <a:noAutofit/>
                        </wps:bodyPr>
                      </wps:wsp>
                      <wps:wsp>
                        <wps:cNvPr id="19" name="Shape 19"/>
                        <wps:cNvSpPr/>
                        <wps:spPr>
                          <a:xfrm>
                            <a:off x="180000" y="504000"/>
                            <a:ext cx="1656000" cy="396000"/>
                          </a:xfrm>
                          <a:prstGeom prst="roundRect">
                            <a:avLst>
                              <a:gd name="adj" fmla="val 10000"/>
                            </a:avLst>
                          </a:prstGeom>
                          <a:solidFill>
                            <a:srgbClr val="9DC3E6"/>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Yetarli kapitallashgan</w:t>
                              </w:r>
                            </w:p>
                          </w:txbxContent>
                        </wps:txbx>
                        <wps:bodyPr rot="0" vert="horz" wrap="square" lIns="36000" tIns="18000" rIns="36000" bIns="18000" anchor="ctr" anchorCtr="0">
                          <a:noAutofit/>
                        </wps:bodyPr>
                      </wps:wsp>
                      <wps:wsp>
                        <wps:cNvPr id="20" name="Shape 20"/>
                        <wps:cNvSpPr/>
                        <wps:spPr>
                          <a:xfrm>
                            <a:off x="1890000" y="504000"/>
                            <a:ext cx="1944000" cy="396000"/>
                          </a:xfrm>
                          <a:prstGeom prst="roundRect">
                            <a:avLst>
                              <a:gd name="adj" fmla="val 10000"/>
                            </a:avLst>
                          </a:prstGeom>
                          <a:solidFill>
                            <a:srgbClr val="F2F2F2"/>
                          </a:solidFill>
                          <a:ln w="12700">
                            <a:solidFill>
                              <a:srgbClr val="9DC3E6"/>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 8%; 1-darajali ≥ 4%; leverej ≥ 4%</w:t>
                              </w:r>
                            </w:p>
                          </w:txbxContent>
                        </wps:txbx>
                        <wps:bodyPr rot="0" vert="horz" wrap="square" lIns="36000" tIns="18000" rIns="36000" bIns="18000" anchor="ctr" anchorCtr="0">
                          <a:noAutofit/>
                        </wps:bodyPr>
                      </wps:wsp>
                      <wps:wsp>
                        <wps:cNvPr id="21" name="Shape 21"/>
                        <wps:cNvSpPr/>
                        <wps:spPr>
                          <a:xfrm>
                            <a:off x="3888000" y="504000"/>
                            <a:ext cx="1944000" cy="396000"/>
                          </a:xfrm>
                          <a:prstGeom prst="roundRect">
                            <a:avLst>
                              <a:gd name="adj" fmla="val 10000"/>
                            </a:avLst>
                          </a:prstGeom>
                          <a:solidFill>
                            <a:srgbClr val="FFFFFF"/>
                          </a:solidFill>
                          <a:ln w="12700">
                            <a:solidFill>
                              <a:srgbClr val="9DC3E6"/>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Broker depozitlarini jalb qilish cheklanadi</w:t>
                              </w:r>
                            </w:p>
                          </w:txbxContent>
                        </wps:txbx>
                        <wps:bodyPr rot="0" vert="horz" wrap="square" lIns="36000" tIns="18000" rIns="36000" bIns="18000" anchor="ctr" anchorCtr="0">
                          <a:noAutofit/>
                        </wps:bodyPr>
                      </wps:wsp>
                      <wps:wsp>
                        <wps:cNvPr id="22" name="Shape 22"/>
                        <wps:cNvSpPr/>
                        <wps:spPr>
                          <a:xfrm>
                            <a:off x="324000" y="972000"/>
                            <a:ext cx="1656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Kapitali yetarli emas</w:t>
                              </w:r>
                            </w:p>
                          </w:txbxContent>
                        </wps:txbx>
                        <wps:bodyPr rot="0" vert="horz" wrap="square" lIns="36000" tIns="18000" rIns="36000" bIns="18000" anchor="ctr" anchorCtr="0">
                          <a:noAutofit/>
                        </wps:bodyPr>
                      </wps:wsp>
                      <wps:wsp>
                        <wps:cNvPr id="23" name="Shape 23"/>
                        <wps:cNvSpPr/>
                        <wps:spPr>
                          <a:xfrm>
                            <a:off x="2034000" y="972000"/>
                            <a:ext cx="1944000" cy="396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&lt; 8%; 1-darajali &lt; 4%; leverej &lt; 4%</w:t>
                              </w:r>
                            </w:p>
                          </w:txbxContent>
                        </wps:txbx>
                        <wps:bodyPr rot="0" vert="horz" wrap="square" lIns="36000" tIns="18000" rIns="36000" bIns="18000" anchor="ctr" anchorCtr="0">
                          <a:noAutofit/>
                        </wps:bodyPr>
                      </wps:wsp>
                      <wps:wsp>
                        <wps:cNvPr id="24" name="Shape 24"/>
                        <wps:cNvSpPr/>
                        <wps:spPr>
                          <a:xfrm>
                            <a:off x="4032000" y="972000"/>
                            <a:ext cx="1800000" cy="396000"/>
                          </a:xfrm>
                          <a:prstGeom prst="roundRect">
                            <a:avLst>
                              <a:gd name="adj" fmla="val 10000"/>
                            </a:avLst>
                          </a:prstGeom>
                          <a:solidFill>
                            <a:srgbClr val="FFFFFF"/>
                          </a:solidFill>
                          <a:ln w="12700">
                            <a:solidFill>
                              <a:srgbClr val="FFC000"/>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Kapitalni tiklash rejasi; aktivlar o‘sishi va dividendlar cheklanadi</w:t>
                              </w:r>
                            </w:p>
                          </w:txbxContent>
                        </wps:txbx>
                        <wps:bodyPr rot="0" vert="horz" wrap="square" lIns="36000" tIns="18000" rIns="36000" bIns="18000" anchor="ctr" anchorCtr="0">
                          <a:noAutofit/>
                        </wps:bodyPr>
                      </wps:wsp>
                      <wps:wsp>
                        <wps:cNvPr id="25" name="Shape 25"/>
                        <wps:cNvSpPr/>
                        <wps:spPr>
                          <a:xfrm>
                            <a:off x="468000" y="1440000"/>
                            <a:ext cx="1656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Kapitali sezilarli yetarli emas</w:t>
                              </w:r>
                            </w:p>
                          </w:txbxContent>
                        </wps:txbx>
                        <wps:bodyPr rot="0" vert="horz" wrap="square" lIns="36000" tIns="18000" rIns="36000" bIns="18000" anchor="ctr" anchorCtr="0">
                          <a:noAutofit/>
                        </wps:bodyPr>
                      </wps:wsp>
                      <wps:wsp>
                        <wps:cNvPr id="26" name="Shape 26"/>
                        <wps:cNvSpPr/>
                        <wps:spPr>
                          <a:xfrm>
                            <a:off x="2178000" y="1440000"/>
                            <a:ext cx="1944000" cy="39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Jami kapital &lt; 6%; 1-darajali &lt; 3%; leverej &lt; 3%</w:t>
                              </w:r>
                            </w:p>
                          </w:txbxContent>
                        </wps:txbx>
                        <wps:bodyPr rot="0" vert="horz" wrap="square" lIns="36000" tIns="18000" rIns="36000" bIns="18000" anchor="ctr" anchorCtr="0">
                          <a:noAutofit/>
                        </wps:bodyPr>
                      </wps:wsp>
                      <wps:wsp>
                        <wps:cNvPr id="27" name="Shape 27"/>
                        <wps:cNvSpPr/>
                        <wps:spPr>
                          <a:xfrm>
                            <a:off x="4176000" y="1440000"/>
                            <a:ext cx="1656000" cy="396000"/>
                          </a:xfrm>
                          <a:prstGeom prst="roundRect">
                            <a:avLst>
                              <a:gd name="adj" fmla="val 10000"/>
                            </a:avLst>
                          </a:prstGeom>
                          <a:solidFill>
                            <a:srgbClr val="FFFFFF"/>
                          </a:solidFill>
                          <a:ln w="12700">
                            <a:solidFill>
                              <a:srgbClr val="EB6834"/>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Rahbariyat almashtirilishi, faoliyat cheklanishi mumkin</w:t>
                              </w:r>
                            </w:p>
                          </w:txbxContent>
                        </wps:txbx>
                        <wps:bodyPr rot="0" vert="horz" wrap="square" lIns="36000" tIns="18000" rIns="36000" bIns="18000" anchor="ctr" anchorCtr="0">
                          <a:noAutofit/>
                        </wps:bodyPr>
                      </wps:wsp>
                      <wps:wsp>
                        <wps:cNvPr id="28" name="Shape 28"/>
                        <wps:cNvSpPr/>
                        <wps:spPr>
                          <a:xfrm>
                            <a:off x="612000" y="1908000"/>
                            <a:ext cx="1656000" cy="396000"/>
                          </a:xfrm>
                          <a:prstGeom prst="roundRect">
                            <a:avLst>
                              <a:gd name="adj" fmla="val 10000"/>
                            </a:avLst>
                          </a:prstGeom>
                          <a:solidFill>
                            <a:srgbClr val="C00000"/>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Kapitali keskin yetarli emas</w:t>
                              </w:r>
                            </w:p>
                          </w:txbxContent>
                        </wps:txbx>
                        <wps:bodyPr rot="0" vert="horz" wrap="square" lIns="36000" tIns="18000" rIns="36000" bIns="18000" anchor="ctr" anchorCtr="0">
                          <a:noAutofit/>
                        </wps:bodyPr>
                      </wps:wsp>
                      <wps:wsp>
                        <wps:cNvPr id="29" name="Shape 29"/>
                        <wps:cNvSpPr/>
                        <wps:spPr>
                          <a:xfrm>
                            <a:off x="2322000" y="1908000"/>
                            <a:ext cx="1944000" cy="396000"/>
                          </a:xfrm>
                          <a:prstGeom prst="roundRect">
                            <a:avLst>
                              <a:gd name="adj" fmla="val 10000"/>
                            </a:avLst>
                          </a:prstGeom>
                          <a:solidFill>
                            <a:srgbClr val="F2F2F2"/>
                          </a:solidFill>
                          <a:ln w="12700">
                            <a:solidFill>
                              <a:srgbClr val="C00000"/>
                            </a:solidFill>
                          </a:ln>
                        </wps:spPr>
                        <wps:txbx>
                          <w:txbxContent>
                            <w:p>
                              <w:pPr>
                                <w:spacing w:before="0" w:after="0" w:line="228" w:lineRule="auto"/>
                                <w:jc w:val="center"/>
                                <w:ind w:firstLine="0"/>
                              </w:pPr>
                              <w:r>
                                <w:rPr>
                                  <w:rFonts w:ascii="Times New Roman" w:hAnsi="Times New Roman" w:cs="Times New Roman"/>
                                  <w:color w:val="000000"/>
                                  <w:sz w:val="19"/>
                                  <w:szCs w:val="19"/>
                                </w:rPr>
                                <w:t xml:space="preserve">Moddiy kapital ≤ 2%</w:t>
                              </w:r>
                            </w:p>
                          </w:txbxContent>
                        </wps:txbx>
                        <wps:bodyPr rot="0" vert="horz" wrap="square" lIns="36000" tIns="18000" rIns="36000" bIns="18000" anchor="ctr" anchorCtr="0">
                          <a:noAutofit/>
                        </wps:bodyPr>
                      </wps:wsp>
                      <wps:wsp>
                        <wps:cNvPr id="30" name="Shape 30"/>
                        <wps:cNvSpPr/>
                        <wps:spPr>
                          <a:xfrm>
                            <a:off x="4320000" y="1908000"/>
                            <a:ext cx="1512000" cy="396000"/>
                          </a:xfrm>
                          <a:prstGeom prst="roundRect">
                            <a:avLst>
                              <a:gd name="adj" fmla="val 10000"/>
                            </a:avLst>
                          </a:prstGeom>
                          <a:solidFill>
                            <a:srgbClr val="FFFFFF"/>
                          </a:solidFill>
                          <a:ln w="12700">
                            <a:solidFill>
                              <a:srgbClr val="C00000"/>
                            </a:solidFill>
                          </a:ln>
                        </wps:spPr>
                        <wps:txbx>
                          <w:txbxContent>
                            <w:p>
                              <w:pPr>
                                <w:spacing w:before="0" w:after="0" w:line="228" w:lineRule="auto"/>
                                <w:jc w:val="center"/>
                                <w:ind w:firstLine="0"/>
                              </w:pPr>
                              <w:r>
                                <w:rPr>
                                  <w:rFonts w:ascii="Times New Roman" w:hAnsi="Times New Roman" w:cs="Times New Roman"/>
                                  <w:i/>
                                  <w:color w:val="000000"/>
                                  <w:sz w:val="19"/>
                                  <w:szCs w:val="19"/>
                                </w:rPr>
                                <w:t xml:space="preserve">Vaqtinchalik boshqaruv yoki tugatish</w:t>
                              </w:r>
                            </w:p>
                          </w:txbxContent>
                        </wps:txbx>
                        <wps:bodyPr rot="0" vert="horz" wrap="square" lIns="36000" tIns="18000" rIns="36000" bIns="18000" anchor="ctr" anchorCtr="0">
                          <a:noAutofit/>
                        </wps:bodyPr>
                      </wps:wsp>
                      <wps:wsp>
                        <wps:cNvPr id="31" name="Connector 31"/>
                        <wps:cNvCnPr/>
                        <wps:spPr>
                          <a:xfrm>
                            <a:off x="5922000" y="72000"/>
                            <a:ext cx="0" cy="2196000"/>
                          </a:xfrm>
                          <a:prstGeom prst="straightConnector1">
                            <a:avLst/>
                          </a:prstGeom>
                          <a:ln w="28575">
                            <a:solidFill>
                              <a:srgbClr val="C00000"/>
                            </a:solidFill>
                            <a:tailEnd type="triangle" w="med" len="med"/>
                          </a:ln>
                        </wps:spPr>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1.3.2-rasm. AQShda tezkor tuzatuvchi choralar tizimining kapital chegaralari</w:t>
      </w:r>
      <w:r>
        <w:rPr>
          <w:rStyle w:val="FootnoteReference"/>
        </w:rPr>
        <w:footnoteReference w:id="175"/>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tizim kapital ko‘rsatkichini «bajarildi – bajarilmadi» degan ikkilik mezon bilan emas, balki besh pog‘onali shkala bilan baholaydi va har bir pog‘onani aniq nazorat oqibatlari bilan bog‘laydi. Bank kapitali pasaygan sari nazorat organining harakat erkinligi torayib, aralashuv majburiy tus oladi. Bunda faqat kapital yetarliligi emas, leverej koeffitsiyenti ham hisobga olinadi. D.K. Tarullo ma’lumotiga ko‘ra, leverej 4 foizdan past bo‘lsa aralashuv, 3 foizdan past bo‘lsa kuchli choralar boshlanadi, 2 foizdan past leverej esa bankrotlikka yaqinlik bilan kuchli korrelyatsiyaga ega</w:t>
      </w:r>
      <w:r>
        <w:rPr>
          <w:rStyle w:val="FootnoteReference"/>
        </w:rPr>
        <w:footnoteReference w:id="176"/>
      </w:r>
      <w:r>
        <w:rPr>
          <w:rFonts w:ascii="Times New Roman" w:hAnsi="Times New Roman" w:cs="Times New Roman" w:eastAsia="Times New Roman"/>
          <w:sz w:val="28"/>
        </w:rPr>
        <w:t xml:space="preserve">. Muallif fikricha, baholash natijasini nazorat qarori bilan avtomatik bog‘lash tamoyili O‘zbekiston uchun PCA tizimining eng qimmatli jihati hisoblanadi.</w:t>
      </w:r>
    </w:p>
    <w:p>
      <w:pPr>
        <w:pStyle w:val="BodyText"/>
        <w:spacing w:line="360" w:lineRule="auto" w:before="0" w:after="0"/>
        <w:ind w:firstLine="709"/>
        <w:jc w:val="both"/>
      </w:pPr>
      <w:r>
        <w:rPr>
          <w:rFonts w:ascii="Times New Roman" w:hAnsi="Times New Roman" w:cs="Times New Roman" w:eastAsia="Times New Roman"/>
          <w:sz w:val="28"/>
        </w:rPr>
        <w:t xml:space="preserve">Biroq kapitalga asoslangan choralar ham muammo yuzaga kelgandan keyin ishga tushadi. Shu sababli AQSh Federal rezerv tizimi uchinchi qatlam sifatida bankning kelgusidagi holatini bashorat qiluvchi statistik modellarni ishlab chiqdi. Ulardan biri FIMS modeli bo‘lib, u CAMELS reytingining pasayishi va bankrotlik ehtimolini baholaydi. O.I. Lavrushin va I.D. Mamonova keltirgan ma’lumotlarga ko‘ra, 48 306 kuzatuv asosida sinovdan o‘tkazilgan FIMS modeli avvalgi UBSS tizimiga nisbatan bashorat aniqligini sezilarli oshirgan</w:t>
      </w:r>
      <w:r>
        <w:rPr>
          <w:rStyle w:val="FootnoteReference"/>
        </w:rPr>
        <w:footnoteReference w:id="17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(1.3.3-rasm).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5" name="1.3.3-rasm"/>
            <wp:cNvGraphicFramePr/>
            <a:graphic>
              <a:graphicData uri="http://schemas.openxmlformats.org/drawingml/2006/chart">
                <c:chart r:id="rId15"/>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1.3.3-rasm. AQShda FIMS va UBSS modellarining bashorat aniqligi, %</w:t>
      </w:r>
      <w:r>
        <w:rPr>
          <w:rStyle w:val="FootnoteReference"/>
        </w:rPr>
        <w:footnoteReference w:id="178"/>
      </w:r>
    </w:p>
    <w:p>
      <w:pPr>
        <w:pStyle w:val="BodyText"/>
        <w:spacing w:line="360" w:lineRule="auto" w:before="0" w:after="0"/>
        <w:ind w:firstLine="709"/>
        <w:jc w:val="both"/>
      </w:pPr>
      <w:r>
        <w:rPr>
          <w:rFonts w:ascii="Times New Roman" w:hAnsi="Times New Roman" w:cs="Times New Roman" w:eastAsia="Times New Roman"/>
          <w:sz w:val="28"/>
        </w:rPr>
        <w:t xml:space="preserve">Rasm ma’lumotlari FIMS modeli to‘g‘ri bashorat ulushini 50 foizdan 74,6 foizga oshirganini, birinchi tur xatosini, ya’ni muammoli bankni sog‘lom deb topish holatlarini esa 32,7 foizdan 17 foizgacha kamaytirganini ko‘rsatadi. Bu natijaga erishishda bitta metodik yechim muhim rol o‘ynagan: qoniqarli va qoniqarsiz holat chegarasi 2,5 balldan 2,3 ballgacha tushirilgan. Bu yechim nazorat uchun eng xavfli bo‘lgan birinchi tur xatosini kamaytirishga qaratilgan edi, biroq natijada ikkinchi tur xatosi ham 12,2 foizdan 7,4 foizgacha qisqargan. Bu yechim integral baholash metodikasida chegara qiymatlarni tanlash xatolar narxini hisobga olgan holda amalga oshirilishi kerakligini ko‘rsatadi.</w:t>
      </w:r>
    </w:p>
    <w:p>
      <w:pPr>
        <w:pStyle w:val="BodyText"/>
        <w:spacing w:line="360" w:lineRule="auto" w:before="0" w:after="0"/>
        <w:ind w:firstLine="709"/>
        <w:jc w:val="both"/>
      </w:pPr>
      <w:r>
        <w:rPr>
          <w:rFonts w:ascii="Times New Roman" w:hAnsi="Times New Roman" w:cs="Times New Roman" w:eastAsia="Times New Roman"/>
          <w:sz w:val="28"/>
        </w:rPr>
        <w:t xml:space="preserve">To‘rtinchi qatlam – nazorat stress-testlari – 2008-yilgi inqirozdan keyin shakllandi. 2010-yildagi Dodd-Frank qonuni aktivlari 50 mlrd dollardan ortiq bank xolding kompaniyalari uchun yillik nazorat stress-testini majburiy qildi. Test 9 choraklik gorizontda bazaviy, salbiy va keskin salbiy ssenariylar bo‘yicha o‘tkaziladi. E’tiborli jihati shundaki, CAMELS reytingidan farqli o‘laroq, stress-test natijalari ommaga e’lon qilinadi</w:t>
      </w:r>
      <w:r>
        <w:rPr>
          <w:rStyle w:val="FootnoteReference"/>
        </w:rPr>
        <w:footnoteReference w:id="179"/>
      </w:r>
      <w:r>
        <w:rPr>
          <w:rFonts w:ascii="Times New Roman" w:hAnsi="Times New Roman" w:cs="Times New Roman" w:eastAsia="Times New Roman"/>
          <w:sz w:val="28"/>
        </w:rPr>
        <w:t xml:space="preserve">. Shu tariqa AQSh nazorati yopiq baholashdan ochiq baholashga qarab qadam qo‘ydi va bozor intizomini nazorat vositasi sifatida ishga soldi.</w:t>
      </w:r>
    </w:p>
    <w:p>
      <w:pPr>
        <w:pStyle w:val="BodyText"/>
        <w:spacing w:line="360" w:lineRule="auto" w:before="0" w:after="0"/>
        <w:ind w:firstLine="709"/>
        <w:jc w:val="both"/>
      </w:pPr>
      <w:r>
        <w:rPr>
          <w:rFonts w:ascii="Times New Roman" w:hAnsi="Times New Roman" w:cs="Times New Roman" w:eastAsia="Times New Roman"/>
          <w:sz w:val="28"/>
        </w:rPr>
        <w:t xml:space="preserve">AQSh baholash tizimi hozir ham o‘zgarishda davom etmoqda. 2023-yil bahorida Silicon Valley Bank va boshqa o‘rta banklar inqirozidan keyin nazoratning samaradorligi qayta ko‘rib chiqildi, biroq keyingi islohotlar asosan nazorat bahosini moliyaviy risklarga yanada yaqinlashtirish yo‘nalishida bormoqda. Federal rezerv tizimi 2025-yil noyabrida yirik moliya institutlari reyting tizimiga o‘zgartirish kiritib, «yaxshi boshqariladigan» bank ta’rifini yumshatdi: endi bitta komponent bo‘yicha qoniqarsiz baho bankni bu toifadan chiqarib yubormaydi</w:t>
      </w:r>
      <w:r>
        <w:rPr>
          <w:rStyle w:val="FootnoteReference"/>
        </w:rPr>
        <w:footnoteReference w:id="180"/>
      </w:r>
      <w:r>
        <w:rPr>
          <w:rFonts w:ascii="Times New Roman" w:hAnsi="Times New Roman" w:cs="Times New Roman" w:eastAsia="Times New Roman"/>
          <w:sz w:val="28"/>
        </w:rPr>
        <w:t xml:space="preserve">. 2026-yil mayida esa Moliya institutlari federal ekspertiza kengashi CAMELS tizimini 1996-yildan buyon birinchi marta tubdan qayta ko‘rib chiqishni taklif qildi. Taklifga ko‘ra, yig‘ma bahoda boshqaruv komponentiga berilgan alohida ustunlik bekor qilinadi, boshqaruv bo‘yicha 3 va undan past baho esa faqat jiddiy moliyaviy risk mavjud bo‘lgandagina qo‘yiladi</w:t>
      </w:r>
      <w:r>
        <w:rPr>
          <w:rStyle w:val="FootnoteReference"/>
        </w:rPr>
        <w:footnoteReference w:id="181"/>
      </w:r>
      <w:r>
        <w:rPr>
          <w:rFonts w:ascii="Times New Roman" w:hAnsi="Times New Roman" w:cs="Times New Roman" w:eastAsia="Times New Roman"/>
          <w:sz w:val="28"/>
        </w:rPr>
        <w:t xml:space="preserve">. Stress-testlar ham isloh qilindi: 2026-yil sentabrida qabul qilingan qoidalarga ko‘ra, ssenariylar va modellar har yili jamoatchilik muhokamasiga qo‘yiladi, stress-test asosidagi kapital buferi esa ikki yillik natijalarning o‘rtachasi bo‘yicha belgilanadi</w:t>
      </w:r>
      <w:r>
        <w:rPr>
          <w:rStyle w:val="FootnoteReference"/>
        </w:rPr>
        <w:footnoteReference w:id="182"/>
      </w:r>
      <w:r>
        <w:rPr>
          <w:rFonts w:ascii="Times New Roman" w:hAnsi="Times New Roman" w:cs="Times New Roman" w:eastAsia="Times New Roman"/>
          <w:sz w:val="28"/>
        </w:rPr>
        <w:t xml:space="preserve">. Nihoyat, 2026-yil martida Bazel III ning yakuniy standartlarini joriy etish bo‘yicha qayta ishlangan takliflar e’lon qilindi; ular faqat eng yirik banklarga tatbiq etilishi va umumiy kapital talablarini biroz pasaytirishi kutilmoqda</w:t>
      </w:r>
      <w:r>
        <w:rPr>
          <w:rStyle w:val="FootnoteReference"/>
        </w:rPr>
        <w:footnoteReference w:id="183"/>
      </w:r>
      <w:r>
        <w:rPr>
          <w:rFonts w:ascii="Times New Roman" w:hAnsi="Times New Roman" w:cs="Times New Roman" w:eastAsia="Times New Roman"/>
          <w:sz w:val="28"/>
        </w:rPr>
        <w:t xml:space="preserve">. Ushbu islohotlar baholash natijasini nazorat qarori bilan bog‘lash tamoyili saqlanib qolgan holda, uning mezonlari moliyaviy ko‘rsatkichlarga ko‘proq tayanadigan bo‘lib borayotganini ko‘rsatadi.</w:t>
      </w:r>
    </w:p>
    <w:p>
      <w:pPr>
        <w:pStyle w:val="BodyText"/>
        <w:spacing w:line="360" w:lineRule="auto" w:before="0" w:after="0"/>
        <w:ind w:firstLine="709"/>
        <w:jc w:val="both"/>
      </w:pPr>
      <w:r>
        <w:rPr>
          <w:rFonts w:ascii="Times New Roman" w:hAnsi="Times New Roman" w:cs="Times New Roman" w:eastAsia="Times New Roman"/>
          <w:sz w:val="28"/>
        </w:rPr>
        <w:t xml:space="preserve">Shu bilan birga, AQSh tajribasi tartibga solish maqsadlari o‘rtasidagi ziddiyatni ham namoyon etadi. J.M. Hendrickson qayd etishicha, kam daromadli aholini kreditlashni talab qiluvchi CRA qonuni bank kapitaliga qo‘yiladigan talablarga zid keladi: tavakkalchilik bilan kreditlash CRA reytingini yaxshilaydi, ammo CAMELS reytingini yomonlashtiradi; 1993–2007-yillarda 3,5 trln dollardan ortiq CRA kreditlari berilgan</w:t>
      </w:r>
      <w:r>
        <w:rPr>
          <w:rStyle w:val="FootnoteReference"/>
        </w:rPr>
        <w:footnoteReference w:id="184"/>
      </w:r>
      <w:r>
        <w:rPr>
          <w:rFonts w:ascii="Times New Roman" w:hAnsi="Times New Roman" w:cs="Times New Roman" w:eastAsia="Times New Roman"/>
          <w:sz w:val="28"/>
        </w:rPr>
        <w:t xml:space="preserve">. Bu xulosa davlat dasturlari bo‘yicha kreditlash ulushi yuqori bo‘lgan O‘zbekiston bank tizimi uchun ham dolzarbdir, chunki ijtimoiy maqsadlardagi kreditlash bank barqarorligi ko‘rsatkichlariga ta’sir qilmay qolmaydi.</w:t>
      </w:r>
    </w:p>
    <w:p>
      <w:pPr>
        <w:pStyle w:val="BodyText"/>
        <w:spacing w:line="360" w:lineRule="auto" w:before="0" w:after="0"/>
        <w:ind w:firstLine="709"/>
        <w:jc w:val="both"/>
      </w:pPr>
      <w:r>
        <w:rPr>
          <w:rFonts w:ascii="Times New Roman" w:hAnsi="Times New Roman" w:cs="Times New Roman" w:eastAsia="Times New Roman"/>
          <w:sz w:val="28"/>
        </w:rPr>
        <w:t xml:space="preserve">AQShdan farqli ravishda, G‘arbiy Yevropa mamlakatlari nazoratni risklarga asoslangan holda tashkil etishga ko‘proq e’tibor qaratgan. Bu yo‘nalishda Buyuk Britaniya tajribasi alohida o‘rin tutadi. Angliya banki 1997-yildan BAITE tizimini qo‘llab kelmoqda. U uch blokdan, ya’ni risklarni baholash, nazorat vositalari va samaradorlikni baholashdan iborat bo‘lib, to‘qqiz yo‘nalish bo‘yicha risklarni tahlil qiladi</w:t>
      </w:r>
      <w:r>
        <w:rPr>
          <w:rStyle w:val="FootnoteReference"/>
        </w:rPr>
        <w:footnoteReference w:id="185"/>
      </w:r>
      <w:r>
        <w:rPr>
          <w:rFonts w:ascii="Times New Roman" w:hAnsi="Times New Roman" w:cs="Times New Roman" w:eastAsia="Times New Roman"/>
          <w:sz w:val="28"/>
        </w:rPr>
        <w:t xml:space="preserve">. Keyinchalik joriy etilgan RATE tizimi CAMEL-B omillari (kapital, aktivlar, bozor riski, foyda, majburiyatlar, biznes) va COM omillari (nazorat, tashkiliy tuzilma, boshqaruv) asosida yagona ball chiqaradi, nazorat davri esa 6 oydan 3 yilgacha belgilanadi</w:t>
      </w:r>
      <w:r>
        <w:rPr>
          <w:rStyle w:val="FootnoteReference"/>
        </w:rPr>
        <w:footnoteReference w:id="186"/>
      </w:r>
      <w:r>
        <w:rPr>
          <w:rFonts w:ascii="Times New Roman" w:hAnsi="Times New Roman" w:cs="Times New Roman" w:eastAsia="Times New Roman"/>
          <w:sz w:val="28"/>
        </w:rPr>
        <w:t xml:space="preserve">. Britaniya tizimining eng muhim xususiyati shundaki, bankning risk darajasi va undagi nazorat sifati bir matritsada birlashtirilib, nazorat intensivligi shu matritsa asosida belgilanadi (1.3.4-rasm).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448000"/>
                <wp:effectExtent l="0" t="0" r="0" b="0"/>
                <wp:docPr id="16" name="1.3.4-rasm"/>
                <wp:cNvGraphicFramePr/>
                <a:graphic>
                  <a:graphicData uri="http://schemas.microsoft.com/office/word/2010/wordprocessingGroup">
                    <wpg:wgp>
                      <wpg:cNvGrpSpPr/>
                      <wpg:grpSpPr>
                        <a:xfrm>
                          <a:off x="0" y="0"/>
                          <a:ext cx="5904000" cy="2448000"/>
                          <a:chOff x="0" y="0"/>
                          <a:chExt cx="5904000" cy="2448000"/>
                        </a:xfrm>
                      </wpg:grpSpPr>
                      <wps:wsp>
                        <wps:cNvPr id="32" name="Shape 32"/>
                        <wps:cNvSpPr/>
                        <wps:spPr>
                          <a:xfrm>
                            <a:off x="36000" y="342000"/>
                            <a:ext cx="828000" cy="198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19"/>
                                  <w:szCs w:val="19"/>
                                </w:rPr>
                                <w:t xml:space="preserve">Risk darajasi</w:t>
                              </w:r>
                            </w:p>
                          </w:txbxContent>
                        </wps:txbx>
                        <wps:bodyPr rot="0" vert="horz" wrap="square" lIns="36000" tIns="18000" rIns="36000" bIns="18000" anchor="ctr" anchorCtr="0">
                          <a:noAutofit/>
                        </wps:bodyPr>
                      </wps:wsp>
                      <wps:wsp>
                        <wps:cNvPr id="33" name="Shape 33"/>
                        <wps:cNvSpPr/>
                        <wps:spPr>
                          <a:xfrm>
                            <a:off x="900000" y="36000"/>
                            <a:ext cx="4932000" cy="252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Ichki nazorat sifati</w:t>
                              </w:r>
                            </w:p>
                          </w:txbxContent>
                        </wps:txbx>
                        <wps:bodyPr rot="0" vert="horz" wrap="square" lIns="36000" tIns="18000" rIns="36000" bIns="18000" anchor="ctr" anchorCtr="0">
                          <a:noAutofit/>
                        </wps:bodyPr>
                      </wps:wsp>
                      <wps:wsp>
                        <wps:cNvPr id="34" name="Shape 34"/>
                        <wps:cNvSpPr/>
                        <wps:spPr>
                          <a:xfrm>
                            <a:off x="900000" y="342000"/>
                            <a:ext cx="2448000" cy="198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Yuqori</w:t>
                              </w:r>
                            </w:p>
                          </w:txbxContent>
                        </wps:txbx>
                        <wps:bodyPr rot="0" vert="horz" wrap="square" lIns="36000" tIns="18000" rIns="36000" bIns="18000" anchor="ctr" anchorCtr="0">
                          <a:noAutofit/>
                        </wps:bodyPr>
                      </wps:wsp>
                      <wps:wsp>
                        <wps:cNvPr id="35" name="Shape 35"/>
                        <wps:cNvSpPr/>
                        <wps:spPr>
                          <a:xfrm>
                            <a:off x="3384000" y="342000"/>
                            <a:ext cx="2448000" cy="198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Past</w:t>
                              </w:r>
                            </w:p>
                          </w:txbxContent>
                        </wps:txbx>
                        <wps:bodyPr rot="0" vert="horz" wrap="square" lIns="36000" tIns="18000" rIns="36000" bIns="18000" anchor="ctr" anchorCtr="0">
                          <a:noAutofit/>
                        </wps:bodyPr>
                      </wps:wsp>
                      <wps:wsp>
                        <wps:cNvPr id="36" name="Shape 36"/>
                        <wps:cNvSpPr/>
                        <wps:spPr>
                          <a:xfrm>
                            <a:off x="900000" y="576000"/>
                            <a:ext cx="2448000" cy="882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FFFFFF"/>
                                  <w:sz w:val="22"/>
                                  <w:szCs w:val="22"/>
                                </w:rPr>
                                <w:t xml:space="preserve">A</w:t>
                              </w:r>
                            </w:p>
                            <w:p>
                              <w:pPr>
                                <w:spacing w:before="0" w:after="0" w:line="228" w:lineRule="auto"/>
                                <w:jc w:val="center"/>
                                <w:ind w:firstLine="0"/>
                              </w:pPr>
                              <w:r>
                                <w:rPr>
                                  <w:rFonts w:ascii="Times New Roman" w:hAnsi="Times New Roman" w:cs="Times New Roman"/>
                                  <w:color w:val="FFFFFF"/>
                                  <w:sz w:val="22"/>
                                  <w:szCs w:val="22"/>
                                </w:rPr>
                                <w:t xml:space="preserve">Tekshiruv davri:</w:t>
                              </w:r>
                            </w:p>
                            <w:p>
                              <w:pPr>
                                <w:spacing w:before="0" w:after="0" w:line="228" w:lineRule="auto"/>
                                <w:jc w:val="center"/>
                                <w:ind w:firstLine="0"/>
                              </w:pPr>
                              <w:r>
                                <w:rPr>
                                  <w:rFonts w:ascii="Times New Roman" w:hAnsi="Times New Roman" w:cs="Times New Roman"/>
                                  <w:color w:val="FFFFFF"/>
                                  <w:sz w:val="22"/>
                                  <w:szCs w:val="22"/>
                                </w:rPr>
                                <w:t xml:space="preserve">18–24 oy</w:t>
                              </w:r>
                            </w:p>
                          </w:txbxContent>
                        </wps:txbx>
                        <wps:bodyPr rot="0" vert="horz" wrap="square" lIns="36000" tIns="18000" rIns="36000" bIns="18000" anchor="ctr" anchorCtr="0">
                          <a:noAutofit/>
                        </wps:bodyPr>
                      </wps:wsp>
                      <wps:wsp>
                        <wps:cNvPr id="37" name="Shape 37"/>
                        <wps:cNvSpPr/>
                        <wps:spPr>
                          <a:xfrm>
                            <a:off x="3384000" y="576000"/>
                            <a:ext cx="2448000" cy="882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B</w:t>
                              </w:r>
                            </w:p>
                            <w:p>
                              <w:pPr>
                                <w:spacing w:before="0" w:after="0" w:line="228" w:lineRule="auto"/>
                                <w:jc w:val="center"/>
                                <w:ind w:firstLine="0"/>
                              </w:pPr>
                              <w:r>
                                <w:rPr>
                                  <w:rFonts w:ascii="Times New Roman" w:hAnsi="Times New Roman" w:cs="Times New Roman"/>
                                  <w:color w:val="000000"/>
                                  <w:sz w:val="22"/>
                                  <w:szCs w:val="22"/>
                                </w:rPr>
                                <w:t xml:space="preserve">Tekshiruv davri:</w:t>
                              </w:r>
                            </w:p>
                            <w:p>
                              <w:pPr>
                                <w:spacing w:before="0" w:after="0" w:line="228" w:lineRule="auto"/>
                                <w:jc w:val="center"/>
                                <w:ind w:firstLine="0"/>
                              </w:pPr>
                              <w:r>
                                <w:rPr>
                                  <w:rFonts w:ascii="Times New Roman" w:hAnsi="Times New Roman" w:cs="Times New Roman"/>
                                  <w:color w:val="000000"/>
                                  <w:sz w:val="22"/>
                                  <w:szCs w:val="22"/>
                                </w:rPr>
                                <w:t xml:space="preserve">12–18 oy</w:t>
                              </w:r>
                            </w:p>
                          </w:txbxContent>
                        </wps:txbx>
                        <wps:bodyPr rot="0" vert="horz" wrap="square" lIns="36000" tIns="18000" rIns="36000" bIns="18000" anchor="ctr" anchorCtr="0">
                          <a:noAutofit/>
                        </wps:bodyPr>
                      </wps:wsp>
                      <wps:wsp>
                        <wps:cNvPr id="38" name="Shape 38"/>
                        <wps:cNvSpPr/>
                        <wps:spPr>
                          <a:xfrm>
                            <a:off x="36000" y="576000"/>
                            <a:ext cx="828000" cy="882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19"/>
                                  <w:szCs w:val="19"/>
                                </w:rPr>
                                <w:t xml:space="preserve">Past</w:t>
                              </w:r>
                            </w:p>
                          </w:txbxContent>
                        </wps:txbx>
                        <wps:bodyPr rot="0" vert="horz" wrap="square" lIns="36000" tIns="18000" rIns="36000" bIns="18000" anchor="ctr" anchorCtr="0">
                          <a:noAutofit/>
                        </wps:bodyPr>
                      </wps:wsp>
                      <wps:wsp>
                        <wps:cNvPr id="39" name="Shape 39"/>
                        <wps:cNvSpPr/>
                        <wps:spPr>
                          <a:xfrm>
                            <a:off x="900000" y="1494000"/>
                            <a:ext cx="2448000" cy="882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22"/>
                                  <w:szCs w:val="22"/>
                                </w:rPr>
                                <w:t xml:space="preserve">C</w:t>
                              </w:r>
                            </w:p>
                            <w:p>
                              <w:pPr>
                                <w:spacing w:before="0" w:after="0" w:line="228" w:lineRule="auto"/>
                                <w:jc w:val="center"/>
                                <w:ind w:firstLine="0"/>
                              </w:pPr>
                              <w:r>
                                <w:rPr>
                                  <w:rFonts w:ascii="Times New Roman" w:hAnsi="Times New Roman" w:cs="Times New Roman"/>
                                  <w:color w:val="000000"/>
                                  <w:sz w:val="22"/>
                                  <w:szCs w:val="22"/>
                                </w:rPr>
                                <w:t xml:space="preserve">Tekshiruv davri:</w:t>
                              </w:r>
                            </w:p>
                            <w:p>
                              <w:pPr>
                                <w:spacing w:before="0" w:after="0" w:line="228" w:lineRule="auto"/>
                                <w:jc w:val="center"/>
                                <w:ind w:firstLine="0"/>
                              </w:pPr>
                              <w:r>
                                <w:rPr>
                                  <w:rFonts w:ascii="Times New Roman" w:hAnsi="Times New Roman" w:cs="Times New Roman"/>
                                  <w:color w:val="000000"/>
                                  <w:sz w:val="22"/>
                                  <w:szCs w:val="22"/>
                                </w:rPr>
                                <w:t xml:space="preserve">6–12 oy</w:t>
                              </w:r>
                            </w:p>
                          </w:txbxContent>
                        </wps:txbx>
                        <wps:bodyPr rot="0" vert="horz" wrap="square" lIns="36000" tIns="18000" rIns="36000" bIns="18000" anchor="ctr" anchorCtr="0">
                          <a:noAutofit/>
                        </wps:bodyPr>
                      </wps:wsp>
                      <wps:wsp>
                        <wps:cNvPr id="40" name="Shape 40"/>
                        <wps:cNvSpPr/>
                        <wps:spPr>
                          <a:xfrm>
                            <a:off x="3384000" y="1494000"/>
                            <a:ext cx="2448000" cy="882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FFFFFF"/>
                                  <w:sz w:val="22"/>
                                  <w:szCs w:val="22"/>
                                </w:rPr>
                                <w:t xml:space="preserve">D</w:t>
                              </w:r>
                            </w:p>
                            <w:p>
                              <w:pPr>
                                <w:spacing w:before="0" w:after="0" w:line="228" w:lineRule="auto"/>
                                <w:jc w:val="center"/>
                                <w:ind w:firstLine="0"/>
                              </w:pPr>
                              <w:r>
                                <w:rPr>
                                  <w:rFonts w:ascii="Times New Roman" w:hAnsi="Times New Roman" w:cs="Times New Roman"/>
                                  <w:color w:val="FFFFFF"/>
                                  <w:sz w:val="22"/>
                                  <w:szCs w:val="22"/>
                                </w:rPr>
                                <w:t xml:space="preserve">Tekshiruv davri:</w:t>
                              </w:r>
                            </w:p>
                            <w:p>
                              <w:pPr>
                                <w:spacing w:before="0" w:after="0" w:line="228" w:lineRule="auto"/>
                                <w:jc w:val="center"/>
                                <w:ind w:firstLine="0"/>
                              </w:pPr>
                              <w:r>
                                <w:rPr>
                                  <w:rFonts w:ascii="Times New Roman" w:hAnsi="Times New Roman" w:cs="Times New Roman"/>
                                  <w:color w:val="FFFFFF"/>
                                  <w:sz w:val="22"/>
                                  <w:szCs w:val="22"/>
                                </w:rPr>
                                <w:t xml:space="preserve">taxminan 1 yil va</w:t>
                              </w:r>
                            </w:p>
                            <w:p>
                              <w:pPr>
                                <w:spacing w:before="0" w:after="0" w:line="228" w:lineRule="auto"/>
                                <w:jc w:val="center"/>
                                <w:ind w:firstLine="0"/>
                              </w:pPr>
                              <w:r>
                                <w:rPr>
                                  <w:rFonts w:ascii="Times New Roman" w:hAnsi="Times New Roman" w:cs="Times New Roman"/>
                                  <w:color w:val="FFFFFF"/>
                                  <w:sz w:val="22"/>
                                  <w:szCs w:val="22"/>
                                </w:rPr>
                                <w:t xml:space="preserve">qo‘shimcha choralar</w:t>
                              </w:r>
                            </w:p>
                          </w:txbxContent>
                        </wps:txbx>
                        <wps:bodyPr rot="0" vert="horz" wrap="square" lIns="36000" tIns="18000" rIns="36000" bIns="18000" anchor="ctr" anchorCtr="0">
                          <a:noAutofit/>
                        </wps:bodyPr>
                      </wps:wsp>
                      <wps:wsp>
                        <wps:cNvPr id="41" name="Shape 41"/>
                        <wps:cNvSpPr/>
                        <wps:spPr>
                          <a:xfrm>
                            <a:off x="36000" y="1494000"/>
                            <a:ext cx="828000" cy="882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19"/>
                                  <w:szCs w:val="19"/>
                                </w:rPr>
                                <w:t xml:space="preserve">Yuqori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1.3.4-rasm. Angliya bankining BAITE tizimida risk va nazorat matritsasi</w:t>
      </w:r>
      <w:r>
        <w:rPr>
          <w:rStyle w:val="FootnoteReference"/>
        </w:rPr>
        <w:footnoteReference w:id="187"/>
      </w:r>
    </w:p>
    <w:p>
      <w:pPr>
        <w:pStyle w:val="BodyText"/>
        <w:spacing w:line="360" w:lineRule="auto" w:before="0" w:after="0"/>
        <w:ind w:firstLine="709"/>
        <w:jc w:val="both"/>
      </w:pPr>
      <w:r>
        <w:rPr>
          <w:rFonts w:ascii="Times New Roman" w:hAnsi="Times New Roman" w:cs="Times New Roman" w:eastAsia="Times New Roman"/>
          <w:sz w:val="28"/>
        </w:rPr>
        <w:t xml:space="preserve">Matritsadan ko‘rinadiki, riski past va ichki nazorati kuchli bank keyingi tekshiruvgacha 18–24 oy kutishi mumkin, riski yuqori va nazorati zaif bank esa deyarli har yili tekshiriladi. Bu yondashuvning afzalligi cheklangan nazorat resurslarini eng riskli banklarga yo‘naltirishdadir. Boshqacha aytganda, baholash natijasi shunchaki reyting bo‘lib qolmaydi, balki aniq nazorat qaroriga, ya’ni keyingi tekshiruv qachon o‘tkazilishiga aylanadi.</w:t>
      </w:r>
    </w:p>
    <w:p>
      <w:pPr>
        <w:pStyle w:val="BodyText"/>
        <w:spacing w:line="360" w:lineRule="auto" w:before="0" w:after="0"/>
        <w:ind w:firstLine="709"/>
        <w:jc w:val="both"/>
      </w:pPr>
      <w:r>
        <w:rPr>
          <w:rFonts w:ascii="Times New Roman" w:hAnsi="Times New Roman" w:cs="Times New Roman" w:eastAsia="Times New Roman"/>
          <w:sz w:val="28"/>
        </w:rPr>
        <w:t xml:space="preserve">Germaniyada esa boshqacha yo‘l tanlangan. Bu yerda qo‘llanadigan BAKIS tizimi koeffitsiyentli yondashuvning namunasi bo‘lib, 47 ta ko‘rsatkichni o‘z ichiga oladi: ulardan 19 tasi kredit riski, 16 tasi bozor riski, 2 tasi likvidlik, 10 tasi rentabellik bilan bog‘liq. Barcha ko‘rsatkichlar teng vaznda olinadi va bank ko‘rsatkichlari o‘xshash banklar guruhining o‘rtachasi bilan taqqoslanadi</w:t>
      </w:r>
      <w:r>
        <w:rPr>
          <w:rStyle w:val="FootnoteReference"/>
        </w:rPr>
        <w:footnoteReference w:id="188"/>
      </w:r>
      <w:r>
        <w:rPr>
          <w:rFonts w:ascii="Times New Roman" w:hAnsi="Times New Roman" w:cs="Times New Roman" w:eastAsia="Times New Roman"/>
          <w:sz w:val="28"/>
        </w:rPr>
        <w:t xml:space="preserve">. Teng vaznlar baholovchining sub’ektiv qarashini kamaytirsa, guruh o‘rtachasi bilan taqqoslash bankning tizimdagi nisbiy o‘rnini aniqlash imkonini beradi. Ammo ko‘rsatkichlar tarkibiga e’tibor qaratilsa, ularning qariyb yarmi kredit riskiga tegishli ekani ko‘rinadi, bu esa yig‘ma bahoda kredit riskining ortiqcha og‘irlik kasb etishiga olib keladi.</w:t>
      </w:r>
    </w:p>
    <w:p>
      <w:pPr>
        <w:pStyle w:val="BodyText"/>
        <w:spacing w:line="360" w:lineRule="auto" w:before="0" w:after="0"/>
        <w:ind w:firstLine="709"/>
        <w:jc w:val="both"/>
      </w:pPr>
      <w:r>
        <w:rPr>
          <w:rFonts w:ascii="Times New Roman" w:hAnsi="Times New Roman" w:cs="Times New Roman" w:eastAsia="Times New Roman"/>
          <w:sz w:val="28"/>
        </w:rPr>
        <w:t xml:space="preserve">Fransiya tajribasi reyting va ekspert tizimlarini uyg‘unlashtirishga asoslangan. ORAP reyting tizimi bilan birga qo‘llanadigan SAABA ekspert tizimi 25 ta ma’lumotlar bazasidan foydalanadi va kapital yetarliligi 8 foizdan yuqori bo‘lgan bankni keyingi uch yilda to‘lovga qodir deb hisoblaydi</w:t>
      </w:r>
      <w:r>
        <w:rPr>
          <w:rStyle w:val="FootnoteReference"/>
        </w:rPr>
        <w:footnoteReference w:id="189"/>
      </w:r>
      <w:r>
        <w:rPr>
          <w:rFonts w:ascii="Times New Roman" w:hAnsi="Times New Roman" w:cs="Times New Roman" w:eastAsia="Times New Roman"/>
          <w:sz w:val="28"/>
        </w:rPr>
        <w:t xml:space="preserve">. Italiyada esa 1993-yildan PATROL tizimi masofaviy nazorat va reyting baholash uchun ishlatiladi</w:t>
      </w:r>
      <w:r>
        <w:rPr>
          <w:rStyle w:val="FootnoteReference"/>
        </w:rPr>
        <w:footnoteReference w:id="190"/>
      </w:r>
      <w:r>
        <w:rPr>
          <w:rFonts w:ascii="Times New Roman" w:hAnsi="Times New Roman" w:cs="Times New Roman" w:eastAsia="Times New Roman"/>
          <w:sz w:val="28"/>
        </w:rPr>
        <w:t xml:space="preserve">. Italiya tajribasi Bazel III talablarini bajarishdagi amaliy qiyinchiliklarni ham ochib berdi. F. Tutino va hammualliflar 2011-yilda birinchi darajali kapitali 11 foizdan past bo‘lgan 10 ta Italiya bank guruhini tadqiq qilib, bu darajani faqat foyda hisobiga barqaror ushlab turish uchun aktivlar rentabelligi o‘rtacha 1,28 foiz bo‘lishi kerakligini aniqlagan</w:t>
      </w:r>
      <w:r>
        <w:rPr>
          <w:rStyle w:val="FootnoteReference"/>
        </w:rPr>
        <w:footnoteReference w:id="191"/>
      </w:r>
      <w:r>
        <w:rPr>
          <w:rFonts w:ascii="Times New Roman" w:hAnsi="Times New Roman" w:cs="Times New Roman" w:eastAsia="Times New Roman"/>
          <w:sz w:val="28"/>
        </w:rPr>
        <w:t xml:space="preserve">. Holbuki, bunday rentabellikka qisqa muddatda erishib bo‘lmaydi. Demak, kapital talablarini oshirishda bankning foyda olish salohiyati ham hisobga olinishi zarur.</w:t>
      </w:r>
    </w:p>
    <w:p>
      <w:pPr>
        <w:pStyle w:val="BodyText"/>
        <w:spacing w:line="360" w:lineRule="auto" w:before="0" w:after="0"/>
        <w:ind w:firstLine="709"/>
        <w:jc w:val="both"/>
      </w:pPr>
      <w:r>
        <w:rPr>
          <w:rFonts w:ascii="Times New Roman" w:hAnsi="Times New Roman" w:cs="Times New Roman" w:eastAsia="Times New Roman"/>
          <w:sz w:val="28"/>
        </w:rPr>
        <w:t xml:space="preserve">Yuqorida ko‘rib chiqilgan milliy tizimlar asosan alohida bank darajasida ishlaydi. 2007–2009-yillardagi inqiroz esa alohida banklar barqaror ko‘ringan holda ham butun tizim inqirozga uchrashi mumkinligini ko‘rsatdi. Shundan so‘ng Yevropa Ittifoqida bank nazorati ikki darajali tizimga aylantirildi. Mikroprudensial nazoratni milliy organlar va Yagona nazorat mexanizmi, makroprudensial nazoratni esa Yevropa tizimli risklar kengashi amalga oshiradi; Yevropa bank boshqarmasi yagona qoidalar va ma’lumotlar bazasini ta’minlaydi</w:t>
      </w:r>
      <w:r>
        <w:rPr>
          <w:rStyle w:val="FootnoteReference"/>
        </w:rPr>
        <w:footnoteReference w:id="19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Nazoratning bu ikki darajasi o‘rtasidagi farqni E. Gualandri va M. Noera C. Borio yondashuviga tayangan holda tizimlashtirgan. Ularning fikricha, mikroprudensial nazorat alohida institut va omonatchini himoya qilishni maqsad qiladi, riskni tashqi (ekzogen) deb qaraydi, banklar o‘rtasidagi korrelyatsiyani hisobga olmaydi va «pastdan yuqoriga» kalibrlanadi. Makroprudensial nazorat esa butun tizim inqirozini cheklashni maqsad qiladi, riskni ichki (endogen) deb qaraydi, banklar o‘rtasidagi korrelyatsiyani muhim deb biladi va «yuqoridan pastga» kalibrlanadi</w:t>
      </w:r>
      <w:r>
        <w:rPr>
          <w:rStyle w:val="FootnoteReference"/>
        </w:rPr>
        <w:footnoteReference w:id="193"/>
      </w:r>
      <w:r>
        <w:rPr>
          <w:rFonts w:ascii="Times New Roman" w:hAnsi="Times New Roman" w:cs="Times New Roman" w:eastAsia="Times New Roman"/>
          <w:sz w:val="28"/>
        </w:rPr>
        <w:t xml:space="preserve">. Iqtisodiy tanazzul davrida ular o‘rtasidagi ziddiyat kuchayadi: makroprudensial siyosat kreditlashni qo‘llab-quvvatlash uchun buferlarni bo‘shatishni talab qilsa, mikroprudensial nazorat alohida bank barqarorligi uchun ularni saqlab qolishga intiladi.</w:t>
      </w:r>
    </w:p>
    <w:p>
      <w:pPr>
        <w:pStyle w:val="BodyText"/>
        <w:spacing w:line="360" w:lineRule="auto" w:before="0" w:after="0"/>
        <w:ind w:firstLine="709"/>
        <w:jc w:val="both"/>
      </w:pPr>
      <w:r>
        <w:rPr>
          <w:rFonts w:ascii="Times New Roman" w:hAnsi="Times New Roman" w:cs="Times New Roman" w:eastAsia="Times New Roman"/>
          <w:sz w:val="28"/>
        </w:rPr>
        <w:t xml:space="preserve">Ikki darajani bog‘lashda yagona ma’lumotlar bazasi muhim rol o‘ynaydi. Yevropa bank boshqarmasi 2009-yildan buyon Yevropa iqtisodiy hududining 20 ta mamlakatidagi 57 ta yirik bankdan har chorakda 53 ta asosiy risk indikatorini yig‘ib keladi. Bu banklar har bir milliy bank sektori aktivlarining kamida 50 foizini qamrab oladi</w:t>
      </w:r>
      <w:r>
        <w:rPr>
          <w:rStyle w:val="FootnoteReference"/>
        </w:rPr>
        <w:footnoteReference w:id="194"/>
      </w:r>
      <w:r>
        <w:rPr>
          <w:rFonts w:ascii="Times New Roman" w:hAnsi="Times New Roman" w:cs="Times New Roman" w:eastAsia="Times New Roman"/>
          <w:sz w:val="28"/>
        </w:rPr>
        <w:t xml:space="preserve">. Indikatorlar to‘rt blokka – kapital yetarliligi, aktivlar sifati, rentabellik va balans tuzilmasiga ajratilgan bo‘lib, ular asosida 11 ta risk omilini aks ettiruvchi «risklar paneli» shakllantiriladi</w:t>
      </w:r>
      <w:r>
        <w:rPr>
          <w:rStyle w:val="FootnoteReference"/>
        </w:rPr>
        <w:footnoteReference w:id="195"/>
      </w:r>
      <w:r>
        <w:rPr>
          <w:rFonts w:ascii="Times New Roman" w:hAnsi="Times New Roman" w:cs="Times New Roman" w:eastAsia="Times New Roman"/>
          <w:sz w:val="28"/>
        </w:rPr>
        <w:t xml:space="preserve">. Shunday qilib, Yevropa Ittifoqida baholash natijalari nazorat organining ichki hujjati bo‘lib qolmasdan, bozor ishtirokchilari foydalanishi mumkin bo‘lgan ochiq axborotga aylangan.</w:t>
      </w:r>
    </w:p>
    <w:p>
      <w:pPr>
        <w:pStyle w:val="BodyText"/>
        <w:spacing w:line="360" w:lineRule="auto" w:before="0" w:after="0"/>
        <w:ind w:firstLine="709"/>
        <w:jc w:val="both"/>
      </w:pPr>
      <w:r>
        <w:rPr>
          <w:rFonts w:ascii="Times New Roman" w:hAnsi="Times New Roman" w:cs="Times New Roman" w:eastAsia="Times New Roman"/>
          <w:sz w:val="28"/>
        </w:rPr>
        <w:t xml:space="preserve">Makroprudensial darajada esa Yevropa tizimli risklar kengashi beshta oraliq maqsadni belgilagan: kredit o‘sishi va leverejni cheklash; muddatlar nomutanosibligi va bozor nolikvidligini cheklash; ekspozitsiyalar konsentratsiyasini cheklash; noto‘g‘ri rag‘batlar va «qulashiga yo‘l qo‘yib bo‘lmaydigan darajada yirik» banklar muammosini yumshatish; moliyaviy infratuzilma barqarorligini oshirish. Dastlab taklif etilgan 45 ta vosita keyinchalik 15 taga qisqartirilgan bo‘lib, ular orasida kontrsiklik bufer, leverej, LTV, LTI, LTD, LCR, NSFR va tizimli banklar uchun qo‘shimcha kapital talablari bor</w:t>
      </w:r>
      <w:r>
        <w:rPr>
          <w:rStyle w:val="FootnoteReference"/>
        </w:rPr>
        <w:footnoteReference w:id="196"/>
      </w:r>
      <w:r>
        <w:rPr>
          <w:rFonts w:ascii="Times New Roman" w:hAnsi="Times New Roman" w:cs="Times New Roman" w:eastAsia="Times New Roman"/>
          <w:sz w:val="28"/>
        </w:rPr>
        <w:t xml:space="preserve">. Mualliflar eng maqbul yondashuv sifatida qat’iy bazaviy qoidani va unga qo‘shiladigan, vaziyatga qarab o‘zgartiriladigan diskretsion vositalarni ko‘rsatadi</w:t>
      </w:r>
      <w:r>
        <w:rPr>
          <w:rStyle w:val="FootnoteReference"/>
        </w:rPr>
        <w:footnoteReference w:id="19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Yevropa Ittifoqida Bazel III ning yakuniy standartlarini joriy etish ham so‘nggi yillarda nihoyasiga yetmoqda. 2025-yil 1-yanvardan kapital talablari bo‘yicha yangi reglament (CRR3) amalga kirdi; unda ichki modellar asosida hisoblangan kapital standart yondashuvdagi darajaning 72,5 foizidan past bo‘lmasligini talab qiluvchi «quyi chegara» bosqichma-bosqich joriy etiladi, bozor riski bo‘yicha yangi talablar esa 2027-yilgacha kechiktirildi</w:t>
      </w:r>
      <w:r>
        <w:rPr>
          <w:rStyle w:val="FootnoteReference"/>
        </w:rPr>
        <w:footnoteReference w:id="198"/>
      </w:r>
      <w:r>
        <w:rPr>
          <w:rFonts w:ascii="Times New Roman" w:hAnsi="Times New Roman" w:cs="Times New Roman" w:eastAsia="Times New Roman"/>
          <w:sz w:val="28"/>
        </w:rPr>
        <w:t xml:space="preserve">. Buyuk Britaniyada bu standartlar 2027-yil 1-yanvardan kuchga kiradi</w:t>
      </w:r>
      <w:r>
        <w:rPr>
          <w:rStyle w:val="FootnoteReference"/>
        </w:rPr>
        <w:footnoteReference w:id="199"/>
      </w:r>
      <w:r>
        <w:rPr>
          <w:rFonts w:ascii="Times New Roman" w:hAnsi="Times New Roman" w:cs="Times New Roman" w:eastAsia="Times New Roman"/>
          <w:sz w:val="28"/>
        </w:rPr>
        <w:t xml:space="preserve">. Nazorat stress-testlari ham muntazam davom etmoqda: Yevropa bank boshqarmasining 2025-yilgi stress-testi 17 mamlakatdagi 64 ta bankni, ya’ni Ittifoq bank sektori aktivlarining 75 foizini qamrab oldi. Salbiy ssenariyda banklarning asosiy kapitali 370 bazis punktga kamayib, uch yil oxirida 12 foizni tashkil etishi aniqlandi</w:t>
      </w:r>
      <w:r>
        <w:rPr>
          <w:rStyle w:val="FootnoteReference"/>
        </w:rPr>
        <w:footnoteReference w:id="200"/>
      </w:r>
      <w:r>
        <w:rPr>
          <w:rFonts w:ascii="Times New Roman" w:hAnsi="Times New Roman" w:cs="Times New Roman" w:eastAsia="Times New Roman"/>
          <w:sz w:val="28"/>
        </w:rPr>
        <w:t xml:space="preserve">. Bu natijalar ham har bir bank kesimida ochiq e’lon qilinadi.</w:t>
      </w:r>
    </w:p>
    <w:p>
      <w:pPr>
        <w:pStyle w:val="BodyText"/>
        <w:spacing w:line="360" w:lineRule="auto" w:before="0" w:after="0"/>
        <w:ind w:firstLine="709"/>
        <w:jc w:val="both"/>
      </w:pPr>
      <w:r>
        <w:rPr>
          <w:rFonts w:ascii="Times New Roman" w:hAnsi="Times New Roman" w:cs="Times New Roman" w:eastAsia="Times New Roman"/>
          <w:sz w:val="28"/>
        </w:rPr>
        <w:t xml:space="preserve">G‘arb mamlakatlari tajribasi ilg‘or bo‘lsa-da, uni to‘g‘ridan-to‘g‘ri ko‘chirib bo‘lmaydi, chunki bu mamlakatlarning moliya bozorlari va ma’lumotlar bazasi O‘zbekistondagidan ancha rivojlangan. Shu nuqtai nazardan Rossiya tajribasi O‘zbekiston uchun alohida ahamiyatga ega. Ikkala mamlakat bank tizimlari umumiy tarixiy asosdan o‘sib chiqqan, buxgalteriya hisobi va nazorat an’analari o‘xshash, Bazel standartlarini joriy etishda ham yaqin muammolarga duch kelgan. Rossiya bankining baholash tizimi qariyb chorak asr davomida bir necha bosqichda rivojlangan (1.3.2-jadval).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Rossiya bankining banklar moliyaviy barqarorligini baholash tizimi evolyutsiyasi</w:t>
      </w:r>
      <w:r>
        <w:rPr>
          <w:rStyle w:val="FootnoteReference"/>
        </w:rPr>
        <w:footnoteReference w:id="201"/>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Yil</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Hujjat</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Mazmuni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1995</w:t>
            </w:r>
          </w:p>
        </w:tc>
        <w:tc>
          <w:tcPr/>
          <w:p>
            <w:pPr>
              <w:pStyle w:val="Compact"/>
              <w:spacing w:line="240" w:lineRule="auto"/>
              <w:ind w:firstLine="0"/>
              <w:jc w:val="left"/>
            </w:pPr>
            <w:r>
              <w:rPr>
                <w:rFonts w:ascii="Times New Roman" w:hAnsi="Times New Roman" w:cs="Times New Roman" w:eastAsia="Times New Roman"/>
                <w:sz w:val="22"/>
              </w:rPr>
              <w:t xml:space="preserve">15-3-3/668-son xat</w:t>
            </w:r>
          </w:p>
        </w:tc>
        <w:tc>
          <w:tcPr/>
          <w:p>
            <w:pPr>
              <w:pStyle w:val="Compact"/>
              <w:spacing w:line="240" w:lineRule="auto"/>
              <w:ind w:firstLine="0"/>
              <w:jc w:val="left"/>
            </w:pPr>
            <w:r>
              <w:rPr>
                <w:rFonts w:ascii="Times New Roman" w:hAnsi="Times New Roman" w:cs="Times New Roman" w:eastAsia="Times New Roman"/>
                <w:sz w:val="22"/>
              </w:rPr>
              <w:t xml:space="preserve">CAMEL ga asoslangan, 4 parametr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1997</w:t>
            </w:r>
          </w:p>
        </w:tc>
        <w:tc>
          <w:tcPr/>
          <w:p>
            <w:pPr>
              <w:pStyle w:val="Compact"/>
              <w:spacing w:line="240" w:lineRule="auto"/>
              <w:ind w:firstLine="0"/>
              <w:jc w:val="left"/>
            </w:pPr>
            <w:r>
              <w:rPr>
                <w:rFonts w:ascii="Times New Roman" w:hAnsi="Times New Roman" w:cs="Times New Roman" w:eastAsia="Times New Roman"/>
                <w:sz w:val="22"/>
              </w:rPr>
              <w:t xml:space="preserve">457-son xat</w:t>
            </w:r>
          </w:p>
        </w:tc>
        <w:tc>
          <w:tcPr/>
          <w:p>
            <w:pPr>
              <w:pStyle w:val="Compact"/>
              <w:spacing w:line="240" w:lineRule="auto"/>
              <w:ind w:firstLine="0"/>
              <w:jc w:val="left"/>
            </w:pPr>
            <w:r>
              <w:rPr>
                <w:rFonts w:ascii="Times New Roman" w:hAnsi="Times New Roman" w:cs="Times New Roman" w:eastAsia="Times New Roman"/>
                <w:sz w:val="22"/>
              </w:rPr>
              <w:t xml:space="preserve">Ikki toifa va ikki guruh; 2601 bankdan 852 tasi (32,8%) barqaror, 1052 tasi (40,4%) muammoli deb topilgan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2000</w:t>
            </w:r>
          </w:p>
        </w:tc>
        <w:tc>
          <w:tcPr/>
          <w:p>
            <w:pPr>
              <w:pStyle w:val="Compact"/>
              <w:spacing w:line="240" w:lineRule="auto"/>
              <w:ind w:firstLine="0"/>
              <w:jc w:val="left"/>
            </w:pPr>
            <w:r>
              <w:rPr>
                <w:rFonts w:ascii="Times New Roman" w:hAnsi="Times New Roman" w:cs="Times New Roman" w:eastAsia="Times New Roman"/>
                <w:sz w:val="22"/>
              </w:rPr>
              <w:t xml:space="preserve">766-U ko‘rsatma</w:t>
            </w:r>
          </w:p>
        </w:tc>
        <w:tc>
          <w:tcPr/>
          <w:p>
            <w:pPr>
              <w:pStyle w:val="Compact"/>
              <w:spacing w:line="240" w:lineRule="auto"/>
              <w:ind w:firstLine="0"/>
              <w:jc w:val="left"/>
            </w:pPr>
            <w:r>
              <w:rPr>
                <w:rFonts w:ascii="Times New Roman" w:hAnsi="Times New Roman" w:cs="Times New Roman" w:eastAsia="Times New Roman"/>
                <w:sz w:val="22"/>
              </w:rPr>
              <w:t xml:space="preserve">Asoslangan mulohaza tamoyili joriy etildi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2004</w:t>
            </w:r>
          </w:p>
        </w:tc>
        <w:tc>
          <w:tcPr/>
          <w:p>
            <w:pPr>
              <w:pStyle w:val="Compact"/>
              <w:spacing w:line="240" w:lineRule="auto"/>
              <w:ind w:firstLine="0"/>
              <w:jc w:val="left"/>
            </w:pPr>
            <w:r>
              <w:rPr>
                <w:rFonts w:ascii="Times New Roman" w:hAnsi="Times New Roman" w:cs="Times New Roman" w:eastAsia="Times New Roman"/>
                <w:sz w:val="22"/>
              </w:rPr>
              <w:t xml:space="preserve">1379-U ko‘rsatma</w:t>
            </w:r>
          </w:p>
        </w:tc>
        <w:tc>
          <w:tcPr/>
          <w:p>
            <w:pPr>
              <w:pStyle w:val="Compact"/>
              <w:spacing w:line="240" w:lineRule="auto"/>
              <w:ind w:firstLine="0"/>
              <w:jc w:val="left"/>
            </w:pPr>
            <w:r>
              <w:rPr>
                <w:rFonts w:ascii="Times New Roman" w:hAnsi="Times New Roman" w:cs="Times New Roman" w:eastAsia="Times New Roman"/>
                <w:sz w:val="22"/>
              </w:rPr>
              <w:t xml:space="preserve">Omonatlarni sug‘urtalash tizimiga qabul qilish uchun: 4 ballik shkala, vaznlar, yig‘ma ball, boshqaruv sifati bloki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2008</w:t>
            </w:r>
          </w:p>
        </w:tc>
        <w:tc>
          <w:tcPr/>
          <w:p>
            <w:pPr>
              <w:pStyle w:val="Compact"/>
              <w:spacing w:line="240" w:lineRule="auto"/>
              <w:ind w:firstLine="0"/>
              <w:jc w:val="left"/>
            </w:pPr>
            <w:r>
              <w:rPr>
                <w:rFonts w:ascii="Times New Roman" w:hAnsi="Times New Roman" w:cs="Times New Roman" w:eastAsia="Times New Roman"/>
                <w:sz w:val="22"/>
              </w:rPr>
              <w:t xml:space="preserve">2005-U ko‘rsatma</w:t>
            </w:r>
          </w:p>
        </w:tc>
        <w:tc>
          <w:tcPr/>
          <w:p>
            <w:pPr>
              <w:pStyle w:val="Compact"/>
              <w:spacing w:line="240" w:lineRule="auto"/>
              <w:ind w:firstLine="0"/>
              <w:jc w:val="left"/>
            </w:pPr>
            <w:r>
              <w:rPr>
                <w:rFonts w:ascii="Times New Roman" w:hAnsi="Times New Roman" w:cs="Times New Roman" w:eastAsia="Times New Roman"/>
                <w:sz w:val="22"/>
              </w:rPr>
              <w:t xml:space="preserve">5 guruh; 12 oylik prognoz; strategik risk bloki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2017</w:t>
            </w:r>
          </w:p>
        </w:tc>
        <w:tc>
          <w:tcPr/>
          <w:p>
            <w:pPr>
              <w:pStyle w:val="Compact"/>
              <w:spacing w:line="240" w:lineRule="auto"/>
              <w:ind w:firstLine="0"/>
              <w:jc w:val="left"/>
            </w:pPr>
            <w:r>
              <w:rPr>
                <w:rFonts w:ascii="Times New Roman" w:hAnsi="Times New Roman" w:cs="Times New Roman" w:eastAsia="Times New Roman"/>
                <w:sz w:val="22"/>
              </w:rPr>
              <w:t xml:space="preserve">4336-U ko‘rsatma</w:t>
            </w:r>
          </w:p>
        </w:tc>
        <w:tc>
          <w:tcPr/>
          <w:p>
            <w:pPr>
              <w:pStyle w:val="Compact"/>
              <w:spacing w:line="240" w:lineRule="auto"/>
              <w:ind w:firstLine="0"/>
              <w:jc w:val="left"/>
            </w:pPr>
            <w:r>
              <w:rPr>
                <w:rFonts w:ascii="Times New Roman" w:hAnsi="Times New Roman" w:cs="Times New Roman" w:eastAsia="Times New Roman"/>
                <w:sz w:val="22"/>
              </w:rPr>
              <w:t xml:space="preserve">Amaldagi tizim; guruhlarga qarab tabaqalashtirilgan nazorat rejimlari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2025</w:t>
            </w:r>
          </w:p>
        </w:tc>
        <w:tc>
          <w:tcPr/>
          <w:p>
            <w:pPr>
              <w:pStyle w:val="Compact"/>
              <w:spacing w:line="240" w:lineRule="auto"/>
              <w:ind w:firstLine="0"/>
              <w:jc w:val="left"/>
            </w:pPr>
            <w:r>
              <w:rPr>
                <w:rFonts w:ascii="Times New Roman" w:hAnsi="Times New Roman" w:cs="Times New Roman" w:eastAsia="Times New Roman"/>
                <w:sz w:val="22"/>
              </w:rPr>
              <w:t xml:space="preserve">Milliy qisqa muddatli likvidlik normativi</w:t>
            </w:r>
          </w:p>
        </w:tc>
        <w:tc>
          <w:tcPr/>
          <w:p>
            <w:pPr>
              <w:pStyle w:val="Compact"/>
              <w:spacing w:line="240" w:lineRule="auto"/>
              <w:ind w:firstLine="0"/>
              <w:jc w:val="left"/>
            </w:pPr>
            <w:r>
              <w:rPr>
                <w:rFonts w:ascii="Times New Roman" w:hAnsi="Times New Roman" w:cs="Times New Roman" w:eastAsia="Times New Roman"/>
                <w:sz w:val="22"/>
              </w:rPr>
              <w:t xml:space="preserve">Bazel LCR o‘rniga tizimli banklar uchun milliy normativ; real stress darajasi va kengroq likvid aktivlar</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2026</w:t>
            </w:r>
          </w:p>
        </w:tc>
        <w:tc>
          <w:tcPr/>
          <w:p>
            <w:pPr>
              <w:pStyle w:val="Compact"/>
              <w:spacing w:line="240" w:lineRule="auto"/>
              <w:ind w:firstLine="0"/>
              <w:jc w:val="left"/>
            </w:pPr>
            <w:r>
              <w:rPr>
                <w:rFonts w:ascii="Times New Roman" w:hAnsi="Times New Roman" w:cs="Times New Roman" w:eastAsia="Times New Roman"/>
                <w:sz w:val="22"/>
              </w:rPr>
              <w:t xml:space="preserve">7302-U ko‘rsatma</w:t>
            </w:r>
          </w:p>
        </w:tc>
        <w:tc>
          <w:tcPr/>
          <w:p>
            <w:pPr>
              <w:pStyle w:val="Compact"/>
              <w:spacing w:line="240" w:lineRule="auto"/>
              <w:ind w:firstLine="0"/>
              <w:jc w:val="left"/>
            </w:pPr>
            <w:r>
              <w:rPr>
                <w:rFonts w:ascii="Times New Roman" w:hAnsi="Times New Roman" w:cs="Times New Roman" w:eastAsia="Times New Roman"/>
                <w:sz w:val="22"/>
              </w:rPr>
              <w:t xml:space="preserve">4336-U ko‘rsatmaga o‘zgartirishlar, jumladan, ochiq valyuta pozitsiyasi limitlarini buzish bahosi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Rossiya tizimi dastlab AQShning CAMEL tizimidan andoza olib, keyinchalik uni o‘z ehtiyojlariga moslashtirgan. Ayniqsa, 2004-yildagi 1379-U ko‘rsatma burilish nuqtasi bo‘ldi: omonatlarni sug‘urtalash tizimiga qabul qilish uchun banklarni ochiq mezonlar asosida saralash zarurati ballik shkala, vaznlar va yig‘ma ballning paydo bo‘lishiga olib keldi. 1997-yilgi baholash natijalari esa o‘sha davrdagi vaziyat qanchalik og‘ir bo‘lganini ko‘rsatadi: banklarning 40 foizdan ortig‘i muammoli deb topilgan.</w:t>
      </w:r>
    </w:p>
    <w:p>
      <w:pPr>
        <w:pStyle w:val="BodyText"/>
        <w:spacing w:line="360" w:lineRule="auto" w:before="0" w:after="0"/>
        <w:ind w:firstLine="709"/>
        <w:jc w:val="both"/>
      </w:pPr>
      <w:r>
        <w:rPr>
          <w:rFonts w:ascii="Times New Roman" w:hAnsi="Times New Roman" w:cs="Times New Roman" w:eastAsia="Times New Roman"/>
          <w:sz w:val="28"/>
        </w:rPr>
        <w:t xml:space="preserve">2005-U ko‘rsatmaga asoslangan tizimda kapital, aktivlar, daromadlilik, likvidlik va boshqaruv sifati guruhlari bo‘yicha ko‘rsatkichlar 1–4 ballik shkalada baholanadi va har biriga vazn beriladi. Masalan, N1 kapital yetarliligi normativi bo‘yicha 1 ball olish uchun kamida 14 foiz talab qilinadi, uning vazni esa 3 ga teng</w:t>
      </w:r>
      <w:r>
        <w:rPr>
          <w:rStyle w:val="FootnoteReference"/>
        </w:rPr>
        <w:footnoteReference w:id="202"/>
      </w:r>
      <w:r>
        <w:rPr>
          <w:rFonts w:ascii="Times New Roman" w:hAnsi="Times New Roman" w:cs="Times New Roman" w:eastAsia="Times New Roman"/>
          <w:sz w:val="28"/>
        </w:rPr>
        <w:t xml:space="preserve">. Har bir guruhning integral bahosi 2,3 balldan oshmasa, bank holati «qoniqarli» deb hisoblanadi. Tizimning ochiqligi va hisob-kitoblarning shaffofligi uning afzalligi bo‘lsa-da, O.I. Lavrushin tahriridagi monografiya mualliflari uning kamchiliklari sifatida dinamikaning hisobga olinmasligi, prognozning yo‘qligi, baholashning kechikishi va sub’ektivlikni ko‘rsatadi</w:t>
      </w:r>
      <w:r>
        <w:rPr>
          <w:rStyle w:val="FootnoteReference"/>
        </w:rPr>
        <w:footnoteReference w:id="203"/>
      </w:r>
      <w:r>
        <w:rPr>
          <w:rFonts w:ascii="Times New Roman" w:hAnsi="Times New Roman" w:cs="Times New Roman" w:eastAsia="Times New Roman"/>
          <w:sz w:val="28"/>
        </w:rPr>
        <w:t xml:space="preserve">. Bundan tashqari, komponentlar bir-biri bilan bog‘lanmagan holda baholanadi, holbuki amalda kapital, likvidlik va aktivlar sifati o‘zaro chambarchas bog‘liq</w:t>
      </w:r>
      <w:r>
        <w:rPr>
          <w:rStyle w:val="FootnoteReference"/>
        </w:rPr>
        <w:footnoteReference w:id="20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Rossiya tajribasining yana bir ibratli jihati Bazel III ni joriy etish jarayoni bilan bog‘liq. Mamlakatda bu standartlar bosqichma-bosqich joriy etilib, ayrim muammolar shu jarayonda yuzaga chiqdi. Xususan, likvidlikni qoplash normativi faqat tizimli ahamiyatli 10 ta bank uchun 2016-yilda 70, 2017-yilda 80, 2018-yilda 90, 2019-yilda 100 foiz qilib belgilandi</w:t>
      </w:r>
      <w:r>
        <w:rPr>
          <w:rStyle w:val="FootnoteReference"/>
        </w:rPr>
        <w:footnoteReference w:id="205"/>
      </w:r>
      <w:r>
        <w:rPr>
          <w:rFonts w:ascii="Times New Roman" w:hAnsi="Times New Roman" w:cs="Times New Roman" w:eastAsia="Times New Roman"/>
          <w:sz w:val="28"/>
        </w:rPr>
        <w:t xml:space="preserve">. Bu jarayon 2019-yilda yakunlanmadi, balki keyingi yillarda ham davom etdi. Shu sababli islohotning boshlanishini ham, davomini ham Bazel qo‘mitasining standart jadvali va O‘zbekiston tajribasi bilan solishtirish maqsadga muvofiq (1.3.5-rasm).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7" name="1.3.5-rasm"/>
            <wp:cNvGraphicFramePr/>
            <a:graphic>
              <a:graphicData uri="http://schemas.openxmlformats.org/drawingml/2006/chart">
                <c:chart r:id="rId16"/>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1.3.5-rasm. Likvidlikni qoplash koeffitsiyentiga qo‘yiladigan talablar: islohotning boshlanishi va davomi, %</w:t>
      </w:r>
      <w:r>
        <w:rPr>
          <w:rStyle w:val="FootnoteReference"/>
        </w:rPr>
        <w:footnoteReference w:id="206"/>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Bazel qo‘mitasi ushbu koeffitsiyentni 2015-yilda 60 foizdan boshlab besh yilda to‘liq joriy etishni ko‘zda tutgan. Rossiya birinchi bosqichni o‘tkazib yuborib, 2016-yildan boshlab Bazel jadvaliga qo‘shilgan va 2019-yilda 100 foizga yetgan, biroq bu talabni faqat tizimli ahamiyatli banklarga nisbatan qo‘llagan. O‘zbekiston esa 80 foizdan boshlab, Bazel muddatidan bir yil oldin, ya’ni 2018-yildayoq 100 foizga yetgan. Rossiyaning ehtiyotkorligi asossiz emas edi. 2015-yil oktabrida tizimli ahamiyatli banklarda bu ko‘rsatkich atigi 59,9 foizni tashkil etgan, 100 foizga yetish uchun esa 2 trln rubllik Markaziy bank kredit liniyalari zarur bo‘lgan; yuqori sifatli likvid aktivlarning 19 toifasidan mahalliy bozorda faqat 4 tasi mavjud edi</w:t>
      </w:r>
      <w:r>
        <w:rPr>
          <w:rStyle w:val="FootnoteReference"/>
        </w:rPr>
        <w:footnoteReference w:id="207"/>
      </w:r>
      <w:r>
        <w:rPr>
          <w:rFonts w:ascii="Times New Roman" w:hAnsi="Times New Roman" w:cs="Times New Roman" w:eastAsia="Times New Roman"/>
          <w:sz w:val="28"/>
        </w:rPr>
        <w:t xml:space="preserve">. Bu holat xalqaro standartni joriy etishdan oldin milliy moliya bozorining unga tayyorligini baholash zarurligini yaqqol ko‘rsatadi.</w:t>
      </w:r>
    </w:p>
    <w:p>
      <w:pPr>
        <w:pStyle w:val="BodyText"/>
        <w:spacing w:line="360" w:lineRule="auto" w:before="0" w:after="0"/>
        <w:ind w:firstLine="709"/>
        <w:jc w:val="both"/>
      </w:pPr>
      <w:r>
        <w:rPr>
          <w:rFonts w:ascii="Times New Roman" w:hAnsi="Times New Roman" w:cs="Times New Roman" w:eastAsia="Times New Roman"/>
          <w:sz w:val="28"/>
        </w:rPr>
        <w:t xml:space="preserve">Islohotning keyingi bosqichi bu xulosani yana bir bor tasdiqladi. 2022-yil boshida sanksiyalar sharoitida Rossiya banki tizimli ahamiyatli banklarga ushbu normativni vaqtincha bajarmaslikka ruxsat berdi. Yengillikdan chiqish 2024-yil 1-martdan boshlandi: normativning 100 foizlik darajasi tiklangan bo‘lsa-da, banklar uning bir qismini Markaziy bankning qaytarib olinmaydigan kredit liniyalari hisobidan bajarishi mumkin edi. Banklarning o‘z mablag‘lari hisobidan ta’minlanishi lozim bo‘lgan qism esa 2024-yil martida 40 foiz, iyulida 50 foiz, 2025-yil iyulida 60 foiz, 2026-yil yanvarida 80 foiz qilib belgilandi</w:t>
      </w:r>
      <w:r>
        <w:rPr>
          <w:rStyle w:val="FootnoteReference"/>
        </w:rPr>
        <w:footnoteReference w:id="208"/>
      </w:r>
      <w:r>
        <w:rPr>
          <w:rFonts w:ascii="Times New Roman" w:hAnsi="Times New Roman" w:cs="Times New Roman" w:eastAsia="Times New Roman"/>
          <w:sz w:val="28"/>
        </w:rPr>
        <w:t xml:space="preserve">. Bundan tashqari, 2025-yil oktabr oyining oxiridan boshlab tizimli banklar uchun Bazel normativi o‘rniga milliy qisqa muddatli likvidlik normativi joriy etildi. U o‘rtacha tizimli yoki jiddiy individual inqirozga mos keladigan, ya’ni real stress darajasidan kelib chiqib hisoblanadi va mahalliy bozorda pul jalb qilish mumkin bo‘lgan aktivlarning kengroq doirasini hisobga oladi; uning minimal darajasi 2025-yilda 80 foiz, 2026-yil 1-yanvardan 100 foiz etib belgilandi</w:t>
      </w:r>
      <w:r>
        <w:rPr>
          <w:rStyle w:val="FootnoteReference"/>
        </w:rPr>
        <w:footnoteReference w:id="209"/>
      </w:r>
      <w:r>
        <w:rPr>
          <w:rFonts w:ascii="Times New Roman" w:hAnsi="Times New Roman" w:cs="Times New Roman" w:eastAsia="Times New Roman"/>
          <w:sz w:val="28"/>
        </w:rPr>
        <w:t xml:space="preserve">. Shunday qilib, Rossiya o‘n yillik tajribadan so‘ng xalqaro koeffitsiyentdan voz kechib, uning mantig‘ini saqlagan holda milliy bozorga moslashtirilgan normativga o‘tdi. O‘zbekistonda esa 2018-yildan buyon 100 foizlik talab o‘zgarishsiz amal qilmoqda, XVJ va Jahon bankining moliya sektorini baholash dasturi natijalari asosida qabul qilingan «yo‘l xaritasi»ga ko‘ra esa LCR va NSFR elementlarini Bazel III ga to‘liq moslashtirish va 2026-yil 1-yanvardan monitoring qilish ko‘zda tutilgan</w:t>
      </w:r>
      <w:r>
        <w:rPr>
          <w:rStyle w:val="FootnoteReference"/>
        </w:rPr>
        <w:footnoteReference w:id="210"/>
      </w:r>
      <w:r>
        <w:rPr>
          <w:rFonts w:ascii="Times New Roman" w:hAnsi="Times New Roman" w:cs="Times New Roman" w:eastAsia="Times New Roman"/>
          <w:sz w:val="28"/>
        </w:rPr>
        <w:t xml:space="preserve">. Bazel qo‘mitasi ham 2023-yilgi AQSh bank inqirozidan keyin raqamli kanallar orqali omonatlarning tez chiqib ketishi likvidlik koeffitsiyentining farazlarida to‘liq aks etmaganini qayd etib, bu standartni qayta ko‘rib chiqish masalasini kun tartibiga qo‘ydi</w:t>
      </w:r>
      <w:r>
        <w:rPr>
          <w:rStyle w:val="FootnoteReference"/>
        </w:rPr>
        <w:footnoteReference w:id="21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Shu bilan birga, Rossiya bankining 3883-U ko‘rsatmasi bilan ichki kapital yetarliligini baholash jarayoni joriy etildi. Mualliflar uni avval aktivlari 500 mlrd rubldan oshgan banklarda, keyin esa boshqa banklarda bosqichma-bosqich joriy etishni taklif qilgan</w:t>
      </w:r>
      <w:r>
        <w:rPr>
          <w:rStyle w:val="FootnoteReference"/>
        </w:rPr>
        <w:footnoteReference w:id="212"/>
      </w:r>
      <w:r>
        <w:rPr>
          <w:rFonts w:ascii="Times New Roman" w:hAnsi="Times New Roman" w:cs="Times New Roman" w:eastAsia="Times New Roman"/>
          <w:sz w:val="28"/>
        </w:rPr>
        <w:t xml:space="preserve">. Bunday tabaqalashtirilgan yondashuv kichik banklarga ortiqcha yuk tushishining oldini oladi va O‘zbekistonda ham qo‘llanishi mumkin.</w:t>
      </w:r>
    </w:p>
    <w:p>
      <w:pPr>
        <w:pStyle w:val="BodyText"/>
        <w:spacing w:line="360" w:lineRule="auto" w:before="0" w:after="0"/>
        <w:ind w:firstLine="709"/>
        <w:jc w:val="both"/>
      </w:pPr>
      <w:r>
        <w:rPr>
          <w:rFonts w:ascii="Times New Roman" w:hAnsi="Times New Roman" w:cs="Times New Roman" w:eastAsia="Times New Roman"/>
          <w:sz w:val="28"/>
        </w:rPr>
        <w:t xml:space="preserve">Mikroprudensial baholash bilan bir qatorda Rossiya bankida makroprudensial monitoring tizimi ham shakllangan. Markaziy bank haftalik 30 dan ortiq ko‘rsatkich asosida trigger-monitoring olib boradi va stress-testlarni muayyan arxitektura bo‘yicha o‘tkazadi. Unga ko‘ra avval makroiqtisodiy model yordamida YaIM, valyuta kursi, inflyatsiya, daromadlar va investitsiyalar prognozi tuziladi, so‘ngra shu prognoz asosida bank ko‘rsatkichlari, shu jumladan muammoli kreditlar ulushi hisoblanadi, keyin balansning imitatsion modeli orqali kapital va likvidlik tanqisligi baholanadi</w:t>
      </w:r>
      <w:r>
        <w:rPr>
          <w:rStyle w:val="FootnoteReference"/>
        </w:rPr>
        <w:footnoteReference w:id="213"/>
      </w:r>
      <w:r>
        <w:rPr>
          <w:rFonts w:ascii="Times New Roman" w:hAnsi="Times New Roman" w:cs="Times New Roman" w:eastAsia="Times New Roman"/>
          <w:sz w:val="28"/>
        </w:rPr>
        <w:t xml:space="preserve">. Bu arxitektura AQSh Federal rezerv tizimi nazorat stress-testlarining mantig‘iga ancha yaqin (1.3.6-rasm). So‘nggi yillarda makroprudensial vositalar ham faol qo‘llanmoqda: Rossiya banki 2024-yil noyabrida birinchi marta kontrsiklik buferning musbat darajasini belgilab, uni 2025-yil 1-fevraldan 0,25 foiz, 1-iyuldan 0,5 foiz qilib o‘rnatdi</w:t>
      </w:r>
      <w:r>
        <w:rPr>
          <w:rStyle w:val="FootnoteReference"/>
        </w:rPr>
        <w:footnoteReference w:id="214"/>
      </w:r>
      <w:r>
        <w:rPr>
          <w:rFonts w:ascii="Times New Roman" w:hAnsi="Times New Roman" w:cs="Times New Roman" w:eastAsia="Times New Roman"/>
          <w:sz w:val="28"/>
        </w:rPr>
        <w:t xml:space="preserve">.</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1548000"/>
                <wp:effectExtent l="0" t="0" r="0" b="0"/>
                <wp:docPr id="18" name="1.3.6-rasm"/>
                <wp:cNvGraphicFramePr/>
                <a:graphic>
                  <a:graphicData uri="http://schemas.microsoft.com/office/word/2010/wordprocessingGroup">
                    <wpg:wgp>
                      <wpg:cNvGrpSpPr/>
                      <wpg:grpSpPr>
                        <a:xfrm>
                          <a:off x="0" y="0"/>
                          <a:ext cx="5904000" cy="1548000"/>
                          <a:chOff x="0" y="0"/>
                          <a:chExt cx="5904000" cy="1548000"/>
                        </a:xfrm>
                      </wpg:grpSpPr>
                      <wps:wsp>
                        <wps:cNvPr id="42" name="Shape 42"/>
                        <wps:cNvSpPr/>
                        <wps:spPr>
                          <a:xfrm>
                            <a:off x="36000" y="36000"/>
                            <a:ext cx="1062000" cy="396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Ssenariylar</w:t>
                              </w:r>
                            </w:p>
                          </w:txbxContent>
                        </wps:txbx>
                        <wps:bodyPr rot="0" vert="horz" wrap="square" lIns="36000" tIns="18000" rIns="36000" bIns="18000" anchor="ctr" anchorCtr="0">
                          <a:noAutofit/>
                        </wps:bodyPr>
                      </wps:wsp>
                      <wps:wsp>
                        <wps:cNvPr id="43" name="Shape 43"/>
                        <wps:cNvSpPr/>
                        <wps:spPr>
                          <a:xfrm>
                            <a:off x="36000" y="486000"/>
                            <a:ext cx="1062000" cy="720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Bazaviy, salbiy,</w:t>
                              </w:r>
                            </w:p>
                            <w:p>
                              <w:pPr>
                                <w:spacing w:before="0" w:after="0" w:line="228" w:lineRule="auto"/>
                                <w:jc w:val="center"/>
                                <w:ind w:firstLine="0"/>
                              </w:pPr>
                              <w:r>
                                <w:rPr>
                                  <w:rFonts w:ascii="Times New Roman" w:hAnsi="Times New Roman" w:cs="Times New Roman"/>
                                  <w:color w:val="000000"/>
                                  <w:sz w:val="18"/>
                                  <w:szCs w:val="18"/>
                                </w:rPr>
                                <w:t xml:space="preserve">keskin salbiy</w:t>
                              </w:r>
                            </w:p>
                          </w:txbxContent>
                        </wps:txbx>
                        <wps:bodyPr rot="0" vert="horz" wrap="square" lIns="36000" tIns="18000" rIns="36000" bIns="18000" anchor="ctr" anchorCtr="0">
                          <a:noAutofit/>
                        </wps:bodyPr>
                      </wps:wsp>
                      <wps:wsp>
                        <wps:cNvPr id="44" name="Connector 44"/>
                        <wps:cNvCnPr/>
                        <wps:spPr>
                          <a:xfrm>
                            <a:off x="1098000" y="234000"/>
                            <a:ext cx="126000" cy="0"/>
                          </a:xfrm>
                          <a:prstGeom prst="straightConnector1">
                            <a:avLst/>
                          </a:prstGeom>
                          <a:ln w="19050">
                            <a:solidFill>
                              <a:srgbClr val="404040"/>
                            </a:solidFill>
                            <a:tailEnd type="triangle" w="med" len="med"/>
                          </a:ln>
                        </wps:spPr>
                        <wps:bodyPr/>
                      </wps:wsp>
                      <wps:wsp>
                        <wps:cNvPr id="45" name="Shape 45"/>
                        <wps:cNvSpPr/>
                        <wps:spPr>
                          <a:xfrm>
                            <a:off x="1224000" y="36000"/>
                            <a:ext cx="1062000" cy="39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Makroiqtisodiy</w:t>
                              </w:r>
                            </w:p>
                            <w:p>
                              <w:pPr>
                                <w:spacing w:before="0" w:after="0" w:line="228" w:lineRule="auto"/>
                                <w:jc w:val="center"/>
                                <w:ind w:firstLine="0"/>
                              </w:pPr>
                              <w:r>
                                <w:rPr>
                                  <w:rFonts w:ascii="Times New Roman" w:hAnsi="Times New Roman" w:cs="Times New Roman"/>
                                  <w:b/>
                                  <w:color w:val="FFFFFF"/>
                                  <w:sz w:val="20"/>
                                  <w:szCs w:val="20"/>
                                </w:rPr>
                                <w:t xml:space="preserve">model</w:t>
                              </w:r>
                            </w:p>
                          </w:txbxContent>
                        </wps:txbx>
                        <wps:bodyPr rot="0" vert="horz" wrap="square" lIns="36000" tIns="18000" rIns="36000" bIns="18000" anchor="ctr" anchorCtr="0">
                          <a:noAutofit/>
                        </wps:bodyPr>
                      </wps:wsp>
                      <wps:wsp>
                        <wps:cNvPr id="46" name="Shape 46"/>
                        <wps:cNvSpPr/>
                        <wps:spPr>
                          <a:xfrm>
                            <a:off x="1224000" y="486000"/>
                            <a:ext cx="1062000" cy="720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YaIM, valyuta kursi,</w:t>
                              </w:r>
                            </w:p>
                            <w:p>
                              <w:pPr>
                                <w:spacing w:before="0" w:after="0" w:line="228" w:lineRule="auto"/>
                                <w:jc w:val="center"/>
                                <w:ind w:firstLine="0"/>
                              </w:pPr>
                              <w:r>
                                <w:rPr>
                                  <w:rFonts w:ascii="Times New Roman" w:hAnsi="Times New Roman" w:cs="Times New Roman"/>
                                  <w:color w:val="000000"/>
                                  <w:sz w:val="18"/>
                                  <w:szCs w:val="18"/>
                                </w:rPr>
                                <w:t xml:space="preserve">inflyatsiya, daromadlar,</w:t>
                              </w:r>
                            </w:p>
                            <w:p>
                              <w:pPr>
                                <w:spacing w:before="0" w:after="0" w:line="228" w:lineRule="auto"/>
                                <w:jc w:val="center"/>
                                <w:ind w:firstLine="0"/>
                              </w:pPr>
                              <w:r>
                                <w:rPr>
                                  <w:rFonts w:ascii="Times New Roman" w:hAnsi="Times New Roman" w:cs="Times New Roman"/>
                                  <w:color w:val="000000"/>
                                  <w:sz w:val="18"/>
                                  <w:szCs w:val="18"/>
                                </w:rPr>
                                <w:t xml:space="preserve">investitsiyalar</w:t>
                              </w:r>
                            </w:p>
                          </w:txbxContent>
                        </wps:txbx>
                        <wps:bodyPr rot="0" vert="horz" wrap="square" lIns="36000" tIns="18000" rIns="36000" bIns="18000" anchor="ctr" anchorCtr="0">
                          <a:noAutofit/>
                        </wps:bodyPr>
                      </wps:wsp>
                      <wps:wsp>
                        <wps:cNvPr id="47" name="Connector 47"/>
                        <wps:cNvCnPr/>
                        <wps:spPr>
                          <a:xfrm>
                            <a:off x="2286000" y="234000"/>
                            <a:ext cx="126000" cy="0"/>
                          </a:xfrm>
                          <a:prstGeom prst="straightConnector1">
                            <a:avLst/>
                          </a:prstGeom>
                          <a:ln w="19050">
                            <a:solidFill>
                              <a:srgbClr val="404040"/>
                            </a:solidFill>
                            <a:tailEnd type="triangle" w="med" len="med"/>
                          </a:ln>
                        </wps:spPr>
                        <wps:bodyPr/>
                      </wps:wsp>
                      <wps:wsp>
                        <wps:cNvPr id="48" name="Shape 48"/>
                        <wps:cNvSpPr/>
                        <wps:spPr>
                          <a:xfrm>
                            <a:off x="2412000" y="36000"/>
                            <a:ext cx="1062000" cy="39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Bank</w:t>
                              </w:r>
                            </w:p>
                            <w:p>
                              <w:pPr>
                                <w:spacing w:before="0" w:after="0" w:line="228" w:lineRule="auto"/>
                                <w:jc w:val="center"/>
                                <w:ind w:firstLine="0"/>
                              </w:pPr>
                              <w:r>
                                <w:rPr>
                                  <w:rFonts w:ascii="Times New Roman" w:hAnsi="Times New Roman" w:cs="Times New Roman"/>
                                  <w:b/>
                                  <w:color w:val="FFFFFF"/>
                                  <w:sz w:val="20"/>
                                  <w:szCs w:val="20"/>
                                </w:rPr>
                                <w:t xml:space="preserve">ko‘rsatkichlari</w:t>
                              </w:r>
                            </w:p>
                          </w:txbxContent>
                        </wps:txbx>
                        <wps:bodyPr rot="0" vert="horz" wrap="square" lIns="36000" tIns="18000" rIns="36000" bIns="18000" anchor="ctr" anchorCtr="0">
                          <a:noAutofit/>
                        </wps:bodyPr>
                      </wps:wsp>
                      <wps:wsp>
                        <wps:cNvPr id="49" name="Shape 49"/>
                        <wps:cNvSpPr/>
                        <wps:spPr>
                          <a:xfrm>
                            <a:off x="2412000" y="486000"/>
                            <a:ext cx="1062000" cy="720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Muammoli kreditlar</w:t>
                              </w:r>
                            </w:p>
                            <w:p>
                              <w:pPr>
                                <w:spacing w:before="0" w:after="0" w:line="228" w:lineRule="auto"/>
                                <w:jc w:val="center"/>
                                <w:ind w:firstLine="0"/>
                              </w:pPr>
                              <w:r>
                                <w:rPr>
                                  <w:rFonts w:ascii="Times New Roman" w:hAnsi="Times New Roman" w:cs="Times New Roman"/>
                                  <w:color w:val="000000"/>
                                  <w:sz w:val="18"/>
                                  <w:szCs w:val="18"/>
                                </w:rPr>
                                <w:t xml:space="preserve">ulushi, foiz stavkalari,</w:t>
                              </w:r>
                            </w:p>
                            <w:p>
                              <w:pPr>
                                <w:spacing w:before="0" w:after="0" w:line="228" w:lineRule="auto"/>
                                <w:jc w:val="center"/>
                                <w:ind w:firstLine="0"/>
                              </w:pPr>
                              <w:r>
                                <w:rPr>
                                  <w:rFonts w:ascii="Times New Roman" w:hAnsi="Times New Roman" w:cs="Times New Roman"/>
                                  <w:color w:val="000000"/>
                                  <w:sz w:val="18"/>
                                  <w:szCs w:val="18"/>
                                </w:rPr>
                                <w:t xml:space="preserve">zararlar</w:t>
                              </w:r>
                            </w:p>
                          </w:txbxContent>
                        </wps:txbx>
                        <wps:bodyPr rot="0" vert="horz" wrap="square" lIns="36000" tIns="18000" rIns="36000" bIns="18000" anchor="ctr" anchorCtr="0">
                          <a:noAutofit/>
                        </wps:bodyPr>
                      </wps:wsp>
                      <wps:wsp>
                        <wps:cNvPr id="50" name="Connector 50"/>
                        <wps:cNvCnPr/>
                        <wps:spPr>
                          <a:xfrm>
                            <a:off x="3474000" y="234000"/>
                            <a:ext cx="126000" cy="0"/>
                          </a:xfrm>
                          <a:prstGeom prst="straightConnector1">
                            <a:avLst/>
                          </a:prstGeom>
                          <a:ln w="19050">
                            <a:solidFill>
                              <a:srgbClr val="404040"/>
                            </a:solidFill>
                            <a:tailEnd type="triangle" w="med" len="med"/>
                          </a:ln>
                        </wps:spPr>
                        <wps:bodyPr/>
                      </wps:wsp>
                      <wps:wsp>
                        <wps:cNvPr id="51" name="Shape 51"/>
                        <wps:cNvSpPr/>
                        <wps:spPr>
                          <a:xfrm>
                            <a:off x="3600000" y="36000"/>
                            <a:ext cx="1062000" cy="39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Balans imitatsion</w:t>
                              </w:r>
                            </w:p>
                            <w:p>
                              <w:pPr>
                                <w:spacing w:before="0" w:after="0" w:line="228" w:lineRule="auto"/>
                                <w:jc w:val="center"/>
                                <w:ind w:firstLine="0"/>
                              </w:pPr>
                              <w:r>
                                <w:rPr>
                                  <w:rFonts w:ascii="Times New Roman" w:hAnsi="Times New Roman" w:cs="Times New Roman"/>
                                  <w:b/>
                                  <w:color w:val="FFFFFF"/>
                                  <w:sz w:val="20"/>
                                  <w:szCs w:val="20"/>
                                </w:rPr>
                                <w:t xml:space="preserve">modeli</w:t>
                              </w:r>
                            </w:p>
                          </w:txbxContent>
                        </wps:txbx>
                        <wps:bodyPr rot="0" vert="horz" wrap="square" lIns="36000" tIns="18000" rIns="36000" bIns="18000" anchor="ctr" anchorCtr="0">
                          <a:noAutofit/>
                        </wps:bodyPr>
                      </wps:wsp>
                      <wps:wsp>
                        <wps:cNvPr id="52" name="Shape 52"/>
                        <wps:cNvSpPr/>
                        <wps:spPr>
                          <a:xfrm>
                            <a:off x="3600000" y="486000"/>
                            <a:ext cx="1062000" cy="720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va likvidlik</w:t>
                              </w:r>
                            </w:p>
                            <w:p>
                              <w:pPr>
                                <w:spacing w:before="0" w:after="0" w:line="228" w:lineRule="auto"/>
                                <w:jc w:val="center"/>
                                <w:ind w:firstLine="0"/>
                              </w:pPr>
                              <w:r>
                                <w:rPr>
                                  <w:rFonts w:ascii="Times New Roman" w:hAnsi="Times New Roman" w:cs="Times New Roman"/>
                                  <w:color w:val="000000"/>
                                  <w:sz w:val="18"/>
                                  <w:szCs w:val="18"/>
                                </w:rPr>
                                <w:t xml:space="preserve">prognozi (9 chorak)</w:t>
                              </w:r>
                            </w:p>
                          </w:txbxContent>
                        </wps:txbx>
                        <wps:bodyPr rot="0" vert="horz" wrap="square" lIns="36000" tIns="18000" rIns="36000" bIns="18000" anchor="ctr" anchorCtr="0">
                          <a:noAutofit/>
                        </wps:bodyPr>
                      </wps:wsp>
                      <wps:wsp>
                        <wps:cNvPr id="53" name="Connector 53"/>
                        <wps:cNvCnPr/>
                        <wps:spPr>
                          <a:xfrm>
                            <a:off x="4662000" y="234000"/>
                            <a:ext cx="126000" cy="0"/>
                          </a:xfrm>
                          <a:prstGeom prst="straightConnector1">
                            <a:avLst/>
                          </a:prstGeom>
                          <a:ln w="19050">
                            <a:solidFill>
                              <a:srgbClr val="404040"/>
                            </a:solidFill>
                            <a:tailEnd type="triangle" w="med" len="med"/>
                          </a:ln>
                        </wps:spPr>
                        <wps:bodyPr/>
                      </wps:wsp>
                      <wps:wsp>
                        <wps:cNvPr id="54" name="Shape 54"/>
                        <wps:cNvSpPr/>
                        <wps:spPr>
                          <a:xfrm>
                            <a:off x="4788000" y="36000"/>
                            <a:ext cx="1062000" cy="396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Natija</w:t>
                              </w:r>
                            </w:p>
                          </w:txbxContent>
                        </wps:txbx>
                        <wps:bodyPr rot="0" vert="horz" wrap="square" lIns="36000" tIns="18000" rIns="36000" bIns="18000" anchor="ctr" anchorCtr="0">
                          <a:noAutofit/>
                        </wps:bodyPr>
                      </wps:wsp>
                      <wps:wsp>
                        <wps:cNvPr id="55" name="Shape 55"/>
                        <wps:cNvSpPr/>
                        <wps:spPr>
                          <a:xfrm>
                            <a:off x="4788000" y="486000"/>
                            <a:ext cx="1062000" cy="720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Kapital va likvidlik</w:t>
                              </w:r>
                            </w:p>
                            <w:p>
                              <w:pPr>
                                <w:spacing w:before="0" w:after="0" w:line="228" w:lineRule="auto"/>
                                <w:jc w:val="center"/>
                                <w:ind w:firstLine="0"/>
                              </w:pPr>
                              <w:r>
                                <w:rPr>
                                  <w:rFonts w:ascii="Times New Roman" w:hAnsi="Times New Roman" w:cs="Times New Roman"/>
                                  <w:color w:val="000000"/>
                                  <w:sz w:val="18"/>
                                  <w:szCs w:val="18"/>
                                </w:rPr>
                                <w:t xml:space="preserve">tanqisligi; nazorat</w:t>
                              </w:r>
                            </w:p>
                            <w:p>
                              <w:pPr>
                                <w:spacing w:before="0" w:after="0" w:line="228" w:lineRule="auto"/>
                                <w:jc w:val="center"/>
                                <w:ind w:firstLine="0"/>
                              </w:pPr>
                              <w:r>
                                <w:rPr>
                                  <w:rFonts w:ascii="Times New Roman" w:hAnsi="Times New Roman" w:cs="Times New Roman"/>
                                  <w:color w:val="000000"/>
                                  <w:sz w:val="18"/>
                                  <w:szCs w:val="18"/>
                                </w:rPr>
                                <w:t xml:space="preserve">choralari</w:t>
                              </w:r>
                            </w:p>
                          </w:txbxContent>
                        </wps:txbx>
                        <wps:bodyPr rot="0" vert="horz" wrap="square" lIns="36000" tIns="18000" rIns="36000" bIns="18000" anchor="ctr" anchorCtr="0">
                          <a:noAutofit/>
                        </wps:bodyPr>
                      </wps:wsp>
                      <wps:wsp>
                        <wps:cNvPr id="56" name="Connector 56"/>
                        <wps:cNvCnPr/>
                        <wps:spPr>
                          <a:xfrm>
                            <a:off x="5148000" y="1206000"/>
                            <a:ext cx="0" cy="198000"/>
                          </a:xfrm>
                          <a:prstGeom prst="straightConnector1">
                            <a:avLst/>
                          </a:prstGeom>
                          <a:ln w="12700">
                            <a:solidFill>
                              <a:srgbClr val="7F7F7F"/>
                            </a:solidFill>
                          </a:ln>
                        </wps:spPr>
                        <wps:bodyPr/>
                      </wps:wsp>
                      <wps:wsp>
                        <wps:cNvPr id="57" name="Connector 57"/>
                        <wps:cNvCnPr/>
                        <wps:spPr>
                          <a:xfrm flipH="1">
                            <a:off x="576000" y="1404000"/>
                            <a:ext cx="4572000" cy="0"/>
                          </a:xfrm>
                          <a:prstGeom prst="straightConnector1">
                            <a:avLst/>
                          </a:prstGeom>
                          <a:ln w="12700">
                            <a:solidFill>
                              <a:srgbClr val="7F7F7F"/>
                            </a:solidFill>
                            <a:prstDash val="dash"/>
                          </a:ln>
                        </wps:spPr>
                        <wps:bodyPr/>
                      </wps:wsp>
                      <wps:wsp>
                        <wps:cNvPr id="58" name="Connector 58"/>
                        <wps:cNvCnPr/>
                        <wps:spPr>
                          <a:xfrm flipV="1">
                            <a:off x="576000" y="1206000"/>
                            <a:ext cx="0" cy="198000"/>
                          </a:xfrm>
                          <a:prstGeom prst="straightConnector1">
                            <a:avLst/>
                          </a:prstGeom>
                          <a:ln w="12700">
                            <a:solidFill>
                              <a:srgbClr val="7F7F7F"/>
                            </a:solidFill>
                            <a:prstDash val="dash"/>
                            <a:tailEnd type="triangle" w="med" len="med"/>
                          </a:ln>
                        </wps:spPr>
                        <wps:bodyPr/>
                      </wps:wsp>
                      <wps:wsp>
                        <wps:cNvPr id="59" name="Shape 59"/>
                        <wps:cNvSpPr/>
                        <wps:spPr>
                          <a:xfrm>
                            <a:off x="1440000" y="1296000"/>
                            <a:ext cx="3024000" cy="216000"/>
                          </a:xfrm>
                          <a:prstGeom prst="roundRect">
                            <a:avLst>
                              <a:gd name="adj" fmla="val 10000"/>
                            </a:avLst>
                          </a:prstGeom>
                          <a:solidFill>
                            <a:srgbClr val="FFFFFF"/>
                          </a:solidFill>
                          <a:ln w="12700">
                            <a:solidFill>
                              <a:srgbClr val="FFFFFF"/>
                            </a:solidFill>
                          </a:ln>
                        </wps:spPr>
                        <wps:txbx>
                          <w:txbxContent>
                            <w:p>
                              <w:pPr>
                                <w:spacing w:before="0" w:after="0" w:line="228" w:lineRule="auto"/>
                                <w:jc w:val="center"/>
                                <w:ind w:firstLine="0"/>
                              </w:pPr>
                              <w:r>
                                <w:rPr>
                                  <w:rFonts w:ascii="Times New Roman" w:hAnsi="Times New Roman" w:cs="Times New Roman"/>
                                  <w:i/>
                                  <w:color w:val="000000"/>
                                  <w:sz w:val="18"/>
                                  <w:szCs w:val="18"/>
                                </w:rPr>
                                <w:t xml:space="preserve">Teskari aloqa: kredit taklifining iqtisodiyotga ta’siri</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1.3.6-rasm. Nazorat stress-testining umumiy arxitekturasi</w:t>
      </w:r>
      <w:r>
        <w:rPr>
          <w:rStyle w:val="FootnoteReference"/>
        </w:rPr>
        <w:footnoteReference w:id="215"/>
      </w:r>
    </w:p>
    <w:p>
      <w:pPr>
        <w:pStyle w:val="BodyText"/>
        <w:spacing w:line="360" w:lineRule="auto" w:before="0" w:after="0"/>
        <w:ind w:firstLine="709"/>
        <w:jc w:val="both"/>
      </w:pPr>
      <w:r>
        <w:rPr>
          <w:rFonts w:ascii="Times New Roman" w:hAnsi="Times New Roman" w:cs="Times New Roman" w:eastAsia="Times New Roman"/>
          <w:sz w:val="28"/>
        </w:rPr>
        <w:t xml:space="preserve">Tizimli ahamiyatli kredit tashkilotlarini aniqlashda Rossiya banki 3737-U ko‘rsatmasiga tayanadi</w:t>
      </w:r>
      <w:r>
        <w:rPr>
          <w:rStyle w:val="FootnoteReference"/>
        </w:rPr>
        <w:footnoteReference w:id="216"/>
      </w:r>
      <w:r>
        <w:rPr>
          <w:rFonts w:ascii="Times New Roman" w:hAnsi="Times New Roman" w:cs="Times New Roman" w:eastAsia="Times New Roman"/>
          <w:sz w:val="28"/>
        </w:rPr>
        <w:t xml:space="preserve">. O.I. Lavrushin tahriridagi monografiyada esa bu borada miqdoriy mezonlar taklif etilgan: aktivlardagi ulush 1 foizdan, kapitaldagi ulush 1 foizdan, banklararo kredit bozoridagi ulush 3 foizdan, majburiyatlardagi ulush 2 foizdan, jismoniy shaxslar mablag‘laridagi ulush 5 foizdan ortiq bo‘lishi. Mualliflar bunda bank hajmining o‘zi tizimli ahamiyat mezoni bo‘la olmasligini, bankning boshqa moliya institutlari bilan bog‘liqligi ham hisobga olinishi kerakligini ta’kidlaydi</w:t>
      </w:r>
      <w:r>
        <w:rPr>
          <w:rStyle w:val="FootnoteReference"/>
        </w:rPr>
        <w:footnoteReference w:id="21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Rossiya bilan bir qatorda, rivojlanayotgan bozorlar orasida Xitoy tajribasi ham diqqatga sazovor, chunki bu mamlakat bank tizimida ham davlat banklari ustunlik qiladi. 2003-yilda Xitoy bank nazorati komissiyasi tashkil etilib, bank nazorati Xitoy Xalq bankidan ajratildi. Buning sababi mikroprudensial nazorat va monetar siyosat o‘rtasidagi manfaatlar to‘qnashuvi edi</w:t>
      </w:r>
      <w:r>
        <w:rPr>
          <w:rStyle w:val="FootnoteReference"/>
        </w:rPr>
        <w:footnoteReference w:id="218"/>
      </w:r>
      <w:r>
        <w:rPr>
          <w:rFonts w:ascii="Times New Roman" w:hAnsi="Times New Roman" w:cs="Times New Roman" w:eastAsia="Times New Roman"/>
          <w:sz w:val="28"/>
        </w:rPr>
        <w:t xml:space="preserve">. Keyinchalik bu komissiya sug‘urta nazorati bilan birlashtirilib, 2023-yilda Milliy moliyaviy nazorat boshqarmasiga aylantirildi. Xitoy tizimi murakkab modellarga emas, balki oddiy, ammo qat’iy miqdoriy cheklovlarga tayanadi. Xususan, kreditlarning depozitlarga nisbati 75 foizdan oshmasligi kerak va 2011-yil iyunidan boshlab bu ko‘rsatkich har kuni monitoring qilinadi; inqirozdan keyin esa kutilgan zararlar bo‘yicha 2,5 foizlik zaxira normativi joriy etilgan</w:t>
      </w:r>
      <w:r>
        <w:rPr>
          <w:rStyle w:val="FootnoteReference"/>
        </w:rPr>
        <w:footnoteReference w:id="219"/>
      </w:r>
      <w:r>
        <w:rPr>
          <w:rFonts w:ascii="Times New Roman" w:hAnsi="Times New Roman" w:cs="Times New Roman" w:eastAsia="Times New Roman"/>
          <w:sz w:val="28"/>
        </w:rPr>
        <w:t xml:space="preserve">. Keyinchalik, 2015-yilda kreditlarning depozitlarga nisbati bo‘yicha qat’iy cheklov qonundan chiqarilib, monitoring ko‘rsatkichiga aylantirildi</w:t>
      </w:r>
      <w:r>
        <w:rPr>
          <w:rStyle w:val="FootnoteReference"/>
        </w:rPr>
        <w:footnoteReference w:id="220"/>
      </w:r>
      <w:r>
        <w:rPr>
          <w:rFonts w:ascii="Times New Roman" w:hAnsi="Times New Roman" w:cs="Times New Roman" w:eastAsia="Times New Roman"/>
          <w:sz w:val="28"/>
        </w:rPr>
        <w:t xml:space="preserve">. Tizimli ahamiyatli banklarga yuqori kapital talablari qo‘yilgan: asosiy kapital 8,5 foiz, birinchi darajali kapital 9,5 foiz, jami kapital 11,5 foiz</w:t>
      </w:r>
      <w:r>
        <w:rPr>
          <w:rStyle w:val="FootnoteReference"/>
        </w:rPr>
        <w:footnoteReference w:id="221"/>
      </w:r>
      <w:r>
        <w:rPr>
          <w:rFonts w:ascii="Times New Roman" w:hAnsi="Times New Roman" w:cs="Times New Roman" w:eastAsia="Times New Roman"/>
          <w:sz w:val="28"/>
        </w:rPr>
        <w:t xml:space="preserve">. 2024-yil 1-yanvardan esa tijorat banklari kapitalini boshqarish bo‘yicha yangi qoidalar kuchga kirdi. Unga ko‘ra banklar aktivlari hajmi va xorijiy faoliyati ko‘lamiga qarab uch guruhga ajratiladi: yirik va xalqaro faoliyat yurituvchi banklarga Bazel III ning to‘liq talablari qo‘llanadi, kichikroq banklarga soddalashtirilgan, eng kichik banklarga esa yanada soddalashtirilgan talablar qo‘yiladi</w:t>
      </w:r>
      <w:r>
        <w:rPr>
          <w:rStyle w:val="FootnoteReference"/>
        </w:rPr>
        <w:footnoteReference w:id="222"/>
      </w:r>
      <w:r>
        <w:rPr>
          <w:rFonts w:ascii="Times New Roman" w:hAnsi="Times New Roman" w:cs="Times New Roman" w:eastAsia="Times New Roman"/>
          <w:sz w:val="28"/>
        </w:rPr>
        <w:t xml:space="preserve">. Bu proporsional yondashuv O‘zbekiston uchun ham e’tiborga loyiq, chunki mamlakatdagi banklar hajmi va faoliyat murakkabligi jihatidan keskin farq qiladi.</w:t>
      </w:r>
    </w:p>
    <w:p>
      <w:pPr>
        <w:pStyle w:val="BodyText"/>
        <w:spacing w:line="360" w:lineRule="auto" w:before="0" w:after="0"/>
        <w:ind w:firstLine="709"/>
        <w:jc w:val="both"/>
      </w:pPr>
      <w:r>
        <w:rPr>
          <w:rFonts w:ascii="Times New Roman" w:hAnsi="Times New Roman" w:cs="Times New Roman" w:eastAsia="Times New Roman"/>
          <w:sz w:val="28"/>
        </w:rPr>
        <w:t xml:space="preserve">Biroq Xitoy tajribasi rasmiy ko‘rsatkichlarning ishonchliligi muammosini ham ochiq namoyon etadi. Bu muammo ilmiy adabiyotda ancha oldin qayd etilgan: 2010-yillarning o‘rtalarida rasmiy ma’lumotlarda muammoli kreditlar ulushi 1,5 foiz deb e’lon qilingan bo‘lsa-da, mustaqil baholarga ko‘ra u 8–12 foizni tashkil etgan</w:t>
      </w:r>
      <w:r>
        <w:rPr>
          <w:rStyle w:val="FootnoteReference"/>
        </w:rPr>
        <w:footnoteReference w:id="223"/>
      </w:r>
      <w:r>
        <w:rPr>
          <w:rFonts w:ascii="Times New Roman" w:hAnsi="Times New Roman" w:cs="Times New Roman" w:eastAsia="Times New Roman"/>
          <w:sz w:val="28"/>
        </w:rPr>
        <w:t xml:space="preserve">. XVJ esa 2016-yilda Xitoy kompaniyalariga berilgan tijorat kreditlarining 15,5 foizi «risk ostida» ekanini va ular bo‘yicha potensial yo‘qotishlar YaIMning qariyb 7 foiziga teng bo‘lishi mumkinligini baholagan</w:t>
      </w:r>
      <w:r>
        <w:rPr>
          <w:rStyle w:val="FootnoteReference"/>
        </w:rPr>
        <w:footnoteReference w:id="224"/>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So‘nggi yillar ma’lumotlari ham vaziyat tubdan o‘zgarmaganini ko‘rsatadi. Milliy moliyaviy nazorat boshqarmasi ma’lumotlariga ko‘ra, tijorat banklarida muammoli kreditlar ulushi 2023-yil oxirida 1,59 foiz, 2024-yil oxirida 1,50 foiz, 2025-yil III chorak oxirida esa 1,52 foizni tashkil etgan</w:t>
      </w:r>
      <w:r>
        <w:rPr>
          <w:rStyle w:val="FootnoteReference"/>
        </w:rPr>
        <w:footnoteReference w:id="225"/>
      </w:r>
      <w:r>
        <w:rPr>
          <w:rFonts w:ascii="Times New Roman" w:hAnsi="Times New Roman" w:cs="Times New Roman" w:eastAsia="Times New Roman"/>
          <w:sz w:val="28"/>
        </w:rPr>
        <w:t xml:space="preserve">. Biroq ularning yonida «alohida e’tibor talab qiluvchi» kreditlar ham bor bo‘lib, ularning ulushi 2,2 foiz atrofida saqlanib kelmoqda; ikkalasi qo‘shilganda muammoli aktivlar ulushi 3,7 foizga yetadi</w:t>
      </w:r>
      <w:r>
        <w:rPr>
          <w:rStyle w:val="FootnoteReference"/>
        </w:rPr>
        <w:footnoteReference w:id="226"/>
      </w:r>
      <w:r>
        <w:rPr>
          <w:rFonts w:ascii="Times New Roman" w:hAnsi="Times New Roman" w:cs="Times New Roman" w:eastAsia="Times New Roman"/>
          <w:sz w:val="28"/>
        </w:rPr>
        <w:t xml:space="preserve">. B. Charoenwong, M. Miao va T. Ruan esa banklar muammoli kreditlarni o‘zlariga bog‘liq tomonlarga «sotib», ularning riskini amalda o‘zida qoldirayotganini aniqlagan. Mualliflar fikricha, shunday yashirin kreditlar hisobga olinsa, Xitoyda muammoli kreditlarning haqiqiy hajmi rasmiy ko‘rsatkichdan 2–3 barobar ko‘p bo‘ladi</w:t>
      </w:r>
      <w:r>
        <w:rPr>
          <w:rStyle w:val="FootnoteReference"/>
        </w:rPr>
        <w:footnoteReference w:id="227"/>
      </w:r>
      <w:r>
        <w:rPr>
          <w:rFonts w:ascii="Times New Roman" w:hAnsi="Times New Roman" w:cs="Times New Roman" w:eastAsia="Times New Roman"/>
          <w:sz w:val="28"/>
        </w:rPr>
        <w:t xml:space="preserve">. Ushbu ma’lumotlar 1.3.7-rasmda umumlashtirildi.</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19" name="1.3.7-rasm"/>
            <wp:cNvGraphicFramePr/>
            <a:graphic>
              <a:graphicData uri="http://schemas.openxmlformats.org/drawingml/2006/chart">
                <c:chart r:id="rId17"/>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1.3.7-rasm. Xitoy tijorat banklarida muammoli kreditlar ulushi: rasmiy ma’lumotlar va muqobil baholar, %</w:t>
      </w:r>
      <w:r>
        <w:rPr>
          <w:rStyle w:val="FootnoteReference"/>
        </w:rPr>
        <w:footnoteReference w:id="228"/>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rasmiy muammoli kreditlar ulushi uch yil davomida 1,5 foiz atrofida barqaror turibdi. Ammo alohida e’tibor talab qiluvchi kreditlar qo‘shilsa, bu ko‘rsatkich ikki yarim barobar, ilmiy baholarga ko‘ra esa uch barobargacha ortadi. XVJ ham 2025-yilgi sharhida ko‘chmas mulk, mahalliy hukumat moliyalashtirish kompaniyalari, o‘rta korxonalar va chakana qarz oluvchilarga berilgan imtiyozlar, ya’ni kredit muddatini uzaytirish va restrukturizatsiya qilish aktivlar sifatining haqiqiy holatini yashirishi hamda zararlarni tan olishni kechiktirishi mumkinligidan ogohlantirgan</w:t>
      </w:r>
      <w:r>
        <w:rPr>
          <w:rStyle w:val="FootnoteReference"/>
        </w:rPr>
        <w:footnoteReference w:id="229"/>
      </w:r>
      <w:r>
        <w:rPr>
          <w:rFonts w:ascii="Times New Roman" w:hAnsi="Times New Roman" w:cs="Times New Roman" w:eastAsia="Times New Roman"/>
          <w:sz w:val="28"/>
        </w:rPr>
        <w:t xml:space="preserve">. Bunday tafovutning sababi nimada? He Wei Ping fikricha, davlatning yashirin kafolati, ya’ni «banklar qulashidan oldin qutqariladi» degan ishonch bozor intizomini zaiflashtiradi, tartibga solish maqsadlari esa hukumatning iqtisodiy va ijtimoiy siyosatiga bo‘ysundiriladi</w:t>
      </w:r>
      <w:r>
        <w:rPr>
          <w:rStyle w:val="FootnoteReference"/>
        </w:rPr>
        <w:footnoteReference w:id="230"/>
      </w:r>
      <w:r>
        <w:rPr>
          <w:rFonts w:ascii="Times New Roman" w:hAnsi="Times New Roman" w:cs="Times New Roman" w:eastAsia="Times New Roman"/>
          <w:sz w:val="28"/>
        </w:rPr>
        <w:t xml:space="preserve">. Natijada muammoli aktivlar restrukturizatsiya qilinib, rasmiy hisobotlarda o‘z aksini topmaydi. Bu xulosa davlat ulushi yuqori bo‘lgan har qanday bank tizimi, jumladan, O‘zbekiston bank tizimi uchun ham jiddiy ogohlantirish hisoblanadi.</w:t>
      </w:r>
    </w:p>
    <w:p>
      <w:pPr>
        <w:pStyle w:val="BodyText"/>
        <w:spacing w:line="360" w:lineRule="auto" w:before="0" w:after="0"/>
        <w:ind w:firstLine="709"/>
        <w:jc w:val="both"/>
      </w:pPr>
      <w:r>
        <w:rPr>
          <w:rFonts w:ascii="Times New Roman" w:hAnsi="Times New Roman" w:cs="Times New Roman" w:eastAsia="Times New Roman"/>
          <w:sz w:val="28"/>
        </w:rPr>
        <w:t xml:space="preserve">Sharqiy Yevropa va BRIKS mamlakatlari tajribasi esa kapital zaxirasini muntazam kuzatish zarurligini tasdiqlaydi. Latviyada 2006–2010-yillarda haqiqiy kapitalning talab va buferdan ortiq qismi manfiy bo‘lgan bo‘lsa, Estoniyada 2015-yilda birinchi darajali kapital 27,8 foizni tashkil etgan</w:t>
      </w:r>
      <w:r>
        <w:rPr>
          <w:rStyle w:val="FootnoteReference"/>
        </w:rPr>
        <w:footnoteReference w:id="231"/>
      </w:r>
      <w:r>
        <w:rPr>
          <w:rFonts w:ascii="Times New Roman" w:hAnsi="Times New Roman" w:cs="Times New Roman" w:eastAsia="Times New Roman"/>
          <w:sz w:val="28"/>
        </w:rPr>
        <w:t xml:space="preserve">. Braziliyada Bazel III dan oldin kapital yetarliligiga talab 11 foiz bo‘lib, talab qilib olinguncha depozitlar bo‘yicha majburiy zaxira normasi 45 foizgacha yetgan</w:t>
      </w:r>
      <w:r>
        <w:rPr>
          <w:rStyle w:val="FootnoteReference"/>
        </w:rPr>
        <w:footnoteReference w:id="232"/>
      </w:r>
      <w:r>
        <w:rPr>
          <w:rFonts w:ascii="Times New Roman" w:hAnsi="Times New Roman" w:cs="Times New Roman" w:eastAsia="Times New Roman"/>
          <w:sz w:val="28"/>
        </w:rPr>
        <w:t xml:space="preserve">. Rossiyada esa BRIKS mamlakatlari orasida eng yuqori muddati o‘tgan qarzlar ulushi (8,35 foiz) qayd etilgan</w:t>
      </w:r>
      <w:r>
        <w:rPr>
          <w:rStyle w:val="FootnoteReference"/>
        </w:rPr>
        <w:footnoteReference w:id="233"/>
      </w:r>
      <w:r>
        <w:rPr>
          <w:rFonts w:ascii="Times New Roman" w:hAnsi="Times New Roman" w:cs="Times New Roman" w:eastAsia="Times New Roman"/>
          <w:sz w:val="28"/>
        </w:rPr>
        <w:t xml:space="preserve">. Bu misollar bir xil xalqaro standart turli mamlakatlarda turlicha natija berishini, shu bois uni milliy sharoitga moslashtirish muqarrar ekanini ko‘rsatadi.</w:t>
      </w:r>
    </w:p>
    <w:p>
      <w:pPr>
        <w:pStyle w:val="BodyText"/>
        <w:spacing w:line="360" w:lineRule="auto" w:before="0" w:after="0"/>
        <w:ind w:firstLine="709"/>
        <w:jc w:val="both"/>
      </w:pPr>
      <w:r>
        <w:rPr>
          <w:rFonts w:ascii="Times New Roman" w:hAnsi="Times New Roman" w:cs="Times New Roman" w:eastAsia="Times New Roman"/>
          <w:sz w:val="28"/>
        </w:rPr>
        <w:t xml:space="preserve">Yuqorida ilg‘or xorijiy mamlakatlar va rivojlanayotgan bozorlar tajribasi tahlil qilindi. Ushbu tahlil natijalarini umumlashtirib, O‘zbekistonda banklar moliyaviy barqarorligini baholash tizimini takomillashtirish uchun bir qator amaliy xulosalar chiqarishga harakat qilindi (1.3.3-jadval).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1.3.3-jadval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Xorijiy tajriba va undan O‘zbekiston uchun kelib chiqadigan xulosalar</w:t>
      </w:r>
      <w:r>
        <w:rPr>
          <w:rStyle w:val="FootnoteReference"/>
        </w:rPr>
        <w:footnoteReference w:id="234"/>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640"/>
        <w:gridCol w:w="2640"/>
        <w:gridCol w:w="264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Mamlakat / tizim</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Tajriba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O‘zbekiston uchun xulosa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 – PCA</w:t>
            </w:r>
          </w:p>
        </w:tc>
        <w:tc>
          <w:tcPr/>
          <w:p>
            <w:pPr>
              <w:pStyle w:val="Compact"/>
              <w:spacing w:line="240" w:lineRule="auto"/>
              <w:ind w:firstLine="0"/>
              <w:jc w:val="left"/>
            </w:pPr>
            <w:r>
              <w:rPr>
                <w:rFonts w:ascii="Times New Roman" w:hAnsi="Times New Roman" w:cs="Times New Roman" w:eastAsia="Times New Roman"/>
                <w:sz w:val="22"/>
              </w:rPr>
              <w:t xml:space="preserve">Kapitalning pog‘onali chegaralari aniq nazorat choralari bilan bog‘langan</w:t>
            </w:r>
          </w:p>
        </w:tc>
        <w:tc>
          <w:tcPr/>
          <w:p>
            <w:pPr>
              <w:pStyle w:val="Compact"/>
              <w:spacing w:line="240" w:lineRule="auto"/>
              <w:ind w:firstLine="0"/>
              <w:jc w:val="left"/>
            </w:pPr>
            <w:r>
              <w:rPr>
                <w:rFonts w:ascii="Times New Roman" w:hAnsi="Times New Roman" w:cs="Times New Roman" w:eastAsia="Times New Roman"/>
                <w:sz w:val="22"/>
              </w:rPr>
              <w:t xml:space="preserve">Kapital ko‘rsatkichini ko‘p pog‘onali shkala bilan baholash va tezkor tuzatuvchi choralar tizimini joriy etish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 – FIMS</w:t>
            </w:r>
          </w:p>
        </w:tc>
        <w:tc>
          <w:tcPr/>
          <w:p>
            <w:pPr>
              <w:pStyle w:val="Compact"/>
              <w:spacing w:line="240" w:lineRule="auto"/>
              <w:ind w:firstLine="0"/>
              <w:jc w:val="left"/>
            </w:pPr>
            <w:r>
              <w:rPr>
                <w:rFonts w:ascii="Times New Roman" w:hAnsi="Times New Roman" w:cs="Times New Roman" w:eastAsia="Times New Roman"/>
                <w:sz w:val="22"/>
              </w:rPr>
              <w:t xml:space="preserve">Statistik model reytingni va bankrotlikni bashorat qiladi, chegara birinchi tur xatosini kamaytirishga moslangan</w:t>
            </w:r>
          </w:p>
        </w:tc>
        <w:tc>
          <w:tcPr/>
          <w:p>
            <w:pPr>
              <w:pStyle w:val="Compact"/>
              <w:spacing w:line="240" w:lineRule="auto"/>
              <w:ind w:firstLine="0"/>
              <w:jc w:val="left"/>
            </w:pPr>
            <w:r>
              <w:rPr>
                <w:rFonts w:ascii="Times New Roman" w:hAnsi="Times New Roman" w:cs="Times New Roman" w:eastAsia="Times New Roman"/>
                <w:sz w:val="22"/>
              </w:rPr>
              <w:t xml:space="preserve">Baholash metodikasining bashorat kuchini statistik usullar bilan tekshirish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AQSh – stress-testlar</w:t>
            </w:r>
          </w:p>
        </w:tc>
        <w:tc>
          <w:tcPr/>
          <w:p>
            <w:pPr>
              <w:pStyle w:val="Compact"/>
              <w:spacing w:line="240" w:lineRule="auto"/>
              <w:ind w:firstLine="0"/>
              <w:jc w:val="left"/>
            </w:pPr>
            <w:r>
              <w:rPr>
                <w:rFonts w:ascii="Times New Roman" w:hAnsi="Times New Roman" w:cs="Times New Roman" w:eastAsia="Times New Roman"/>
                <w:sz w:val="22"/>
              </w:rPr>
              <w:t xml:space="preserve">Natijalar ommaga e’lon qilinadi</w:t>
            </w:r>
          </w:p>
        </w:tc>
        <w:tc>
          <w:tcPr/>
          <w:p>
            <w:pPr>
              <w:pStyle w:val="Compact"/>
              <w:spacing w:line="240" w:lineRule="auto"/>
              <w:ind w:firstLine="0"/>
              <w:jc w:val="left"/>
            </w:pPr>
            <w:r>
              <w:rPr>
                <w:rFonts w:ascii="Times New Roman" w:hAnsi="Times New Roman" w:cs="Times New Roman" w:eastAsia="Times New Roman"/>
                <w:sz w:val="22"/>
              </w:rPr>
              <w:t xml:space="preserve">Stress-test natijalarini oshkor qilish orqali bozor intizomini kuchaytirish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Buyuk Britaniya – BAITE, RATE</w:t>
            </w:r>
          </w:p>
        </w:tc>
        <w:tc>
          <w:tcPr/>
          <w:p>
            <w:pPr>
              <w:pStyle w:val="Compact"/>
              <w:spacing w:line="240" w:lineRule="auto"/>
              <w:ind w:firstLine="0"/>
              <w:jc w:val="left"/>
            </w:pPr>
            <w:r>
              <w:rPr>
                <w:rFonts w:ascii="Times New Roman" w:hAnsi="Times New Roman" w:cs="Times New Roman" w:eastAsia="Times New Roman"/>
                <w:sz w:val="22"/>
              </w:rPr>
              <w:t xml:space="preserve">Nazorat intensivligi risk darajasiga bog‘langan</w:t>
            </w:r>
          </w:p>
        </w:tc>
        <w:tc>
          <w:tcPr/>
          <w:p>
            <w:pPr>
              <w:pStyle w:val="Compact"/>
              <w:spacing w:line="240" w:lineRule="auto"/>
              <w:ind w:firstLine="0"/>
              <w:jc w:val="left"/>
            </w:pPr>
            <w:r>
              <w:rPr>
                <w:rFonts w:ascii="Times New Roman" w:hAnsi="Times New Roman" w:cs="Times New Roman" w:eastAsia="Times New Roman"/>
                <w:sz w:val="22"/>
              </w:rPr>
              <w:t xml:space="preserve">Baholash natijasini nazorat rejimi va tekshiruv davriyligi bilan bog‘lash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Germaniya – BAKIS</w:t>
            </w:r>
          </w:p>
        </w:tc>
        <w:tc>
          <w:tcPr/>
          <w:p>
            <w:pPr>
              <w:pStyle w:val="Compact"/>
              <w:spacing w:line="240" w:lineRule="auto"/>
              <w:ind w:firstLine="0"/>
              <w:jc w:val="left"/>
            </w:pPr>
            <w:r>
              <w:rPr>
                <w:rFonts w:ascii="Times New Roman" w:hAnsi="Times New Roman" w:cs="Times New Roman" w:eastAsia="Times New Roman"/>
                <w:sz w:val="22"/>
              </w:rPr>
              <w:t xml:space="preserve">Teng vaznlar, guruh o‘rtachasi bilan taqqoslash</w:t>
            </w:r>
          </w:p>
        </w:tc>
        <w:tc>
          <w:tcPr/>
          <w:p>
            <w:pPr>
              <w:pStyle w:val="Compact"/>
              <w:spacing w:line="240" w:lineRule="auto"/>
              <w:ind w:firstLine="0"/>
              <w:jc w:val="left"/>
            </w:pPr>
            <w:r>
              <w:rPr>
                <w:rFonts w:ascii="Times New Roman" w:hAnsi="Times New Roman" w:cs="Times New Roman" w:eastAsia="Times New Roman"/>
                <w:sz w:val="22"/>
              </w:rPr>
              <w:t xml:space="preserve">Qiyosiy (peer) baholashni joriy etish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Yevropa Ittifoqi – EBA KRI</w:t>
            </w:r>
          </w:p>
        </w:tc>
        <w:tc>
          <w:tcPr/>
          <w:p>
            <w:pPr>
              <w:pStyle w:val="Compact"/>
              <w:spacing w:line="240" w:lineRule="auto"/>
              <w:ind w:firstLine="0"/>
              <w:jc w:val="left"/>
            </w:pPr>
            <w:r>
              <w:rPr>
                <w:rFonts w:ascii="Times New Roman" w:hAnsi="Times New Roman" w:cs="Times New Roman" w:eastAsia="Times New Roman"/>
                <w:sz w:val="22"/>
              </w:rPr>
              <w:t xml:space="preserve">Ochiq ma’lumotlar bazasi, risklar paneli</w:t>
            </w:r>
          </w:p>
        </w:tc>
        <w:tc>
          <w:tcPr/>
          <w:p>
            <w:pPr>
              <w:pStyle w:val="Compact"/>
              <w:spacing w:line="240" w:lineRule="auto"/>
              <w:ind w:firstLine="0"/>
              <w:jc w:val="left"/>
            </w:pPr>
            <w:r>
              <w:rPr>
                <w:rFonts w:ascii="Times New Roman" w:hAnsi="Times New Roman" w:cs="Times New Roman" w:eastAsia="Times New Roman"/>
                <w:sz w:val="22"/>
              </w:rPr>
              <w:t xml:space="preserve">Banklar ko‘rsatkichlarini ochiq e’lon qilish, kredit riskiga ortiqcha urg‘u bermaslik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Yevropa Ittifoqi – ESRB</w:t>
            </w:r>
          </w:p>
        </w:tc>
        <w:tc>
          <w:tcPr/>
          <w:p>
            <w:pPr>
              <w:pStyle w:val="Compact"/>
              <w:spacing w:line="240" w:lineRule="auto"/>
              <w:ind w:firstLine="0"/>
              <w:jc w:val="left"/>
            </w:pPr>
            <w:r>
              <w:rPr>
                <w:rFonts w:ascii="Times New Roman" w:hAnsi="Times New Roman" w:cs="Times New Roman" w:eastAsia="Times New Roman"/>
                <w:sz w:val="22"/>
              </w:rPr>
              <w:t xml:space="preserve">Qat’iy baza va diskretsion makroprudensial vositalar</w:t>
            </w:r>
          </w:p>
        </w:tc>
        <w:tc>
          <w:tcPr/>
          <w:p>
            <w:pPr>
              <w:pStyle w:val="Compact"/>
              <w:spacing w:line="240" w:lineRule="auto"/>
              <w:ind w:firstLine="0"/>
              <w:jc w:val="left"/>
            </w:pPr>
            <w:r>
              <w:rPr>
                <w:rFonts w:ascii="Times New Roman" w:hAnsi="Times New Roman" w:cs="Times New Roman" w:eastAsia="Times New Roman"/>
                <w:sz w:val="22"/>
              </w:rPr>
              <w:t xml:space="preserve">Mikro va makroprudensial baholashni uyg‘unlashtirish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Rossiya</w:t>
            </w:r>
          </w:p>
        </w:tc>
        <w:tc>
          <w:tcPr/>
          <w:p>
            <w:pPr>
              <w:pStyle w:val="Compact"/>
              <w:spacing w:line="240" w:lineRule="auto"/>
              <w:ind w:firstLine="0"/>
              <w:jc w:val="left"/>
            </w:pPr>
            <w:r>
              <w:rPr>
                <w:rFonts w:ascii="Times New Roman" w:hAnsi="Times New Roman" w:cs="Times New Roman" w:eastAsia="Times New Roman"/>
                <w:sz w:val="22"/>
              </w:rPr>
              <w:t xml:space="preserve">Ochiq vaznli 1–4 ballik tizim; dinamika va prognoz yo‘qligi tanqid qilingan</w:t>
            </w:r>
          </w:p>
        </w:tc>
        <w:tc>
          <w:tcPr/>
          <w:p>
            <w:pPr>
              <w:pStyle w:val="Compact"/>
              <w:spacing w:line="240" w:lineRule="auto"/>
              <w:ind w:firstLine="0"/>
              <w:jc w:val="left"/>
            </w:pPr>
            <w:r>
              <w:rPr>
                <w:rFonts w:ascii="Times New Roman" w:hAnsi="Times New Roman" w:cs="Times New Roman" w:eastAsia="Times New Roman"/>
                <w:sz w:val="22"/>
              </w:rPr>
              <w:t xml:space="preserve">Ochiq vaznli integral baholashga dinamik va prognoz elementlarini qo‘shish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Xitoy</w:t>
            </w:r>
          </w:p>
        </w:tc>
        <w:tc>
          <w:tcPr/>
          <w:p>
            <w:pPr>
              <w:pStyle w:val="Compact"/>
              <w:spacing w:line="240" w:lineRule="auto"/>
              <w:ind w:firstLine="0"/>
              <w:jc w:val="left"/>
            </w:pPr>
            <w:r>
              <w:rPr>
                <w:rFonts w:ascii="Times New Roman" w:hAnsi="Times New Roman" w:cs="Times New Roman" w:eastAsia="Times New Roman"/>
                <w:sz w:val="22"/>
              </w:rPr>
              <w:t xml:space="preserve">Rasmiy NPL bilan haqiqiy risk o‘rtasida katta tafovut</w:t>
            </w:r>
          </w:p>
        </w:tc>
        <w:tc>
          <w:tcPr/>
          <w:p>
            <w:pPr>
              <w:pStyle w:val="Compact"/>
              <w:spacing w:line="240" w:lineRule="auto"/>
              <w:ind w:firstLine="0"/>
              <w:jc w:val="left"/>
            </w:pPr>
            <w:r>
              <w:rPr>
                <w:rFonts w:ascii="Times New Roman" w:hAnsi="Times New Roman" w:cs="Times New Roman" w:eastAsia="Times New Roman"/>
                <w:sz w:val="22"/>
              </w:rPr>
              <w:t xml:space="preserve">Aktivlar sifatini MHXS 9 bo‘yicha va mustaqil baholash; davlat banklariga alohida e’tibor</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 keltirilgan xulosalarni uch asosiy yo‘nalishga birlashtirish mumkin.</w:t>
      </w:r>
    </w:p>
    <w:p>
      <w:pPr>
        <w:pStyle w:val="BodyText"/>
        <w:spacing w:line="360" w:lineRule="auto" w:before="0" w:after="0"/>
        <w:ind w:firstLine="709"/>
        <w:jc w:val="both"/>
      </w:pPr>
      <w:r>
        <w:rPr>
          <w:rFonts w:ascii="Times New Roman" w:hAnsi="Times New Roman" w:cs="Times New Roman" w:eastAsia="Times New Roman"/>
          <w:sz w:val="28"/>
        </w:rPr>
        <w:t xml:space="preserve">Birinchidan, rivojlangan mamlakatlarda baholash natijasi shunchaki axborot bo‘lib qolmaydi, balki aniq nazorat qarori uchun asos bo‘ladi. AQShda tezkor tuzatuvchi choralar toifasi majburiy choralarni, Buyuk Britaniyada esa risk matritsasi tekshiruv davriyligini belgilaydi. O‘zbekistonda bo‘lsa, 2.3-paragrafda ko‘rsatilganidek, erta ogohlantirish va tezkor tuzatuvchi choralar tizimi hali shakllanish bosqichida.</w:t>
      </w:r>
    </w:p>
    <w:p>
      <w:pPr>
        <w:pStyle w:val="BodyText"/>
        <w:spacing w:line="360" w:lineRule="auto" w:before="0" w:after="0"/>
        <w:ind w:firstLine="709"/>
        <w:jc w:val="both"/>
      </w:pPr>
      <w:r>
        <w:rPr>
          <w:rFonts w:ascii="Times New Roman" w:hAnsi="Times New Roman" w:cs="Times New Roman" w:eastAsia="Times New Roman"/>
          <w:sz w:val="28"/>
        </w:rPr>
        <w:t xml:space="preserve">Ikkinchidan, xorijiy tajriba baholash metodikasining shaffofligi va bashorat kuchini muntazam tekshirib borish muhimligini ko‘rsatadi. AQSh statistik modellarning bashorat aniqligini doimiy tekshirib boradi, Yevropa Ittifoqi esa banklar ko‘rsatkichlarini ochiq ma’lumotlar bazasi sifatida e’lon qiladi. Rossiya tizimining asosiy kamchiligi sifatida aynan dinamika va prognozning yo‘qligi ko‘rsatilgani ham bejiz emas. Bularning barchasi dissertatsiyada taklif etiladigan integral indeksning bashorat kuchini ham albatta tekshirish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Uchinchidan, rasmiy ko‘rsatkichlarning ishonchliligi masalasiga alohida e’tibor qaratish lozim. Xitoy tajribasi va AQShdagi CRA qonuni bilan bog‘liq holatlar davlat tomonidan yo‘naltirilgan kreditlash ulushi yuqori bo‘lgan tizimlarda rasmiy ko‘rsatkichlar haqiqiy riskni kamsitib ko‘rsatishi mumkinligidan dalolat beradi. Davlat banklari ulushi hamon yuqori bo‘lgan O‘zbekiston uchun bu xulosa ayniqsa muhimdir.</w:t>
      </w:r>
    </w:p>
    <w:p>
      <w:pPr>
        <w:pStyle w:val="BodyText"/>
        <w:spacing w:line="360" w:lineRule="auto" w:before="0" w:after="0"/>
        <w:ind w:firstLine="709"/>
        <w:jc w:val="both"/>
      </w:pPr>
      <w:r>
        <w:rPr>
          <w:rFonts w:ascii="Times New Roman" w:hAnsi="Times New Roman" w:cs="Times New Roman" w:eastAsia="Times New Roman"/>
          <w:sz w:val="28"/>
        </w:rPr>
        <w:t xml:space="preserve">Xorijiy mamlakatlar tajribasini tadqiq etgan holda xulosa qilish mumkinki, banklar moliyaviy barqarorligini baholashda reyting tizimlari, koeffitsiyentlar va guruhlab tahlil qilish tizimlari, risklarni kompleks baholash tizimlari hamda statistik modellardan iborat to‘rt turdagi yondashuv qo‘llanadi va rivojlangan mamlakatlarda ular bir-birini to‘ldirgan holda birgalikda ishlatiladi. AQSh tajribasi kapital ko‘rsatkichini pog‘onali shkala bilan baholab, uni majburiy nazorat choralari bilan bog‘lash, statistik modellar orqali bashorat aniqligini oshirish va stress-test natijalarini oshkor qilish samarali ekanini ko‘rsatdi. G‘arbiy Yevropa mamlakatlari nazorat intensivligini risk darajasiga bog‘lash va qiyosiy baholash afzalliklarini, Yevropa Ittifoqi esa mikro va makroprudensial nazoratni integratsiyalash hamda ochiq ma’lumotlar bazasini shakllantirish ahamiyatini namoyon etdi. Rossiya tajribasi ochiq vaznli ballik tizimning afzalliklari bilan birga uning dinamika va prognozni hisobga olmaslik kabi kamchiliklarini, Bazel III ni joriy etishda esa milliy bozorning tayyorligini inobatga olish zarurligini ochib berdi. Xitoy tajribasi davlat ulushi yuqori bo‘lgan tizimlarda rasmiy ko‘rsatkichlar ishonchliligi muammosini yaqqol ko‘rsatdi. Bu o‘z navbatida, O‘zbekistonda baholash natijalarini nazorat choralari bilan bog‘lash, baholash metodikasining shaffofligi va bashorat kuchini ta’minlash hamda aktivlar sifatini xalqaro standartlar asosida mustaqil baholash zaruriyatini yuzaga keltiradi. Ushbu yo‘nalishlar dissertatsiyaning III va IV boblarida ishlab chiqiladigan integral baholash metodikasi va erta ogohlantirish tizimining asosiy tamoyillari bo‘lib xizmat qiladi.</w:t>
      </w:r>
    </w:p>
    <w:bookmarkEnd w:id="3"/>
    <w:bookmarkStart w:id="4" w:name="i-bob-boyicha-xulosalar"/>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I bob bo‘yicha xulosalar</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birinchi bobida tijorat banklari moliyaviy barqarorligini baholashning nazariy-metodologik asoslari, xalqaro standartlari va xorijiy tajribasi tadqiq etildi hamda quyidagi xulosalar shakllantirildi.</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Tijorat banki moliyaviy barqarorligi stabillik, ishonchlilik va muvozanat kabi yaqin tushunchalardan farqli o‘laroq, bankning rivojlanish jarayoniga xos dinamik va kompleks xususiyat bo‘lib, u bankning ichki va tashqi shoklar sharoitida o‘z funksiyalarini uzluksiz bajarish, kapital, likvidlik va daromadlilik muvozanatini saqlash hamda ishonchni ta’minlash qobiliyatini ifodalaydi. Iqtisodiy adabiyotda resurs, institutsional-funksional, ishonch hamda risk va chidamlilik yondashuvlari asosida berilgan ta’riflar bir-birini to‘ldiradi.</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Moliyaviy barqarorlik alohida bank, bank tizimi va moliya tizimi darajalarida namoyon bo‘ladi va bu darajalar o‘zaro bog‘liq. Likvidlik yaratish, moliyaviy beqarorlik, kapital-bufer, Z-score, makroprudensial va kelajakka yo‘naltirilgan risk modellari barqarorlikning turli tomonlarini tushuntiradi, ammo ularning birortasi alohida olinganda tijorat banki barqarorligini to‘liq tavsiflay olmaydi. Nazorat amaliyoti esa mikroprudensial konsepsiyadan makroprudensial va kelajakka yo‘naltirilgan konsepsiyalar sinteziga o‘tmoqda.</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Muallif tomonidan moliyaviy barqarorlikni baholashning konseptual modeli taklif etildi. Unda barqarorlik besh blok – kapital, aktivlar sifati, likvidlik, daromadlilik va boshqaruv sifati orqali tavsiflanib, har bir blok ko‘rsatkichlari uch o‘lchovda – xalqaro va milliy chegaralarga nisbatan darajasi, bir necha yillik dinamikasi va boshqa bloklar bilan muvozanati bo‘yicha baholanadi, bloklar baholari esa integral ko‘rsatkichga birlashtirilib, erta ogohlantirish signallari bilan bog‘lanadi.</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Baholash zarurati axborot asimmetriyasi, depozit shartnomasining zaifligi, kapitalning bufer funksiyasi va tizimli risk kabi nazariy asoslardan kelib chiqadi va ularning har biri metodikaga muayyan blok sifatida o‘z talabini qo‘yadi. Baholash yondashuvlari – koeffitsiyentli, reyting, risklarga yo‘naltirilgan, statistik va bozor indikatorlariga asoslangan yondashuvlarning birortasi universal emas. Fond bozori rivojlanayotgan mamlakatlar uchun buxgalteriya ma’lumotlariga asoslangan, reyting va statistik yondashuvlar afzalliklarini birlashtiruvchi gibrid integral baholash tizimi eng maqbul hisoblanadi.</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Xalqaro standartlar baholashning turli elementlarini ta’minlaydi: Bazel III kapital va likvidlik bo‘yicha aniq mezonlar va pog‘onali baholash namunasini (birinchi darajali asosiy kapital uchun 4,5 foiz va 2,5 foizlik kapitalni saqlash buferi, likvidlikni qoplash koeffitsiyenti va sof barqaror moliyalashtirish me’yori uchun 100 foiz), MHXS 9 aktivlar sifatini uch bosqichli tasnif va kutilgan kredit zararlari orqali kelajakka yo‘naltirilgan holda baholash tamoyilini, Xalqaro valyuta jamg‘armasining moliyaviy barqarorlik ko‘rsatkichlari esa xalqaro taqqoslanadigan ko‘rsatkichlar tarkibini beradi. Biroq ularning birortasi yagona integral bahoni ta’minlamaydi.</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Xorijiy mamlakatlarda reyting tizimlari, koeffitsiyentlar va guruhlab tahlil qilish tizimlari, risklarni kompleks baholash tizimlari hamda statistik modellardan iborat to‘rt turdagi yondashuv bir-birini to‘ldirgan holda qo‘llanadi. AQSh tajribasi kapital ko‘rsatkichini pog‘onali shkala bilan baholab, uni majburiy nazorat choralari bilan bog‘lash, statistik modellar bashorat aniqligini tekshirib borish va stress-test natijalarini oshkor qilish samaradorligini, Yevropa Ittifoqi tajribasi mikro va makroprudensial nazoratni integratsiyalash va banklar ko‘rsatkichlarining ochiq ma’lumotlar bazasini shakllantirish ahamiyatini ko‘rsatdi.</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Rossiya tajribasi ochiq vaznli ballik tizimning afzalliklari bilan birga uning dinamika va prognozni hisobga olmaslik kabi kamchiliklarini ochib berdi. Xitoy tajribasi va AQShda ijtimoiy kreditlash majburiyati bilan bog‘liq holatlar esa davlat tomonidan yo‘naltirilgan kreditlash ulushi yuqori bo‘lgan tizimlarda rasmiy ko‘rsatkichlar haqiqiy riskni kamsitib ko‘rsatishi mumkinligini namoyon etdi. Davlat banklari ulushi hamon yuqori bo‘lgan O‘zbekiston uchun bu xulosa ayniqsa muhim.</w:t>
      </w:r>
    </w:p>
    <w:p>
      <w:pPr>
        <w:numPr>
          <w:ilvl w:val="0"/>
          <w:numId w:val="10"/>
        </w:numPr>
        <w:spacing w:line="360" w:lineRule="auto" w:before="0" w:after="0"/>
        <w:ind w:firstLine="709"/>
        <w:jc w:val="both"/>
      </w:pPr>
      <w:r>
        <w:rPr>
          <w:rFonts w:ascii="Times New Roman" w:hAnsi="Times New Roman" w:cs="Times New Roman" w:eastAsia="Times New Roman"/>
          <w:sz w:val="28"/>
        </w:rPr>
        <w:t xml:space="preserve">Nazariy va xorijiy tajriba tahlili natijalari O‘zbekiston sharoitida qo‘llanadigan baholash metodikasiga quyidagi talablarni belgilaydi: kapital va likvidlik mezonlari Bazel III ga bog‘lanishi; aktivlar sifati MHXS 9 tamoyillari asosida baholanishi; ko‘rsatkichlar tarkibi CAMELS va Xalqaro valyuta jamg‘armasi ko‘rsatkichlari bilan muvofiqlashtirilishi va dollarlashuv sharoitida valyuta riskiga sezgirlikni ham qamrab olishi; baholash natijalari nazorat choralari bilan bog‘lanishi; metodika ochiq ma’lumotlarga asoslangan, shaffof va bashorat kuchi tekshirib boriladigan bo‘lishi.</w:t>
      </w:r>
    </w:p>
    <w:p>
      <w:pPr>
        <w:pStyle w:val="FirstParagraph"/>
        <w:spacing w:line="360" w:lineRule="auto" w:before="0" w:after="0"/>
        <w:ind w:firstLine="709"/>
        <w:jc w:val="both"/>
      </w:pPr>
      <w:r>
        <w:rPr>
          <w:rFonts w:ascii="Times New Roman" w:hAnsi="Times New Roman" w:cs="Times New Roman" w:eastAsia="Times New Roman"/>
          <w:sz w:val="28"/>
        </w:rPr>
        <w:t xml:space="preserve">Umuman olganda, birinchi bob natijalari mavjud yondashuvlar va xalqaro standartlarning afzalliklarini birlashtiruvchi, mezoniy qiymatlari Bazel III ga bog‘langan, aktivlar sifati MHXS 9 bo‘yicha baholanadigan va erta ogohlantirish tizimi bilan bog‘langan integral baholash metodikasini ishlab chiqish zaruratini nazariy jihatdan asoslaydi. Bunday metodikaning O‘zbekiston amaliyotiga tatbiq etilish shart-sharoitlari dissertatsiyaning ikkinchi bobida tahlil qilinadi.</w:t>
      </w:r>
    </w:p>
    <w:bookmarkEnd w:id="4"/>
    <w:p>
      <w:pPr>
        <w:pStyle w:val="Heading1"/>
        <w:pageBreakBefore/>
        <w:jc w:val="center"/>
      </w:pPr>
      <w:r>
        <w:t>II BOB. O‘ZBEKISTON BANK TIZIMIDA MOLIYAVIY BARQARORLIKNI BAHOLASH AMALIYOTINING XALQARO STANDARTLARGA MUVOFIQLIGI TAHLILI</w:t>
      </w:r>
    </w:p>
    <w:bookmarkStart w:id="5" w:name="Xacf6eb0da76150b1b8727c097bc04fa1f11b2d8"/>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2.1-§. Oʻzbekistonda banklar moliyaviy barqarorligini baholashning amaldagi holati va xalqaro standartlarga moslashtirish muammolari</w:t>
      </w:r>
    </w:p>
    <w:p>
      <w:pPr>
        <w:pStyle w:val="FirstParagraph"/>
        <w:spacing w:line="360" w:lineRule="auto" w:before="0" w:after="0"/>
        <w:ind w:firstLine="709"/>
        <w:jc w:val="both"/>
      </w:pPr>
      <w:r>
        <w:rPr>
          <w:rFonts w:ascii="Times New Roman" w:hAnsi="Times New Roman" w:cs="Times New Roman" w:eastAsia="Times New Roman"/>
          <w:sz w:val="28"/>
        </w:rPr>
        <w:t xml:space="preserve">Birinchi bobda moliyaviy barqarorlikni baholashning nazariy asoslari va xalqaro standartlari ko‘rib chiqildi. Ushbu paragrafda O‘zbekistonda shu standartlar qay darajada joriy etilgani, banklar moliyaviy barqarorligini baholashning amaldagi tizimi qanday tuzilgani va uni xalqaro talablarga to‘liq moslashtirishga nimalar to‘sqinlik qilayotgani tahlil qilinadi. Tahlil Markaziy bankning me’yoriy hujjatlari va moliyaviy barqarorlik sharhlariga hamda Xalqaro valyuta jamg‘armasi va Jahon bankining 2024–2025-yillarda o‘tkazilgan moliya sektorini baholash dasturi (FSAP) materiallariga tayanadi.</w:t>
      </w:r>
    </w:p>
    <w:bookmarkStart w:id="6" w:name="X19913ebc704099758ceb5b2d73a60641195b139"/>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1. Baholashning me’yoriy-huquqiy va institutsional asoslari</w:t>
      </w:r>
    </w:p>
    <w:p>
      <w:pPr>
        <w:pStyle w:val="FirstParagraph"/>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vakolati O‘zbekiston Respublikasi Markaziy bankiga yuklangan. Baholashning huquqiy asosini «O‘zbekiston Respublikasining Markaziy banki to‘g‘risida»gi va «Banklar va bank faoliyati to‘g‘risida»gi qonunlar tashkil etadi. Ularga asoslanib Markaziy bank prudensial talablar, nazorat tartibi va baholash usullarini belgilovchi qator nizomlarni qabul qilgan. Amaldagi me’yoriy tizimning asosiy elementlari 2.1.1-rasmda keltirilgan.</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520000"/>
                <wp:effectExtent l="0" t="0" r="0" b="0"/>
                <wp:docPr id="20" name="2.1.1-rasm"/>
                <wp:cNvGraphicFramePr/>
                <a:graphic>
                  <a:graphicData uri="http://schemas.microsoft.com/office/word/2010/wordprocessingGroup">
                    <wpg:wgp>
                      <wpg:cNvGrpSpPr/>
                      <wpg:grpSpPr>
                        <a:xfrm>
                          <a:off x="0" y="0"/>
                          <a:ext cx="5904000" cy="2520000"/>
                          <a:chOff x="0" y="0"/>
                          <a:chExt cx="5904000" cy="2520000"/>
                        </a:xfrm>
                      </wpg:grpSpPr>
                      <wps:wsp>
                        <wps:cNvPr id="2" name="Shape 2"/>
                        <wps:cNvSpPr/>
                        <wps:spPr>
                          <a:xfrm>
                            <a:off x="36000" y="36000"/>
                            <a:ext cx="1008000" cy="486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Qonunlar</w:t>
                              </w:r>
                            </w:p>
                          </w:txbxContent>
                        </wps:txbx>
                        <wps:bodyPr rot="0" vert="horz" wrap="square" lIns="36000" tIns="18000" rIns="36000" bIns="18000" anchor="ctr" anchorCtr="0">
                          <a:noAutofit/>
                        </wps:bodyPr>
                      </wps:wsp>
                      <wps:wsp>
                        <wps:cNvPr id="3" name="Shape 3"/>
                        <wps:cNvSpPr/>
                        <wps:spPr>
                          <a:xfrm>
                            <a:off x="1116000" y="36000"/>
                            <a:ext cx="2358000" cy="486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«O‘zbekiston Respublikasining</w:t>
                              </w:r>
                            </w:p>
                            <w:p>
                              <w:pPr>
                                <w:spacing w:before="0" w:after="0" w:line="228" w:lineRule="auto"/>
                                <w:jc w:val="center"/>
                                <w:ind w:firstLine="0"/>
                              </w:pPr>
                              <w:r>
                                <w:rPr>
                                  <w:rFonts w:ascii="Times New Roman" w:hAnsi="Times New Roman" w:cs="Times New Roman"/>
                                  <w:color w:val="000000"/>
                                  <w:sz w:val="20"/>
                                  <w:szCs w:val="20"/>
                                </w:rPr>
                                <w:t xml:space="preserve">Markaziy banki to‘g‘risida»gi Qonun</w:t>
                              </w:r>
                            </w:p>
                          </w:txbxContent>
                        </wps:txbx>
                        <wps:bodyPr rot="0" vert="horz" wrap="square" lIns="36000" tIns="18000" rIns="36000" bIns="18000" anchor="ctr" anchorCtr="0">
                          <a:noAutofit/>
                        </wps:bodyPr>
                      </wps:wsp>
                      <wps:wsp>
                        <wps:cNvPr id="4" name="Shape 4"/>
                        <wps:cNvSpPr/>
                        <wps:spPr>
                          <a:xfrm>
                            <a:off x="3546000" y="36000"/>
                            <a:ext cx="2358000" cy="486000"/>
                          </a:xfrm>
                          <a:prstGeom prst="roundRect">
                            <a:avLst>
                              <a:gd name="adj" fmla="val 10000"/>
                            </a:avLst>
                          </a:prstGeom>
                          <a:solidFill>
                            <a:srgbClr val="F2F2F2"/>
                          </a:solidFill>
                          <a:ln w="12700">
                            <a:solidFill>
                              <a:srgbClr val="1F4E79"/>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«Banklar va bank faoliyati</w:t>
                              </w:r>
                            </w:p>
                            <w:p>
                              <w:pPr>
                                <w:spacing w:before="0" w:after="0" w:line="228" w:lineRule="auto"/>
                                <w:jc w:val="center"/>
                                <w:ind w:firstLine="0"/>
                              </w:pPr>
                              <w:r>
                                <w:rPr>
                                  <w:rFonts w:ascii="Times New Roman" w:hAnsi="Times New Roman" w:cs="Times New Roman"/>
                                  <w:color w:val="000000"/>
                                  <w:sz w:val="20"/>
                                  <w:szCs w:val="20"/>
                                </w:rPr>
                                <w:t xml:space="preserve">to‘g‘risida»gi Qonun</w:t>
                              </w:r>
                            </w:p>
                          </w:txbxContent>
                        </wps:txbx>
                        <wps:bodyPr rot="0" vert="horz" wrap="square" lIns="36000" tIns="18000" rIns="36000" bIns="18000" anchor="ctr" anchorCtr="0">
                          <a:noAutofit/>
                        </wps:bodyPr>
                      </wps:wsp>
                      <wps:wsp>
                        <wps:cNvPr id="5" name="Connector 5"/>
                        <wps:cNvCnPr/>
                        <wps:spPr>
                          <a:xfrm>
                            <a:off x="540000" y="522000"/>
                            <a:ext cx="0" cy="162000"/>
                          </a:xfrm>
                          <a:prstGeom prst="straightConnector1">
                            <a:avLst/>
                          </a:prstGeom>
                          <a:ln w="19050">
                            <a:solidFill>
                              <a:srgbClr val="404040"/>
                            </a:solidFill>
                            <a:tailEnd type="triangle" w="med" len="med"/>
                          </a:ln>
                        </wps:spPr>
                        <wps:bodyPr/>
                      </wps:wsp>
                      <wps:wsp>
                        <wps:cNvPr id="6" name="Shape 6"/>
                        <wps:cNvSpPr/>
                        <wps:spPr>
                          <a:xfrm>
                            <a:off x="36000" y="684000"/>
                            <a:ext cx="1008000" cy="486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Prudensial</w:t>
                              </w:r>
                            </w:p>
                            <w:p>
                              <w:pPr>
                                <w:spacing w:before="0" w:after="0" w:line="228" w:lineRule="auto"/>
                                <w:jc w:val="center"/>
                                <w:ind w:firstLine="0"/>
                              </w:pPr>
                              <w:r>
                                <w:rPr>
                                  <w:rFonts w:ascii="Times New Roman" w:hAnsi="Times New Roman" w:cs="Times New Roman"/>
                                  <w:b/>
                                  <w:color w:val="FFFFFF"/>
                                  <w:sz w:val="22"/>
                                  <w:szCs w:val="22"/>
                                </w:rPr>
                                <w:t xml:space="preserve">talablar</w:t>
                              </w:r>
                            </w:p>
                          </w:txbxContent>
                        </wps:txbx>
                        <wps:bodyPr rot="0" vert="horz" wrap="square" lIns="36000" tIns="18000" rIns="36000" bIns="18000" anchor="ctr" anchorCtr="0">
                          <a:noAutofit/>
                        </wps:bodyPr>
                      </wps:wsp>
                      <wps:wsp>
                        <wps:cNvPr id="7" name="Shape 7"/>
                        <wps:cNvSpPr/>
                        <wps:spPr>
                          <a:xfrm>
                            <a:off x="1116000" y="684000"/>
                            <a:ext cx="1548000" cy="48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Kapital monandligi</w:t>
                              </w:r>
                            </w:p>
                            <w:p>
                              <w:pPr>
                                <w:spacing w:before="0" w:after="0" w:line="228" w:lineRule="auto"/>
                                <w:jc w:val="center"/>
                                <w:ind w:firstLine="0"/>
                              </w:pPr>
                              <w:r>
                                <w:rPr>
                                  <w:rFonts w:ascii="Times New Roman" w:hAnsi="Times New Roman" w:cs="Times New Roman"/>
                                  <w:color w:val="000000"/>
                                  <w:sz w:val="20"/>
                                  <w:szCs w:val="20"/>
                                </w:rPr>
                                <w:t xml:space="preserve">(№ 3697, 2025)</w:t>
                              </w:r>
                            </w:p>
                          </w:txbxContent>
                        </wps:txbx>
                        <wps:bodyPr rot="0" vert="horz" wrap="square" lIns="36000" tIns="18000" rIns="36000" bIns="18000" anchor="ctr" anchorCtr="0">
                          <a:noAutofit/>
                        </wps:bodyPr>
                      </wps:wsp>
                      <wps:wsp>
                        <wps:cNvPr id="8" name="Shape 8"/>
                        <wps:cNvSpPr/>
                        <wps:spPr>
                          <a:xfrm>
                            <a:off x="2736000" y="684000"/>
                            <a:ext cx="1548000" cy="48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Likvidlik</w:t>
                              </w:r>
                            </w:p>
                            <w:p>
                              <w:pPr>
                                <w:spacing w:before="0" w:after="0" w:line="228" w:lineRule="auto"/>
                                <w:jc w:val="center"/>
                                <w:ind w:firstLine="0"/>
                              </w:pPr>
                              <w:r>
                                <w:rPr>
                                  <w:rFonts w:ascii="Times New Roman" w:hAnsi="Times New Roman" w:cs="Times New Roman"/>
                                  <w:color w:val="000000"/>
                                  <w:sz w:val="20"/>
                                  <w:szCs w:val="20"/>
                                </w:rPr>
                                <w:t xml:space="preserve">(LCR, NSFR, milliy</w:t>
                              </w:r>
                            </w:p>
                            <w:p>
                              <w:pPr>
                                <w:spacing w:before="0" w:after="0" w:line="228" w:lineRule="auto"/>
                                <w:jc w:val="center"/>
                                <w:ind w:firstLine="0"/>
                              </w:pPr>
                              <w:r>
                                <w:rPr>
                                  <w:rFonts w:ascii="Times New Roman" w:hAnsi="Times New Roman" w:cs="Times New Roman"/>
                                  <w:color w:val="000000"/>
                                  <w:sz w:val="20"/>
                                  <w:szCs w:val="20"/>
                                </w:rPr>
                                <w:t xml:space="preserve">normativlar)</w:t>
                              </w:r>
                            </w:p>
                          </w:txbxContent>
                        </wps:txbx>
                        <wps:bodyPr rot="0" vert="horz" wrap="square" lIns="36000" tIns="18000" rIns="36000" bIns="18000" anchor="ctr" anchorCtr="0">
                          <a:noAutofit/>
                        </wps:bodyPr>
                      </wps:wsp>
                      <wps:wsp>
                        <wps:cNvPr id="9" name="Shape 9"/>
                        <wps:cNvSpPr/>
                        <wps:spPr>
                          <a:xfrm>
                            <a:off x="4356000" y="684000"/>
                            <a:ext cx="1548000" cy="48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Aktivlarni tasniflash</w:t>
                              </w:r>
                            </w:p>
                            <w:p>
                              <w:pPr>
                                <w:spacing w:before="0" w:after="0" w:line="228" w:lineRule="auto"/>
                                <w:jc w:val="center"/>
                                <w:ind w:firstLine="0"/>
                              </w:pPr>
                              <w:r>
                                <w:rPr>
                                  <w:rFonts w:ascii="Times New Roman" w:hAnsi="Times New Roman" w:cs="Times New Roman"/>
                                  <w:color w:val="000000"/>
                                  <w:sz w:val="20"/>
                                  <w:szCs w:val="20"/>
                                </w:rPr>
                                <w:t xml:space="preserve">va zaxiralar</w:t>
                              </w:r>
                            </w:p>
                          </w:txbxContent>
                        </wps:txbx>
                        <wps:bodyPr rot="0" vert="horz" wrap="square" lIns="36000" tIns="18000" rIns="36000" bIns="18000" anchor="ctr" anchorCtr="0">
                          <a:noAutofit/>
                        </wps:bodyPr>
                      </wps:wsp>
                      <wps:wsp>
                        <wps:cNvPr id="10" name="Connector 10"/>
                        <wps:cNvCnPr/>
                        <wps:spPr>
                          <a:xfrm>
                            <a:off x="540000" y="1170000"/>
                            <a:ext cx="0" cy="162000"/>
                          </a:xfrm>
                          <a:prstGeom prst="straightConnector1">
                            <a:avLst/>
                          </a:prstGeom>
                          <a:ln w="19050">
                            <a:solidFill>
                              <a:srgbClr val="404040"/>
                            </a:solidFill>
                            <a:tailEnd type="triangle" w="med" len="med"/>
                          </a:ln>
                        </wps:spPr>
                        <wps:bodyPr/>
                      </wps:wsp>
                      <wps:wsp>
                        <wps:cNvPr id="11" name="Shape 11"/>
                        <wps:cNvSpPr/>
                        <wps:spPr>
                          <a:xfrm>
                            <a:off x="36000" y="1332000"/>
                            <a:ext cx="1008000" cy="486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Ichki boshqaruv</w:t>
                              </w:r>
                            </w:p>
                            <w:p>
                              <w:pPr>
                                <w:spacing w:before="0" w:after="0" w:line="228" w:lineRule="auto"/>
                                <w:jc w:val="center"/>
                                <w:ind w:firstLine="0"/>
                              </w:pPr>
                              <w:r>
                                <w:rPr>
                                  <w:rFonts w:ascii="Times New Roman" w:hAnsi="Times New Roman" w:cs="Times New Roman"/>
                                  <w:b/>
                                  <w:color w:val="FFFFFF"/>
                                  <w:sz w:val="22"/>
                                  <w:szCs w:val="22"/>
                                </w:rPr>
                                <w:t xml:space="preserve">talablari</w:t>
                              </w:r>
                            </w:p>
                          </w:txbxContent>
                        </wps:txbx>
                        <wps:bodyPr rot="0" vert="horz" wrap="square" lIns="36000" tIns="18000" rIns="36000" bIns="18000" anchor="ctr" anchorCtr="0">
                          <a:noAutofit/>
                        </wps:bodyPr>
                      </wps:wsp>
                      <wps:wsp>
                        <wps:cNvPr id="12" name="Shape 12"/>
                        <wps:cNvSpPr/>
                        <wps:spPr>
                          <a:xfrm>
                            <a:off x="1116000" y="1332000"/>
                            <a:ext cx="1548000" cy="48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Korporativ boshqaruv</w:t>
                              </w:r>
                            </w:p>
                            <w:p>
                              <w:pPr>
                                <w:spacing w:before="0" w:after="0" w:line="228" w:lineRule="auto"/>
                                <w:jc w:val="center"/>
                                <w:ind w:firstLine="0"/>
                              </w:pPr>
                              <w:r>
                                <w:rPr>
                                  <w:rFonts w:ascii="Times New Roman" w:hAnsi="Times New Roman" w:cs="Times New Roman"/>
                                  <w:color w:val="000000"/>
                                  <w:sz w:val="20"/>
                                  <w:szCs w:val="20"/>
                                </w:rPr>
                                <w:t xml:space="preserve">(№ 3254, 2020)</w:t>
                              </w:r>
                            </w:p>
                          </w:txbxContent>
                        </wps:txbx>
                        <wps:bodyPr rot="0" vert="horz" wrap="square" lIns="36000" tIns="18000" rIns="36000" bIns="18000" anchor="ctr" anchorCtr="0">
                          <a:noAutofit/>
                        </wps:bodyPr>
                      </wps:wsp>
                      <wps:wsp>
                        <wps:cNvPr id="13" name="Shape 13"/>
                        <wps:cNvSpPr/>
                        <wps:spPr>
                          <a:xfrm>
                            <a:off x="2736000" y="1332000"/>
                            <a:ext cx="1548000" cy="48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Risklarni boshqarish</w:t>
                              </w:r>
                            </w:p>
                            <w:p>
                              <w:pPr>
                                <w:spacing w:before="0" w:after="0" w:line="228" w:lineRule="auto"/>
                                <w:jc w:val="center"/>
                                <w:ind w:firstLine="0"/>
                              </w:pPr>
                              <w:r>
                                <w:rPr>
                                  <w:rFonts w:ascii="Times New Roman" w:hAnsi="Times New Roman" w:cs="Times New Roman"/>
                                  <w:color w:val="000000"/>
                                  <w:sz w:val="20"/>
                                  <w:szCs w:val="20"/>
                                </w:rPr>
                                <w:t xml:space="preserve">tizimi (№ 3427, 2023)</w:t>
                              </w:r>
                            </w:p>
                          </w:txbxContent>
                        </wps:txbx>
                        <wps:bodyPr rot="0" vert="horz" wrap="square" lIns="36000" tIns="18000" rIns="36000" bIns="18000" anchor="ctr" anchorCtr="0">
                          <a:noAutofit/>
                        </wps:bodyPr>
                      </wps:wsp>
                      <wps:wsp>
                        <wps:cNvPr id="14" name="Shape 14"/>
                        <wps:cNvSpPr/>
                        <wps:spPr>
                          <a:xfrm>
                            <a:off x="4356000" y="1332000"/>
                            <a:ext cx="1548000" cy="48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Ichki audit</w:t>
                              </w:r>
                            </w:p>
                            <w:p>
                              <w:pPr>
                                <w:spacing w:before="0" w:after="0" w:line="228" w:lineRule="auto"/>
                                <w:jc w:val="center"/>
                                <w:ind w:firstLine="0"/>
                              </w:pPr>
                              <w:r>
                                <w:rPr>
                                  <w:rFonts w:ascii="Times New Roman" w:hAnsi="Times New Roman" w:cs="Times New Roman"/>
                                  <w:color w:val="000000"/>
                                  <w:sz w:val="20"/>
                                  <w:szCs w:val="20"/>
                                </w:rPr>
                                <w:t xml:space="preserve">(№ 3302, 2021)</w:t>
                              </w:r>
                            </w:p>
                          </w:txbxContent>
                        </wps:txbx>
                        <wps:bodyPr rot="0" vert="horz" wrap="square" lIns="36000" tIns="18000" rIns="36000" bIns="18000" anchor="ctr" anchorCtr="0">
                          <a:noAutofit/>
                        </wps:bodyPr>
                      </wps:wsp>
                      <wps:wsp>
                        <wps:cNvPr id="15" name="Connector 15"/>
                        <wps:cNvCnPr/>
                        <wps:spPr>
                          <a:xfrm>
                            <a:off x="540000" y="1818000"/>
                            <a:ext cx="0" cy="162000"/>
                          </a:xfrm>
                          <a:prstGeom prst="straightConnector1">
                            <a:avLst/>
                          </a:prstGeom>
                          <a:ln w="19050">
                            <a:solidFill>
                              <a:srgbClr val="404040"/>
                            </a:solidFill>
                            <a:tailEnd type="triangle" w="med" len="med"/>
                          </a:ln>
                        </wps:spPr>
                        <wps:bodyPr/>
                      </wps:wsp>
                      <wps:wsp>
                        <wps:cNvPr id="16" name="Shape 16"/>
                        <wps:cNvSpPr/>
                        <wps:spPr>
                          <a:xfrm>
                            <a:off x="36000" y="1980000"/>
                            <a:ext cx="1008000" cy="486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Nazorat</w:t>
                              </w:r>
                            </w:p>
                            <w:p>
                              <w:pPr>
                                <w:spacing w:before="0" w:after="0" w:line="228" w:lineRule="auto"/>
                                <w:jc w:val="center"/>
                                <w:ind w:firstLine="0"/>
                              </w:pPr>
                              <w:r>
                                <w:rPr>
                                  <w:rFonts w:ascii="Times New Roman" w:hAnsi="Times New Roman" w:cs="Times New Roman"/>
                                  <w:b/>
                                  <w:color w:val="FFFFFF"/>
                                  <w:sz w:val="22"/>
                                  <w:szCs w:val="22"/>
                                </w:rPr>
                                <w:t xml:space="preserve">jarayonlari</w:t>
                              </w:r>
                            </w:p>
                          </w:txbxContent>
                        </wps:txbx>
                        <wps:bodyPr rot="0" vert="horz" wrap="square" lIns="36000" tIns="18000" rIns="36000" bIns="18000" anchor="ctr" anchorCtr="0">
                          <a:noAutofit/>
                        </wps:bodyPr>
                      </wps:wsp>
                      <wps:wsp>
                        <wps:cNvPr id="17" name="Shape 17"/>
                        <wps:cNvSpPr/>
                        <wps:spPr>
                          <a:xfrm>
                            <a:off x="1116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Risklarga asoslangan</w:t>
                              </w:r>
                            </w:p>
                            <w:p>
                              <w:pPr>
                                <w:spacing w:before="0" w:after="0" w:line="228" w:lineRule="auto"/>
                                <w:jc w:val="center"/>
                                <w:ind w:firstLine="0"/>
                              </w:pPr>
                              <w:r>
                                <w:rPr>
                                  <w:rFonts w:ascii="Times New Roman" w:hAnsi="Times New Roman" w:cs="Times New Roman"/>
                                  <w:color w:val="000000"/>
                                  <w:sz w:val="20"/>
                                  <w:szCs w:val="20"/>
                                </w:rPr>
                                <w:t xml:space="preserve">nazorat (42/29, 2023)</w:t>
                              </w:r>
                            </w:p>
                          </w:txbxContent>
                        </wps:txbx>
                        <wps:bodyPr rot="0" vert="horz" wrap="square" lIns="36000" tIns="18000" rIns="36000" bIns="18000" anchor="ctr" anchorCtr="0">
                          <a:noAutofit/>
                        </wps:bodyPr>
                      </wps:wsp>
                      <wps:wsp>
                        <wps:cNvPr id="18" name="Shape 18"/>
                        <wps:cNvSpPr/>
                        <wps:spPr>
                          <a:xfrm>
                            <a:off x="2331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Asoslangan mulohaza</w:t>
                              </w:r>
                            </w:p>
                            <w:p>
                              <w:pPr>
                                <w:spacing w:before="0" w:after="0" w:line="228" w:lineRule="auto"/>
                                <w:jc w:val="center"/>
                                <w:ind w:firstLine="0"/>
                              </w:pPr>
                              <w:r>
                                <w:rPr>
                                  <w:rFonts w:ascii="Times New Roman" w:hAnsi="Times New Roman" w:cs="Times New Roman"/>
                                  <w:color w:val="000000"/>
                                  <w:sz w:val="20"/>
                                  <w:szCs w:val="20"/>
                                </w:rPr>
                                <w:t xml:space="preserve">(34/3, 2023)</w:t>
                              </w:r>
                            </w:p>
                          </w:txbxContent>
                        </wps:txbx>
                        <wps:bodyPr rot="0" vert="horz" wrap="square" lIns="36000" tIns="18000" rIns="36000" bIns="18000" anchor="ctr" anchorCtr="0">
                          <a:noAutofit/>
                        </wps:bodyPr>
                      </wps:wsp>
                      <wps:wsp>
                        <wps:cNvPr id="19" name="Shape 19"/>
                        <wps:cNvSpPr/>
                        <wps:spPr>
                          <a:xfrm>
                            <a:off x="3546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Tizimli banklar</w:t>
                              </w:r>
                            </w:p>
                            <w:p>
                              <w:pPr>
                                <w:spacing w:before="0" w:after="0" w:line="228" w:lineRule="auto"/>
                                <w:jc w:val="center"/>
                                <w:ind w:firstLine="0"/>
                              </w:pPr>
                              <w:r>
                                <w:rPr>
                                  <w:rFonts w:ascii="Times New Roman" w:hAnsi="Times New Roman" w:cs="Times New Roman"/>
                                  <w:color w:val="000000"/>
                                  <w:sz w:val="20"/>
                                  <w:szCs w:val="20"/>
                                </w:rPr>
                                <w:t xml:space="preserve">(4/13, 2023)</w:t>
                              </w:r>
                            </w:p>
                          </w:txbxContent>
                        </wps:txbx>
                        <wps:bodyPr rot="0" vert="horz" wrap="square" lIns="36000" tIns="18000" rIns="36000" bIns="18000" anchor="ctr" anchorCtr="0">
                          <a:noAutofit/>
                        </wps:bodyPr>
                      </wps:wsp>
                      <wps:wsp>
                        <wps:cNvPr id="20" name="Shape 20"/>
                        <wps:cNvSpPr/>
                        <wps:spPr>
                          <a:xfrm>
                            <a:off x="4761000" y="1980000"/>
                            <a:ext cx="1143000" cy="48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Kontrsiklik</w:t>
                              </w:r>
                            </w:p>
                            <w:p>
                              <w:pPr>
                                <w:spacing w:before="0" w:after="0" w:line="228" w:lineRule="auto"/>
                                <w:jc w:val="center"/>
                                <w:ind w:firstLine="0"/>
                              </w:pPr>
                              <w:r>
                                <w:rPr>
                                  <w:rFonts w:ascii="Times New Roman" w:hAnsi="Times New Roman" w:cs="Times New Roman"/>
                                  <w:color w:val="000000"/>
                                  <w:sz w:val="20"/>
                                  <w:szCs w:val="20"/>
                                </w:rPr>
                                <w:t xml:space="preserve">bufer (2026)</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2.1.1-rasm. O‘zbekistonda banklar moliyaviy barqarorligini baholashning me’yoriy-huquqiy asoslari</w:t>
      </w:r>
      <w:r>
        <w:rPr>
          <w:rStyle w:val="FootnoteReference"/>
        </w:rPr>
        <w:footnoteReference w:id="235"/>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me’yoriy tizim to‘rt darajadan iborat. Birinchi daraja – qonunlar. Ikkinchi daraja – prudensial talablar: kapital monandligi, likvidlik, aktivlarni tasniflash va zaxiralar to‘g‘risidagi nizomlar. Uchinchi daraja – bank ichki boshqaruviga qo‘yiladigan talablar: korporativ boshqaruv (2020-yil 30-iyundagi 3254-son), risklarni boshqarish tizimi (2023-yil 18-apreldagi 3427-son) va ichki audit (2021-yil 7-maydagi 3302-son) to‘g‘risidagi nizomlar. To‘rtinchi daraja – Markaziy bankning nazorat jarayonlarini tartibga soluvchi hujjatlar: risklarga asoslangan nazorat bo‘yicha qo‘llanma (2023-yil 23-dekabrdagi 42/29-son qaror), Markaziy bankning asoslangan mulohazasini shakllantirish tartibi (2023-yil 23-sentabrdagi 34/3-son qaror) va tizimli ahamiyatga molik banklarni aniqlash tartibi (2023-yil 18-fevraldagi 4/13-son qaror)</w:t>
      </w:r>
      <w:r>
        <w:rPr>
          <w:rStyle w:val="FootnoteReference"/>
        </w:rPr>
        <w:footnoteReference w:id="236"/>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Me’yoriy bazaning eng muhim yangilanishi 2025-yilda yuz berdi. Markaziy bank Boshqaruvining 2025-yil 2-oktabrdagi 21/6-son qarori bilan «Banklar kapitalining monandligiga qo‘yiladigan talablar to‘g‘risida»gi yangi nizom tasdiqlandi (ro‘yxat raqami 3697) va 2015-yildan beri amal qilib kelgan 2693-son nizom 2026-yil 1-yanvardan o‘z kuchini yo‘qotdi</w:t>
      </w:r>
      <w:r>
        <w:rPr>
          <w:rStyle w:val="FootnoteReference"/>
        </w:rPr>
        <w:footnoteReference w:id="237"/>
      </w:r>
      <w:r>
        <w:rPr>
          <w:rFonts w:ascii="Times New Roman" w:hAnsi="Times New Roman" w:cs="Times New Roman" w:eastAsia="Times New Roman"/>
          <w:sz w:val="28"/>
        </w:rPr>
        <w:t xml:space="preserve">. Shu bilan Bazel III ning makroprudensial elementlari – kapital buferlari ham joriy etildi.</w:t>
      </w:r>
    </w:p>
    <w:bookmarkEnd w:id="5"/>
    <w:bookmarkStart w:id="7" w:name="amaldagi-baholash-tizimining-tarkibi"/>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2. Amaldagi baholash tizimining tarkibi</w:t>
      </w:r>
    </w:p>
    <w:p>
      <w:pPr>
        <w:pStyle w:val="FirstParagraph"/>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bugungi kunda uch darajada amalga oshiriladi: prudensial normativlarga rioya etilishini nazorat qilish, alohida banklar risk profilini baholash va bank tizimi barqarorligini makroprudensial monitoring qilish (2.1.2-rasm).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628000"/>
                <wp:effectExtent l="0" t="0" r="0" b="0"/>
                <wp:docPr id="21" name="2.1.2-rasm"/>
                <wp:cNvGraphicFramePr/>
                <a:graphic>
                  <a:graphicData uri="http://schemas.microsoft.com/office/word/2010/wordprocessingGroup">
                    <wpg:wgp>
                      <wpg:cNvGrpSpPr/>
                      <wpg:grpSpPr>
                        <a:xfrm>
                          <a:off x="0" y="0"/>
                          <a:ext cx="5904000" cy="2628000"/>
                          <a:chOff x="0" y="0"/>
                          <a:chExt cx="5904000" cy="2628000"/>
                        </a:xfrm>
                      </wpg:grpSpPr>
                      <wps:wsp>
                        <wps:cNvPr id="21" name="Shape 21"/>
                        <wps:cNvSpPr/>
                        <wps:spPr>
                          <a:xfrm>
                            <a:off x="2052000" y="36000"/>
                            <a:ext cx="1800000" cy="324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O‘zbekiston Respublikasi</w:t>
                              </w:r>
                            </w:p>
                            <w:p>
                              <w:pPr>
                                <w:spacing w:before="0" w:after="0" w:line="228" w:lineRule="auto"/>
                                <w:jc w:val="center"/>
                                <w:ind w:firstLine="0"/>
                              </w:pPr>
                              <w:r>
                                <w:rPr>
                                  <w:rFonts w:ascii="Times New Roman" w:hAnsi="Times New Roman" w:cs="Times New Roman"/>
                                  <w:b/>
                                  <w:color w:val="FFFFFF"/>
                                  <w:sz w:val="22"/>
                                  <w:szCs w:val="22"/>
                                </w:rPr>
                                <w:t xml:space="preserve">Markaziy banki</w:t>
                              </w:r>
                            </w:p>
                          </w:txbxContent>
                        </wps:txbx>
                        <wps:bodyPr rot="0" vert="horz" wrap="square" lIns="36000" tIns="18000" rIns="36000" bIns="18000" anchor="ctr" anchorCtr="0">
                          <a:noAutofit/>
                        </wps:bodyPr>
                      </wps:wsp>
                      <wps:wsp>
                        <wps:cNvPr id="22" name="Connector 22"/>
                        <wps:cNvCnPr/>
                        <wps:spPr>
                          <a:xfrm flipH="1">
                            <a:off x="954000" y="360000"/>
                            <a:ext cx="1998000" cy="216000"/>
                          </a:xfrm>
                          <a:prstGeom prst="straightConnector1">
                            <a:avLst/>
                          </a:prstGeom>
                          <a:ln w="15875">
                            <a:solidFill>
                              <a:srgbClr val="404040"/>
                            </a:solidFill>
                            <a:tailEnd type="triangle" w="med" len="med"/>
                          </a:ln>
                        </wps:spPr>
                        <wps:bodyPr/>
                      </wps:wsp>
                      <wps:wsp>
                        <wps:cNvPr id="23" name="Shape 23"/>
                        <wps:cNvSpPr/>
                        <wps:spPr>
                          <a:xfrm>
                            <a:off x="36000" y="576000"/>
                            <a:ext cx="1836000" cy="36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Prudensial normativlar</w:t>
                              </w:r>
                            </w:p>
                          </w:txbxContent>
                        </wps:txbx>
                        <wps:bodyPr rot="0" vert="horz" wrap="square" lIns="36000" tIns="18000" rIns="36000" bIns="18000" anchor="ctr" anchorCtr="0">
                          <a:noAutofit/>
                        </wps:bodyPr>
                      </wps:wsp>
                      <wps:wsp>
                        <wps:cNvPr id="24" name="Shape 24"/>
                        <wps:cNvSpPr/>
                        <wps:spPr>
                          <a:xfrm>
                            <a:off x="36000" y="990000"/>
                            <a:ext cx="1836000" cy="936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Kapital monandligi;</w:t>
                              </w:r>
                            </w:p>
                            <w:p>
                              <w:pPr>
                                <w:spacing w:before="0" w:after="0" w:line="228" w:lineRule="auto"/>
                                <w:jc w:val="center"/>
                                <w:ind w:firstLine="0"/>
                              </w:pPr>
                              <w:r>
                                <w:rPr>
                                  <w:rFonts w:ascii="Times New Roman" w:hAnsi="Times New Roman" w:cs="Times New Roman"/>
                                  <w:color w:val="000000"/>
                                  <w:sz w:val="20"/>
                                  <w:szCs w:val="20"/>
                                </w:rPr>
                                <w:t xml:space="preserve">leverej;</w:t>
                              </w:r>
                            </w:p>
                            <w:p>
                              <w:pPr>
                                <w:spacing w:before="0" w:after="0" w:line="228" w:lineRule="auto"/>
                                <w:jc w:val="center"/>
                                <w:ind w:firstLine="0"/>
                              </w:pPr>
                              <w:r>
                                <w:rPr>
                                  <w:rFonts w:ascii="Times New Roman" w:hAnsi="Times New Roman" w:cs="Times New Roman"/>
                                  <w:color w:val="000000"/>
                                  <w:sz w:val="20"/>
                                  <w:szCs w:val="20"/>
                                </w:rPr>
                                <w:t xml:space="preserve">LCR, NSFR va milliy</w:t>
                              </w:r>
                            </w:p>
                            <w:p>
                              <w:pPr>
                                <w:spacing w:before="0" w:after="0" w:line="228" w:lineRule="auto"/>
                                <w:jc w:val="center"/>
                                <w:ind w:firstLine="0"/>
                              </w:pPr>
                              <w:r>
                                <w:rPr>
                                  <w:rFonts w:ascii="Times New Roman" w:hAnsi="Times New Roman" w:cs="Times New Roman"/>
                                  <w:color w:val="000000"/>
                                  <w:sz w:val="20"/>
                                  <w:szCs w:val="20"/>
                                </w:rPr>
                                <w:t xml:space="preserve">likvidlik normativlari;</w:t>
                              </w:r>
                            </w:p>
                            <w:p>
                              <w:pPr>
                                <w:spacing w:before="0" w:after="0" w:line="228" w:lineRule="auto"/>
                                <w:jc w:val="center"/>
                                <w:ind w:firstLine="0"/>
                              </w:pPr>
                              <w:r>
                                <w:rPr>
                                  <w:rFonts w:ascii="Times New Roman" w:hAnsi="Times New Roman" w:cs="Times New Roman"/>
                                  <w:color w:val="000000"/>
                                  <w:sz w:val="20"/>
                                  <w:szCs w:val="20"/>
                                </w:rPr>
                                <w:t xml:space="preserve">hisobotlar asosida</w:t>
                              </w:r>
                            </w:p>
                            <w:p>
                              <w:pPr>
                                <w:spacing w:before="0" w:after="0" w:line="228" w:lineRule="auto"/>
                                <w:jc w:val="center"/>
                                <w:ind w:firstLine="0"/>
                              </w:pPr>
                              <w:r>
                                <w:rPr>
                                  <w:rFonts w:ascii="Times New Roman" w:hAnsi="Times New Roman" w:cs="Times New Roman"/>
                                  <w:color w:val="000000"/>
                                  <w:sz w:val="20"/>
                                  <w:szCs w:val="20"/>
                                </w:rPr>
                                <w:t xml:space="preserve">muntazam nazorat</w:t>
                              </w:r>
                            </w:p>
                          </w:txbxContent>
                        </wps:txbx>
                        <wps:bodyPr rot="0" vert="horz" wrap="square" lIns="36000" tIns="18000" rIns="36000" bIns="18000" anchor="ctr" anchorCtr="0">
                          <a:noAutofit/>
                        </wps:bodyPr>
                      </wps:wsp>
                      <wps:wsp>
                        <wps:cNvPr id="25" name="Connector 25"/>
                        <wps:cNvCnPr/>
                        <wps:spPr>
                          <a:xfrm flipH="1">
                            <a:off x="2934000" y="360000"/>
                            <a:ext cx="18000" cy="216000"/>
                          </a:xfrm>
                          <a:prstGeom prst="straightConnector1">
                            <a:avLst/>
                          </a:prstGeom>
                          <a:ln w="15875">
                            <a:solidFill>
                              <a:srgbClr val="404040"/>
                            </a:solidFill>
                            <a:tailEnd type="triangle" w="med" len="med"/>
                          </a:ln>
                        </wps:spPr>
                        <wps:bodyPr/>
                      </wps:wsp>
                      <wps:wsp>
                        <wps:cNvPr id="26" name="Shape 26"/>
                        <wps:cNvSpPr/>
                        <wps:spPr>
                          <a:xfrm>
                            <a:off x="2016000" y="576000"/>
                            <a:ext cx="1836000" cy="36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Risklarga asoslangan</w:t>
                              </w:r>
                            </w:p>
                            <w:p>
                              <w:pPr>
                                <w:spacing w:before="0" w:after="0" w:line="228" w:lineRule="auto"/>
                                <w:jc w:val="center"/>
                                <w:ind w:firstLine="0"/>
                              </w:pPr>
                              <w:r>
                                <w:rPr>
                                  <w:rFonts w:ascii="Times New Roman" w:hAnsi="Times New Roman" w:cs="Times New Roman"/>
                                  <w:b/>
                                  <w:color w:val="FFFFFF"/>
                                  <w:sz w:val="22"/>
                                  <w:szCs w:val="22"/>
                                </w:rPr>
                                <w:t xml:space="preserve">nazorat</w:t>
                              </w:r>
                            </w:p>
                          </w:txbxContent>
                        </wps:txbx>
                        <wps:bodyPr rot="0" vert="horz" wrap="square" lIns="36000" tIns="18000" rIns="36000" bIns="18000" anchor="ctr" anchorCtr="0">
                          <a:noAutofit/>
                        </wps:bodyPr>
                      </wps:wsp>
                      <wps:wsp>
                        <wps:cNvPr id="27" name="Shape 27"/>
                        <wps:cNvSpPr/>
                        <wps:spPr>
                          <a:xfrm>
                            <a:off x="2016000" y="990000"/>
                            <a:ext cx="1836000" cy="936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Bank risk profili va</w:t>
                              </w:r>
                            </w:p>
                            <w:p>
                              <w:pPr>
                                <w:spacing w:before="0" w:after="0" w:line="228" w:lineRule="auto"/>
                                <w:jc w:val="center"/>
                                <w:ind w:firstLine="0"/>
                              </w:pPr>
                              <w:r>
                                <w:rPr>
                                  <w:rFonts w:ascii="Times New Roman" w:hAnsi="Times New Roman" w:cs="Times New Roman"/>
                                  <w:color w:val="000000"/>
                                  <w:sz w:val="20"/>
                                  <w:szCs w:val="20"/>
                                </w:rPr>
                                <w:t xml:space="preserve">ichki nazoratining</w:t>
                              </w:r>
                            </w:p>
                            <w:p>
                              <w:pPr>
                                <w:spacing w:before="0" w:after="0" w:line="228" w:lineRule="auto"/>
                                <w:jc w:val="center"/>
                                <w:ind w:firstLine="0"/>
                              </w:pPr>
                              <w:r>
                                <w:rPr>
                                  <w:rFonts w:ascii="Times New Roman" w:hAnsi="Times New Roman" w:cs="Times New Roman"/>
                                  <w:color w:val="000000"/>
                                  <w:sz w:val="20"/>
                                  <w:szCs w:val="20"/>
                                </w:rPr>
                                <w:t xml:space="preserve">avtomatik reytingi;</w:t>
                              </w:r>
                            </w:p>
                            <w:p>
                              <w:pPr>
                                <w:spacing w:before="0" w:after="0" w:line="228" w:lineRule="auto"/>
                                <w:jc w:val="center"/>
                                <w:ind w:firstLine="0"/>
                              </w:pPr>
                              <w:r>
                                <w:rPr>
                                  <w:rFonts w:ascii="Times New Roman" w:hAnsi="Times New Roman" w:cs="Times New Roman"/>
                                  <w:color w:val="000000"/>
                                  <w:sz w:val="20"/>
                                  <w:szCs w:val="20"/>
                                </w:rPr>
                                <w:t xml:space="preserve">kuratorlar tuzatishi;</w:t>
                              </w:r>
                            </w:p>
                            <w:p>
                              <w:pPr>
                                <w:spacing w:before="0" w:after="0" w:line="228" w:lineRule="auto"/>
                                <w:jc w:val="center"/>
                                <w:ind w:firstLine="0"/>
                              </w:pPr>
                              <w:r>
                                <w:rPr>
                                  <w:rFonts w:ascii="Times New Roman" w:hAnsi="Times New Roman" w:cs="Times New Roman"/>
                                  <w:color w:val="000000"/>
                                  <w:sz w:val="20"/>
                                  <w:szCs w:val="20"/>
                                </w:rPr>
                                <w:t xml:space="preserve">asoslangan mulohaza;</w:t>
                              </w:r>
                            </w:p>
                            <w:p>
                              <w:pPr>
                                <w:spacing w:before="0" w:after="0" w:line="228" w:lineRule="auto"/>
                                <w:jc w:val="center"/>
                                <w:ind w:firstLine="0"/>
                              </w:pPr>
                              <w:r>
                                <w:rPr>
                                  <w:rFonts w:ascii="Times New Roman" w:hAnsi="Times New Roman" w:cs="Times New Roman"/>
                                  <w:color w:val="000000"/>
                                  <w:sz w:val="20"/>
                                  <w:szCs w:val="20"/>
                                </w:rPr>
                                <w:t xml:space="preserve">joyida tekshiruv</w:t>
                              </w:r>
                            </w:p>
                          </w:txbxContent>
                        </wps:txbx>
                        <wps:bodyPr rot="0" vert="horz" wrap="square" lIns="36000" tIns="18000" rIns="36000" bIns="18000" anchor="ctr" anchorCtr="0">
                          <a:noAutofit/>
                        </wps:bodyPr>
                      </wps:wsp>
                      <wps:wsp>
                        <wps:cNvPr id="28" name="Connector 28"/>
                        <wps:cNvCnPr/>
                        <wps:spPr>
                          <a:xfrm>
                            <a:off x="2952000" y="360000"/>
                            <a:ext cx="1962000" cy="216000"/>
                          </a:xfrm>
                          <a:prstGeom prst="straightConnector1">
                            <a:avLst/>
                          </a:prstGeom>
                          <a:ln w="15875">
                            <a:solidFill>
                              <a:srgbClr val="404040"/>
                            </a:solidFill>
                            <a:tailEnd type="triangle" w="med" len="med"/>
                          </a:ln>
                        </wps:spPr>
                        <wps:bodyPr/>
                      </wps:wsp>
                      <wps:wsp>
                        <wps:cNvPr id="29" name="Shape 29"/>
                        <wps:cNvSpPr/>
                        <wps:spPr>
                          <a:xfrm>
                            <a:off x="3996000" y="576000"/>
                            <a:ext cx="1836000" cy="36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Makroprudensial</w:t>
                              </w:r>
                            </w:p>
                            <w:p>
                              <w:pPr>
                                <w:spacing w:before="0" w:after="0" w:line="228" w:lineRule="auto"/>
                                <w:jc w:val="center"/>
                                <w:ind w:firstLine="0"/>
                              </w:pPr>
                              <w:r>
                                <w:rPr>
                                  <w:rFonts w:ascii="Times New Roman" w:hAnsi="Times New Roman" w:cs="Times New Roman"/>
                                  <w:b/>
                                  <w:color w:val="FFFFFF"/>
                                  <w:sz w:val="22"/>
                                  <w:szCs w:val="22"/>
                                </w:rPr>
                                <w:t xml:space="preserve">monitoring</w:t>
                              </w:r>
                            </w:p>
                          </w:txbxContent>
                        </wps:txbx>
                        <wps:bodyPr rot="0" vert="horz" wrap="square" lIns="36000" tIns="18000" rIns="36000" bIns="18000" anchor="ctr" anchorCtr="0">
                          <a:noAutofit/>
                        </wps:bodyPr>
                      </wps:wsp>
                      <wps:wsp>
                        <wps:cNvPr id="30" name="Shape 30"/>
                        <wps:cNvSpPr/>
                        <wps:spPr>
                          <a:xfrm>
                            <a:off x="3996000" y="990000"/>
                            <a:ext cx="1836000" cy="936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Moliyaviy barqarorlik</w:t>
                              </w:r>
                            </w:p>
                            <w:p>
                              <w:pPr>
                                <w:spacing w:before="0" w:after="0" w:line="228" w:lineRule="auto"/>
                                <w:jc w:val="center"/>
                                <w:ind w:firstLine="0"/>
                              </w:pPr>
                              <w:r>
                                <w:rPr>
                                  <w:rFonts w:ascii="Times New Roman" w:hAnsi="Times New Roman" w:cs="Times New Roman"/>
                                  <w:color w:val="000000"/>
                                  <w:sz w:val="20"/>
                                  <w:szCs w:val="20"/>
                                </w:rPr>
                                <w:t xml:space="preserve">sharhi (yiliga 2 marta);</w:t>
                              </w:r>
                            </w:p>
                            <w:p>
                              <w:pPr>
                                <w:spacing w:before="0" w:after="0" w:line="228" w:lineRule="auto"/>
                                <w:jc w:val="center"/>
                                <w:ind w:firstLine="0"/>
                              </w:pPr>
                              <w:r>
                                <w:rPr>
                                  <w:rFonts w:ascii="Times New Roman" w:hAnsi="Times New Roman" w:cs="Times New Roman"/>
                                  <w:color w:val="000000"/>
                                  <w:sz w:val="20"/>
                                  <w:szCs w:val="20"/>
                                </w:rPr>
                                <w:t xml:space="preserve">to‘lov qobiliyati va</w:t>
                              </w:r>
                            </w:p>
                            <w:p>
                              <w:pPr>
                                <w:spacing w:before="0" w:after="0" w:line="228" w:lineRule="auto"/>
                                <w:jc w:val="center"/>
                                <w:ind w:firstLine="0"/>
                              </w:pPr>
                              <w:r>
                                <w:rPr>
                                  <w:rFonts w:ascii="Times New Roman" w:hAnsi="Times New Roman" w:cs="Times New Roman"/>
                                  <w:color w:val="000000"/>
                                  <w:sz w:val="20"/>
                                  <w:szCs w:val="20"/>
                                </w:rPr>
                                <w:t xml:space="preserve">likvidlik stress-testlari;</w:t>
                              </w:r>
                            </w:p>
                            <w:p>
                              <w:pPr>
                                <w:spacing w:before="0" w:after="0" w:line="228" w:lineRule="auto"/>
                                <w:jc w:val="center"/>
                                <w:ind w:firstLine="0"/>
                              </w:pPr>
                              <w:r>
                                <w:rPr>
                                  <w:rFonts w:ascii="Times New Roman" w:hAnsi="Times New Roman" w:cs="Times New Roman"/>
                                  <w:color w:val="000000"/>
                                  <w:sz w:val="20"/>
                                  <w:szCs w:val="20"/>
                                </w:rPr>
                                <w:t xml:space="preserve">kontrsiklik bufer;</w:t>
                              </w:r>
                            </w:p>
                            <w:p>
                              <w:pPr>
                                <w:spacing w:before="0" w:after="0" w:line="228" w:lineRule="auto"/>
                                <w:jc w:val="center"/>
                                <w:ind w:firstLine="0"/>
                              </w:pPr>
                              <w:r>
                                <w:rPr>
                                  <w:rFonts w:ascii="Times New Roman" w:hAnsi="Times New Roman" w:cs="Times New Roman"/>
                                  <w:color w:val="000000"/>
                                  <w:sz w:val="20"/>
                                  <w:szCs w:val="20"/>
                                </w:rPr>
                                <w:t xml:space="preserve">tizimli banklar</w:t>
                              </w:r>
                            </w:p>
                          </w:txbxContent>
                        </wps:txbx>
                        <wps:bodyPr rot="0" vert="horz" wrap="square" lIns="36000" tIns="18000" rIns="36000" bIns="18000" anchor="ctr" anchorCtr="0">
                          <a:noAutofit/>
                        </wps:bodyPr>
                      </wps:wsp>
                      <wps:wsp>
                        <wps:cNvPr id="31" name="Shape 31"/>
                        <wps:cNvSpPr/>
                        <wps:spPr>
                          <a:xfrm>
                            <a:off x="36000" y="1998000"/>
                            <a:ext cx="3816000" cy="234000"/>
                          </a:xfrm>
                          <a:prstGeom prst="roundRect">
                            <a:avLst>
                              <a:gd name="adj" fmla="val 10000"/>
                            </a:avLst>
                          </a:prstGeom>
                          <a:solidFill>
                            <a:srgbClr val="DEEBF7"/>
                          </a:solidFill>
                          <a:ln w="12700">
                            <a:solidFill>
                              <a:srgbClr val="9DC3E6"/>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Mikro daraja – alohida bank</w:t>
                              </w:r>
                            </w:p>
                          </w:txbxContent>
                        </wps:txbx>
                        <wps:bodyPr rot="0" vert="horz" wrap="square" lIns="36000" tIns="18000" rIns="36000" bIns="18000" anchor="ctr" anchorCtr="0">
                          <a:noAutofit/>
                        </wps:bodyPr>
                      </wps:wsp>
                      <wps:wsp>
                        <wps:cNvPr id="32" name="Shape 32"/>
                        <wps:cNvSpPr/>
                        <wps:spPr>
                          <a:xfrm>
                            <a:off x="3996000" y="1998000"/>
                            <a:ext cx="1836000" cy="234000"/>
                          </a:xfrm>
                          <a:prstGeom prst="roundRect">
                            <a:avLst>
                              <a:gd name="adj" fmla="val 10000"/>
                            </a:avLst>
                          </a:prstGeom>
                          <a:solidFill>
                            <a:srgbClr val="FBE5D6"/>
                          </a:solidFill>
                          <a:ln w="12700">
                            <a:solidFill>
                              <a:srgbClr val="F4B183"/>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Makro daraja – bank tizimi</w:t>
                              </w:r>
                            </w:p>
                          </w:txbxContent>
                        </wps:txbx>
                        <wps:bodyPr rot="0" vert="horz" wrap="square" lIns="36000" tIns="18000" rIns="36000" bIns="18000" anchor="ctr" anchorCtr="0">
                          <a:noAutofit/>
                        </wps:bodyPr>
                      </wps:wsp>
                      <wps:wsp>
                        <wps:cNvPr id="33" name="Shape 33"/>
                        <wps:cNvSpPr/>
                        <wps:spPr>
                          <a:xfrm>
                            <a:off x="36000" y="2304000"/>
                            <a:ext cx="5796000" cy="270000"/>
                          </a:xfrm>
                          <a:prstGeom prst="roundRect">
                            <a:avLst>
                              <a:gd name="adj" fmla="val 10000"/>
                            </a:avLst>
                          </a:prstGeom>
                          <a:solidFill>
                            <a:srgbClr val="FFFFFF"/>
                          </a:solidFill>
                          <a:ln w="12700">
                            <a:solidFill>
                              <a:srgbClr val="7F7F7F"/>
                            </a:solid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Tashqi baholash: xalqaro reyting agentliklari, auditorlar (MHXS bo‘yicha hisobot), XVJ va Jahon banki (FSAP)</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2.1.2-rasm. O‘zbekistonda banklar moliyaviy barqarorligini baholashning amaldagi tizimi</w:t>
      </w:r>
      <w:r>
        <w:rPr>
          <w:rStyle w:val="FootnoteReference"/>
        </w:rPr>
        <w:footnoteReference w:id="238"/>
      </w:r>
    </w:p>
    <w:p>
      <w:pPr>
        <w:pStyle w:val="BodyText"/>
        <w:spacing w:line="360" w:lineRule="auto" w:before="0" w:after="0"/>
        <w:ind w:firstLine="709"/>
        <w:jc w:val="both"/>
      </w:pPr>
      <w:r>
        <w:rPr>
          <w:bCs/>
          <w:rFonts w:ascii="Times New Roman" w:hAnsi="Times New Roman" w:cs="Times New Roman" w:eastAsia="Times New Roman"/>
          <w:b/>
          <w:sz w:val="28"/>
        </w:rPr>
        <w:t xml:space="preserve">Prudensial normativlar.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Baholashning birinchi va eng rasmiylashgan darajasi – banklarning majburiy prudensial normativlarga rioya etishini nazorat qilish. Amaldagi asosiy talablar 2.1.1-jadvalda umumlashtirilgan.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2.1.1-jadval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O‘zbekistonda tijorat banklariga qo‘yiladigan asosiy prudensial talablar</w:t>
      </w:r>
      <w:r>
        <w:rPr>
          <w:rStyle w:val="FootnoteReference"/>
        </w:rPr>
        <w:footnoteReference w:id="239"/>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80"/>
        <w:gridCol w:w="1980"/>
        <w:gridCol w:w="1980"/>
        <w:gridCol w:w="1980"/>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Talab</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Bazel III minimumi</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Izoh</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I darajali asosiy kapital (CET1) monandligi</w:t>
            </w:r>
          </w:p>
        </w:tc>
        <w:tc>
          <w:tcPr/>
          <w:p>
            <w:pPr>
              <w:pStyle w:val="Compact"/>
              <w:spacing w:line="240" w:lineRule="auto"/>
              <w:ind w:firstLine="0"/>
              <w:jc w:val="left"/>
            </w:pPr>
            <w:r>
              <w:rPr>
                <w:rFonts w:ascii="Times New Roman" w:hAnsi="Times New Roman" w:cs="Times New Roman" w:eastAsia="Times New Roman"/>
                <w:sz w:val="22"/>
              </w:rPr>
              <w:t xml:space="preserve">≥ 8%</w:t>
            </w:r>
          </w:p>
        </w:tc>
        <w:tc>
          <w:tcPr/>
          <w:p>
            <w:pPr>
              <w:pStyle w:val="Compact"/>
              <w:spacing w:line="240" w:lineRule="auto"/>
              <w:ind w:firstLine="0"/>
              <w:jc w:val="left"/>
            </w:pPr>
            <w:r>
              <w:rPr>
                <w:rFonts w:ascii="Times New Roman" w:hAnsi="Times New Roman" w:cs="Times New Roman" w:eastAsia="Times New Roman"/>
                <w:sz w:val="22"/>
              </w:rPr>
              <w:t xml:space="preserve">≥ 4,5%</w:t>
            </w:r>
          </w:p>
        </w:tc>
        <w:tc>
          <w:tcPr/>
          <w:p>
            <w:pPr>
              <w:pStyle w:val="Compact"/>
              <w:spacing w:line="240" w:lineRule="auto"/>
              <w:ind w:firstLine="0"/>
              <w:jc w:val="left"/>
            </w:pPr>
            <w:r>
              <w:rPr>
                <w:rFonts w:ascii="Times New Roman" w:hAnsi="Times New Roman" w:cs="Times New Roman" w:eastAsia="Times New Roman"/>
                <w:sz w:val="22"/>
              </w:rPr>
              <w:t xml:space="preserve">2026-yildan yangi nizom bo‘yicha</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Regulyativ kapital monandligi</w:t>
            </w:r>
          </w:p>
        </w:tc>
        <w:tc>
          <w:tcPr/>
          <w:p>
            <w:pPr>
              <w:pStyle w:val="Compact"/>
              <w:spacing w:line="240" w:lineRule="auto"/>
              <w:ind w:firstLine="0"/>
              <w:jc w:val="left"/>
            </w:pPr>
            <w:r>
              <w:rPr>
                <w:rFonts w:ascii="Times New Roman" w:hAnsi="Times New Roman" w:cs="Times New Roman" w:eastAsia="Times New Roman"/>
                <w:sz w:val="22"/>
              </w:rPr>
              <w:t xml:space="preserve">≥ 13% (2020–2025-yillar)</w:t>
            </w:r>
          </w:p>
        </w:tc>
        <w:tc>
          <w:tcPr/>
          <w:p>
            <w:pPr>
              <w:pStyle w:val="Compact"/>
              <w:spacing w:line="240" w:lineRule="auto"/>
              <w:ind w:firstLine="0"/>
              <w:jc w:val="left"/>
            </w:pPr>
            <w:r>
              <w:rPr>
                <w:rFonts w:ascii="Times New Roman" w:hAnsi="Times New Roman" w:cs="Times New Roman" w:eastAsia="Times New Roman"/>
                <w:sz w:val="22"/>
              </w:rPr>
              <w:t xml:space="preserve">≥ 8%</w:t>
            </w:r>
          </w:p>
        </w:tc>
        <w:tc>
          <w:tcPr/>
          <w:p>
            <w:pPr>
              <w:pStyle w:val="Compact"/>
              <w:spacing w:line="240" w:lineRule="auto"/>
              <w:ind w:firstLine="0"/>
              <w:jc w:val="left"/>
            </w:pPr>
            <w:r>
              <w:rPr>
                <w:rFonts w:ascii="Times New Roman" w:hAnsi="Times New Roman" w:cs="Times New Roman" w:eastAsia="Times New Roman"/>
                <w:sz w:val="22"/>
              </w:rPr>
              <w:t xml:space="preserve">3% lik saqlash buferini o‘z ichiga olgan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Leverej koeffitsiyenti</w:t>
            </w:r>
          </w:p>
        </w:tc>
        <w:tc>
          <w:tcPr/>
          <w:p>
            <w:pPr>
              <w:pStyle w:val="Compact"/>
              <w:spacing w:line="240" w:lineRule="auto"/>
              <w:ind w:firstLine="0"/>
              <w:jc w:val="left"/>
            </w:pPr>
            <w:r>
              <w:rPr>
                <w:rFonts w:ascii="Times New Roman" w:hAnsi="Times New Roman" w:cs="Times New Roman" w:eastAsia="Times New Roman"/>
                <w:sz w:val="22"/>
              </w:rPr>
              <w:t xml:space="preserve">≥ 6%</w:t>
            </w:r>
          </w:p>
        </w:tc>
        <w:tc>
          <w:tcPr/>
          <w:p>
            <w:pPr>
              <w:pStyle w:val="Compact"/>
              <w:spacing w:line="240" w:lineRule="auto"/>
              <w:ind w:firstLine="0"/>
              <w:jc w:val="left"/>
            </w:pPr>
            <w:r>
              <w:rPr>
                <w:rFonts w:ascii="Times New Roman" w:hAnsi="Times New Roman" w:cs="Times New Roman" w:eastAsia="Times New Roman"/>
                <w:sz w:val="22"/>
              </w:rPr>
              <w:t xml:space="preserve">≥ 3%</w:t>
            </w:r>
          </w:p>
        </w:tc>
        <w:tc>
          <w:tcPr/>
          <w:p>
            <w:pPr>
              <w:pStyle w:val="Compact"/>
              <w:spacing w:line="240" w:lineRule="auto"/>
              <w:ind w:firstLine="0"/>
              <w:jc w:val="left"/>
            </w:pPr>
            <w:r>
              <w:rPr>
                <w:rFonts w:ascii="Times New Roman" w:hAnsi="Times New Roman" w:cs="Times New Roman" w:eastAsia="Times New Roman"/>
                <w:sz w:val="22"/>
              </w:rPr>
              <w:t xml:space="preserve">Bazel minimumidan ikki baravar yuqori</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Kapitalni saqlash buferi</w:t>
            </w:r>
          </w:p>
        </w:tc>
        <w:tc>
          <w:tcPr/>
          <w:p>
            <w:pPr>
              <w:pStyle w:val="Compact"/>
              <w:spacing w:line="240" w:lineRule="auto"/>
              <w:ind w:firstLine="0"/>
              <w:jc w:val="left"/>
            </w:pPr>
            <w:r>
              <w:rPr>
                <w:rFonts w:ascii="Times New Roman" w:hAnsi="Times New Roman" w:cs="Times New Roman" w:eastAsia="Times New Roman"/>
                <w:sz w:val="22"/>
              </w:rPr>
              <w:t xml:space="preserve">2,5%</w:t>
            </w:r>
          </w:p>
        </w:tc>
        <w:tc>
          <w:tcPr/>
          <w:p>
            <w:pPr>
              <w:pStyle w:val="Compact"/>
              <w:spacing w:line="240" w:lineRule="auto"/>
              <w:ind w:firstLine="0"/>
              <w:jc w:val="left"/>
            </w:pPr>
            <w:r>
              <w:rPr>
                <w:rFonts w:ascii="Times New Roman" w:hAnsi="Times New Roman" w:cs="Times New Roman" w:eastAsia="Times New Roman"/>
                <w:sz w:val="22"/>
              </w:rPr>
              <w:t xml:space="preserve">2,5%</w:t>
            </w:r>
          </w:p>
        </w:tc>
        <w:tc>
          <w:tcPr/>
          <w:p>
            <w:pPr>
              <w:pStyle w:val="Compact"/>
              <w:spacing w:line="240" w:lineRule="auto"/>
              <w:ind w:firstLine="0"/>
              <w:jc w:val="left"/>
            </w:pPr>
            <w:r>
              <w:rPr>
                <w:rFonts w:ascii="Times New Roman" w:hAnsi="Times New Roman" w:cs="Times New Roman" w:eastAsia="Times New Roman"/>
                <w:sz w:val="22"/>
              </w:rPr>
              <w:t xml:space="preserve">2025-yildan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Kontrsiklik bufer</w:t>
            </w:r>
          </w:p>
        </w:tc>
        <w:tc>
          <w:tcPr/>
          <w:p>
            <w:pPr>
              <w:pStyle w:val="Compact"/>
              <w:spacing w:line="240" w:lineRule="auto"/>
              <w:ind w:firstLine="0"/>
              <w:jc w:val="left"/>
            </w:pPr>
            <w:r>
              <w:rPr>
                <w:rFonts w:ascii="Times New Roman" w:hAnsi="Times New Roman" w:cs="Times New Roman" w:eastAsia="Times New Roman"/>
                <w:sz w:val="22"/>
              </w:rPr>
              <w:t xml:space="preserve">1,5%</w:t>
            </w:r>
          </w:p>
        </w:tc>
        <w:tc>
          <w:tcPr/>
          <w:p>
            <w:pPr>
              <w:pStyle w:val="Compact"/>
              <w:spacing w:line="240" w:lineRule="auto"/>
              <w:ind w:firstLine="0"/>
              <w:jc w:val="left"/>
            </w:pPr>
            <w:r>
              <w:rPr>
                <w:rFonts w:ascii="Times New Roman" w:hAnsi="Times New Roman" w:cs="Times New Roman" w:eastAsia="Times New Roman"/>
                <w:sz w:val="22"/>
              </w:rPr>
              <w:t xml:space="preserve">0–2,5%</w:t>
            </w:r>
          </w:p>
        </w:tc>
        <w:tc>
          <w:tcPr/>
          <w:p>
            <w:pPr>
              <w:pStyle w:val="Compact"/>
              <w:spacing w:line="240" w:lineRule="auto"/>
              <w:ind w:firstLine="0"/>
              <w:jc w:val="left"/>
            </w:pPr>
            <w:r>
              <w:rPr>
                <w:rFonts w:ascii="Times New Roman" w:hAnsi="Times New Roman" w:cs="Times New Roman" w:eastAsia="Times New Roman"/>
                <w:sz w:val="22"/>
              </w:rPr>
              <w:t xml:space="preserve">2026-yil 1-yanvardan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Tizimli ahamiyatli banklar buferi</w:t>
            </w:r>
          </w:p>
        </w:tc>
        <w:tc>
          <w:tcPr/>
          <w:p>
            <w:pPr>
              <w:pStyle w:val="Compact"/>
              <w:spacing w:line="240" w:lineRule="auto"/>
              <w:ind w:firstLine="0"/>
              <w:jc w:val="left"/>
            </w:pPr>
            <w:r>
              <w:rPr>
                <w:rFonts w:ascii="Times New Roman" w:hAnsi="Times New Roman" w:cs="Times New Roman" w:eastAsia="Times New Roman"/>
                <w:sz w:val="22"/>
              </w:rPr>
              <w:t xml:space="preserve">1%</w:t>
            </w:r>
          </w:p>
        </w:tc>
        <w:tc>
          <w:tcPr/>
          <w:p>
            <w:pPr>
              <w:pStyle w:val="Compact"/>
              <w:spacing w:line="240" w:lineRule="auto"/>
              <w:ind w:firstLine="0"/>
              <w:jc w:val="left"/>
            </w:pPr>
            <w:r>
              <w:rPr>
                <w:rFonts w:ascii="Times New Roman" w:hAnsi="Times New Roman" w:cs="Times New Roman" w:eastAsia="Times New Roman"/>
                <w:sz w:val="22"/>
              </w:rPr>
              <w:t xml:space="preserve">1–3,5% (G-SIB)</w:t>
            </w:r>
          </w:p>
        </w:tc>
        <w:tc>
          <w:tcPr/>
          <w:p>
            <w:pPr>
              <w:pStyle w:val="Compact"/>
              <w:spacing w:line="240" w:lineRule="auto"/>
              <w:ind w:firstLine="0"/>
              <w:jc w:val="left"/>
            </w:pPr>
            <w:r>
              <w:rPr>
                <w:rFonts w:ascii="Times New Roman" w:hAnsi="Times New Roman" w:cs="Times New Roman" w:eastAsia="Times New Roman"/>
                <w:sz w:val="22"/>
              </w:rPr>
              <w:t xml:space="preserve">7 ta bank uchun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LCR</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2018-yildan to‘liq</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NSFR</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 100%</w:t>
            </w:r>
          </w:p>
        </w:tc>
        <w:tc>
          <w:tcPr/>
          <w:p>
            <w:pPr>
              <w:pStyle w:val="Compact"/>
              <w:spacing w:line="240" w:lineRule="auto"/>
              <w:ind w:firstLine="0"/>
              <w:jc w:val="left"/>
            </w:pPr>
            <w:r>
              <w:rPr>
                <w:rFonts w:ascii="Times New Roman" w:hAnsi="Times New Roman" w:cs="Times New Roman" w:eastAsia="Times New Roman"/>
                <w:sz w:val="22"/>
              </w:rPr>
              <w:t xml:space="preserve">2018-yildan</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Joriy likvidlik</w:t>
            </w:r>
          </w:p>
        </w:tc>
        <w:tc>
          <w:tcPr/>
          <w:p>
            <w:pPr>
              <w:pStyle w:val="Compact"/>
              <w:spacing w:line="240" w:lineRule="auto"/>
              <w:ind w:firstLine="0"/>
              <w:jc w:val="left"/>
            </w:pPr>
            <w:r>
              <w:rPr>
                <w:rFonts w:ascii="Times New Roman" w:hAnsi="Times New Roman" w:cs="Times New Roman" w:eastAsia="Times New Roman"/>
                <w:sz w:val="22"/>
              </w:rPr>
              <w:t xml:space="preserve">≥ 30%</w:t>
            </w:r>
          </w:p>
        </w:tc>
        <w:tc>
          <w:tcPr/>
          <w:p>
            <w:pPr>
              <w:pStyle w:val="Compact"/>
              <w:spacing w:line="240" w:lineRule="auto"/>
              <w:ind w:firstLine="0"/>
              <w:jc w:val="left"/>
            </w:pPr>
            <w:r>
              <w:rPr>
                <w:rFonts w:ascii="Times New Roman" w:hAnsi="Times New Roman" w:cs="Times New Roman" w:eastAsia="Times New Roman"/>
                <w:sz w:val="22"/>
              </w:rPr>
              <w:t xml:space="preserve">–</w:t>
            </w:r>
          </w:p>
        </w:tc>
        <w:tc>
          <w:tcPr/>
          <w:p>
            <w:pPr>
              <w:pStyle w:val="Compact"/>
              <w:spacing w:line="240" w:lineRule="auto"/>
              <w:ind w:firstLine="0"/>
              <w:jc w:val="left"/>
            </w:pPr>
            <w:r>
              <w:rPr>
                <w:rFonts w:ascii="Times New Roman" w:hAnsi="Times New Roman" w:cs="Times New Roman" w:eastAsia="Times New Roman"/>
                <w:sz w:val="22"/>
              </w:rPr>
              <w:t xml:space="preserve">Milliy normativ</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Lahzali likvidlik</w:t>
            </w:r>
          </w:p>
        </w:tc>
        <w:tc>
          <w:tcPr/>
          <w:p>
            <w:pPr>
              <w:pStyle w:val="Compact"/>
              <w:spacing w:line="240" w:lineRule="auto"/>
              <w:ind w:firstLine="0"/>
              <w:jc w:val="left"/>
            </w:pPr>
            <w:r>
              <w:rPr>
                <w:rFonts w:ascii="Times New Roman" w:hAnsi="Times New Roman" w:cs="Times New Roman" w:eastAsia="Times New Roman"/>
                <w:sz w:val="22"/>
              </w:rPr>
              <w:t xml:space="preserve">≥ 10%</w:t>
            </w:r>
          </w:p>
        </w:tc>
        <w:tc>
          <w:tcPr/>
          <w:p>
            <w:pPr>
              <w:pStyle w:val="Compact"/>
              <w:spacing w:line="240" w:lineRule="auto"/>
              <w:ind w:firstLine="0"/>
              <w:jc w:val="left"/>
            </w:pPr>
            <w:r>
              <w:rPr>
                <w:rFonts w:ascii="Times New Roman" w:hAnsi="Times New Roman" w:cs="Times New Roman" w:eastAsia="Times New Roman"/>
                <w:sz w:val="22"/>
              </w:rPr>
              <w:t xml:space="preserve">–</w:t>
            </w:r>
          </w:p>
        </w:tc>
        <w:tc>
          <w:tcPr/>
          <w:p>
            <w:pPr>
              <w:pStyle w:val="Compact"/>
              <w:spacing w:line="240" w:lineRule="auto"/>
              <w:ind w:firstLine="0"/>
              <w:jc w:val="left"/>
            </w:pPr>
            <w:r>
              <w:rPr>
                <w:rFonts w:ascii="Times New Roman" w:hAnsi="Times New Roman" w:cs="Times New Roman" w:eastAsia="Times New Roman"/>
                <w:sz w:val="22"/>
              </w:rPr>
              <w:t xml:space="preserve">Milliy normativ</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ko‘rinadiki, O‘zbekistonda miqdoriy kapital talablari Bazel III minimumlaridan yuqori belgilangan, likvidlik bo‘yicha esa xalqaro koeffitsiyentlar bilan bir qatorda milliy normativlar ham saqlanib qolgan. B.T. Berdiyarov aynan shu milliy likvidlik normativlarini XVJ ning moliyaviy barqarorlik ko‘rsatkichlari bilan birgalikda baholash tizimiga kiritishni taklif etgan edi</w:t>
      </w:r>
      <w:r>
        <w:rPr>
          <w:rStyle w:val="FootnoteReference"/>
        </w:rPr>
        <w:footnoteReference w:id="240"/>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Risklarga asoslangan nazorat.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Baholashning ikkinchi darajasi – alohida banklar risk profilini baholash. O‘zbekistonda CAMEL reyting tizimi 1997–1998-yillarda joriy etilgan bo‘lib</w:t>
      </w:r>
      <w:r>
        <w:rPr>
          <w:rStyle w:val="FootnoteReference"/>
        </w:rPr>
        <w:footnoteReference w:id="241"/>
      </w:r>
      <w:r>
        <w:rPr>
          <w:rFonts w:ascii="Times New Roman" w:hAnsi="Times New Roman" w:cs="Times New Roman" w:eastAsia="Times New Roman"/>
          <w:sz w:val="28"/>
        </w:rPr>
        <w:t xml:space="preserve">, hozirgi kunda u Markaziy bankning 2023-yilda tasdiqlangan risklarga asoslangan nazorat bo‘yicha qo‘llanmasiga asoslangan tizim bilan almashtirilgan. Bu tizimda banklar risk profili va ichki nazorat tizimi avtomatik reyting baholari asosida baholanadi, «kuratorlar» esa bu baholarga tuzatish kiritadi</w:t>
      </w:r>
      <w:r>
        <w:rPr>
          <w:rStyle w:val="FootnoteReference"/>
        </w:rPr>
        <w:footnoteReference w:id="242"/>
      </w:r>
      <w:r>
        <w:rPr>
          <w:rFonts w:ascii="Times New Roman" w:hAnsi="Times New Roman" w:cs="Times New Roman" w:eastAsia="Times New Roman"/>
          <w:sz w:val="28"/>
        </w:rPr>
        <w:t xml:space="preserve">. Markaziy bankning asoslangan mulohazasi ham shu darajada qo‘llanadi.</w:t>
      </w:r>
    </w:p>
    <w:p>
      <w:pPr>
        <w:pStyle w:val="BodyText"/>
        <w:spacing w:line="360" w:lineRule="auto" w:before="0" w:after="0"/>
        <w:ind w:firstLine="709"/>
        <w:jc w:val="both"/>
      </w:pPr>
      <w:r>
        <w:rPr>
          <w:rFonts w:ascii="Times New Roman" w:hAnsi="Times New Roman" w:cs="Times New Roman" w:eastAsia="Times New Roman"/>
          <w:sz w:val="28"/>
        </w:rPr>
        <w:t xml:space="preserve">Biroq bu baholashning natijalari oshkor qilinmaydi va ochiq ma’lumotlar asosida takrorlab bo‘lmaydi. T.M. Karaliyev va I.F. Sayfiddinov milliy CAMEL tizimida omillar uchun solishtirma vazn va qiyosiy baholash yo‘qligini qayd etgan edi</w:t>
      </w:r>
      <w:r>
        <w:rPr>
          <w:rStyle w:val="FootnoteReference"/>
        </w:rPr>
        <w:footnoteReference w:id="243"/>
      </w:r>
      <w:r>
        <w:rPr>
          <w:rFonts w:ascii="Times New Roman" w:hAnsi="Times New Roman" w:cs="Times New Roman" w:eastAsia="Times New Roman"/>
          <w:sz w:val="28"/>
        </w:rPr>
        <w:t xml:space="preserve">. Yo‘l xaritasida ham avtomatik reyting tuzatishlarini muntazam tekshirish va ularning asoslanganligini ta’minlash uchun alohida «sifat nazorati» bo‘linmasini tashkil etish ko‘zda tutilgani bu muammo hali dolzarbligini ko‘rsatadi</w:t>
      </w:r>
      <w:r>
        <w:rPr>
          <w:rStyle w:val="FootnoteReference"/>
        </w:rPr>
        <w:footnoteReference w:id="244"/>
      </w:r>
      <w:r>
        <w:rPr>
          <w:rFonts w:ascii="Times New Roman" w:hAnsi="Times New Roman" w:cs="Times New Roman" w:eastAsia="Times New Roman"/>
          <w:sz w:val="28"/>
        </w:rPr>
        <w:t xml:space="preserve">.</w:t>
      </w:r>
    </w:p>
    <w:p>
      <w:pPr>
        <w:pStyle w:val="BodyText"/>
        <w:spacing w:line="360" w:lineRule="auto" w:before="0" w:after="0"/>
        <w:ind w:firstLine="709"/>
        <w:jc w:val="both"/>
      </w:pPr>
      <w:r>
        <w:rPr>
          <w:bCs/>
          <w:rFonts w:ascii="Times New Roman" w:hAnsi="Times New Roman" w:cs="Times New Roman" w:eastAsia="Times New Roman"/>
          <w:b/>
          <w:sz w:val="28"/>
        </w:rPr>
        <w:t xml:space="preserve">Makroprudensial monitoring.</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Baholashning uchinchi darajasi – bank tizimi barqarorligini kuzatish. Markaziy bank yiliga ikki marta moliyaviy barqarorlik sharhini e’lon qiladi, to‘lov qobiliyati va likvidlik bo‘yicha makro stress-testlar o‘tkazadi va kontrsiklik bufer darajasini yiliga ikki marta qayta ko‘rib chiqadi</w:t>
      </w:r>
      <w:r>
        <w:rPr>
          <w:rStyle w:val="FootnoteReference"/>
        </w:rPr>
        <w:footnoteReference w:id="245"/>
      </w:r>
      <w:r>
        <w:rPr>
          <w:rFonts w:ascii="Times New Roman" w:hAnsi="Times New Roman" w:cs="Times New Roman" w:eastAsia="Times New Roman"/>
          <w:sz w:val="28"/>
        </w:rPr>
        <w:t xml:space="preserve">. 2023-yildan boshlab tizimli ahamiyatga molik banklar har yili aniqlanadi; 2026-yil uchun ro‘yxatga yetti bank – O‘zmilliybank, Agrobank, O‘zsanoatqurilishbank, Xalq banki, Ipoteka-bank, Kapitalbank va Asakabank kiritilgan</w:t>
      </w:r>
      <w:r>
        <w:rPr>
          <w:rStyle w:val="FootnoteReference"/>
        </w:rPr>
        <w:footnoteReference w:id="246"/>
      </w:r>
      <w:r>
        <w:rPr>
          <w:rFonts w:ascii="Times New Roman" w:hAnsi="Times New Roman" w:cs="Times New Roman" w:eastAsia="Times New Roman"/>
          <w:sz w:val="28"/>
        </w:rPr>
        <w:t xml:space="preserve">.</w:t>
      </w:r>
    </w:p>
    <w:bookmarkEnd w:id="6"/>
    <w:bookmarkStart w:id="8" w:name="Xd6eefd4cc7ba4b935b761c202625a21524724c6"/>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3. Bank tizimi moliyaviy barqarorligining asosiy ko‘rsatkichlari</w:t>
      </w:r>
    </w:p>
    <w:p>
      <w:pPr>
        <w:pStyle w:val="FirstParagraph"/>
        <w:spacing w:line="360" w:lineRule="auto" w:before="0" w:after="0"/>
        <w:ind w:firstLine="709"/>
        <w:jc w:val="both"/>
      </w:pPr>
      <w:r>
        <w:rPr>
          <w:rFonts w:ascii="Times New Roman" w:hAnsi="Times New Roman" w:cs="Times New Roman" w:eastAsia="Times New Roman"/>
          <w:sz w:val="28"/>
        </w:rPr>
        <w:t xml:space="preserve">Amaldagi baholash tizimi natijalariga ko‘ra, O‘zbekiston bank tizimi kapital yetarliligi bo‘yicha barqaror holatda. Kapital monandligi 2023-yil oxirida 17,5 foizni</w:t>
      </w:r>
      <w:r>
        <w:rPr>
          <w:rStyle w:val="FootnoteReference"/>
        </w:rPr>
        <w:footnoteReference w:id="247"/>
      </w:r>
      <w:r>
        <w:rPr>
          <w:rFonts w:ascii="Times New Roman" w:hAnsi="Times New Roman" w:cs="Times New Roman" w:eastAsia="Times New Roman"/>
          <w:sz w:val="28"/>
        </w:rPr>
        <w:t xml:space="preserve">, 2024-yil oxirida 17 foizni, 2025-yil oxirida 18,3 foizni tashkil etgan; asosiy kapital (CET1) monandligi 2025-yil oxirida 14,7 foizga teng bo‘lgan</w:t>
      </w:r>
      <w:r>
        <w:rPr>
          <w:rStyle w:val="FootnoteReference"/>
        </w:rPr>
        <w:footnoteReference w:id="248"/>
      </w:r>
      <w:r>
        <w:rPr>
          <w:rFonts w:ascii="Times New Roman" w:hAnsi="Times New Roman" w:cs="Times New Roman" w:eastAsia="Times New Roman"/>
          <w:sz w:val="28"/>
        </w:rPr>
        <w:t xml:space="preserve">. 2026-yil 1-iyul holatiga kapital monandligi 18,5 foizni, CET1 15 foizni, muammoli kreditlar ulushi 3,6 foizni tashkil etgan</w:t>
      </w:r>
      <w:r>
        <w:rPr>
          <w:rStyle w:val="FootnoteReference"/>
        </w:rPr>
        <w:footnoteReference w:id="249"/>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(2.1.3-rasm).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2" name="2.1.3-rasm"/>
            <wp:cNvGraphicFramePr/>
            <a:graphic>
              <a:graphicData uri="http://schemas.openxmlformats.org/drawingml/2006/chart">
                <c:chart r:id="rId18"/>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2.1.3-rasm. O‘zbekiston bank tizimida kapital monandligi ko‘rsatkichlari dinamikasi, %</w:t>
      </w:r>
      <w:r>
        <w:rPr>
          <w:rStyle w:val="FootnoteReference"/>
        </w:rPr>
        <w:footnoteReference w:id="250"/>
      </w:r>
    </w:p>
    <w:p>
      <w:pPr>
        <w:pStyle w:val="BodyText"/>
        <w:spacing w:line="360" w:lineRule="auto" w:before="0" w:after="0"/>
        <w:ind w:firstLine="709"/>
        <w:jc w:val="both"/>
      </w:pPr>
      <w:r>
        <w:rPr>
          <w:rFonts w:ascii="Times New Roman" w:hAnsi="Times New Roman" w:cs="Times New Roman" w:eastAsia="Times New Roman"/>
          <w:sz w:val="28"/>
        </w:rPr>
        <w:t xml:space="preserve">Shu bilan birga, stress-test natijalari bu ko‘rsatkichlarning yuqori darajasi mutlaq barqarorlik kafolati emasligini ko‘rsatadi. Markaziy bankning 2025-yil uchun moliyaviy barqarorlik sharhida keltirilgan salbiy ssenariyga ko‘ra, bank tizimida CET1 monandligi 2028-yil oxirigacha 5,6 foizgacha, jami kapital monandligi esa 6,8 foizgacha pasayishi mumkin</w:t>
      </w:r>
      <w:r>
        <w:rPr>
          <w:rStyle w:val="FootnoteReference"/>
        </w:rPr>
        <w:footnoteReference w:id="251"/>
      </w:r>
      <w:r>
        <w:rPr>
          <w:rFonts w:ascii="Times New Roman" w:hAnsi="Times New Roman" w:cs="Times New Roman" w:eastAsia="Times New Roman"/>
          <w:sz w:val="28"/>
        </w:rPr>
        <w:t xml:space="preserve">. 2025-yil birinchi yarmi bo‘yicha sharhda bu ko‘rsatkichlar mos ravishda 6,1 va 8,4 foiz, leverej koeffitsiyenti esa 5,3 foiz deb baholangan edi</w:t>
      </w:r>
      <w:r>
        <w:rPr>
          <w:rStyle w:val="FootnoteReference"/>
        </w:rPr>
        <w:footnoteReference w:id="252"/>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(2.1.4-rasm).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3" name="2.1.4-rasm"/>
            <wp:cNvGraphicFramePr/>
            <a:graphic>
              <a:graphicData uri="http://schemas.openxmlformats.org/drawingml/2006/chart">
                <c:chart r:id="rId1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2.1.4-rasm. Salbiy stress-ssenariyda bank tizimi kapital ko‘rsatkichlarining o‘zgarishi, %</w:t>
      </w:r>
      <w:r>
        <w:rPr>
          <w:rStyle w:val="FootnoteReference"/>
        </w:rPr>
        <w:footnoteReference w:id="253"/>
      </w:r>
    </w:p>
    <w:p>
      <w:pPr>
        <w:pStyle w:val="BodyText"/>
        <w:spacing w:line="360" w:lineRule="auto" w:before="0" w:after="0"/>
        <w:ind w:firstLine="709"/>
        <w:jc w:val="both"/>
      </w:pPr>
      <w:r>
        <w:rPr>
          <w:rFonts w:ascii="Times New Roman" w:hAnsi="Times New Roman" w:cs="Times New Roman" w:eastAsia="Times New Roman"/>
          <w:sz w:val="28"/>
        </w:rPr>
        <w:t xml:space="preserve">Rasmdan ko‘rinadiki, salbiy ssenariyda kapital ko‘rsatkichlari amaldagi regulyativ minimumlardan (CET1 bo‘yicha 8 foiz, jami kapital bo‘yicha 13 foiz) past darajaga tushishi mumkin. Bu ikki xulosaga olib keladi. Birinchidan, kapitalning hozirgi zaxirasi asosan bazaviy ssenariyda yetarli, ammo jiddiy makroiqtisodiy shokda uning katta qismi yo‘qolishi mumkin. Ikkinchidan, bir sanadagi kapital ko‘rsatkichiga tayanuvchi baholash bankning kelajakdagi barqarorligini to‘liq aks ettirmaydi, shuning uchun baholash metodikasi istiqbolli (prognoz) elementni ham o‘z ichiga olishi kerak.</w:t>
      </w:r>
    </w:p>
    <w:bookmarkEnd w:id="7"/>
    <w:bookmarkStart w:id="9" w:name="X1eb9f5556cdb29c45b5626a98aaf278fffe0b89"/>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4. Xalqaro standartlarga moslashtirish muammolari</w:t>
      </w:r>
    </w:p>
    <w:p>
      <w:pPr>
        <w:pStyle w:val="FirstParagraph"/>
        <w:spacing w:line="360" w:lineRule="auto" w:before="0" w:after="0"/>
        <w:ind w:firstLine="709"/>
        <w:jc w:val="both"/>
      </w:pPr>
      <w:r>
        <w:rPr>
          <w:rFonts w:ascii="Times New Roman" w:hAnsi="Times New Roman" w:cs="Times New Roman" w:eastAsia="Times New Roman"/>
          <w:sz w:val="28"/>
        </w:rPr>
        <w:t xml:space="preserve">XVJ va Jahon banki FSAP doirasida O‘zbekiston bank nazoratining Bazel qo‘mitasi tamoyillariga muvofiqligini baholab, rasmiy va mazmuniy muvofiqlik o‘rtasida sezilarli tafovut borligini aniqladi. XVJ ta’kidlashicha, Markaziy bank Bazel III ga o‘tganini e’lon qilgan bo‘lsa-da, kapital ta’rifini va kredit riski bo‘yicha tortilgan aktivlarni hisoblash metodikasini kuchaytirish zarur</w:t>
      </w:r>
      <w:r>
        <w:rPr>
          <w:rStyle w:val="FootnoteReference"/>
        </w:rPr>
        <w:footnoteReference w:id="254"/>
      </w:r>
      <w:r>
        <w:rPr>
          <w:rFonts w:ascii="Times New Roman" w:hAnsi="Times New Roman" w:cs="Times New Roman" w:eastAsia="Times New Roman"/>
          <w:sz w:val="28"/>
        </w:rPr>
        <w:t xml:space="preserve">. FSAP topilmalari va ularga javoban yo‘l xaritasida belgilangan choralar 2.1.2-jadvalda tizimlashtirilgan.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2.1.2-jadval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O‘zbekistonda banklar moliyaviy barqarorligini baholashning xalqaro standartlarga muvofiqligi: tafovutlar va choralar</w:t>
      </w:r>
      <w:r>
        <w:rPr>
          <w:rStyle w:val="FootnoteReference"/>
        </w:rPr>
        <w:footnoteReference w:id="255"/>
      </w:r>
    </w:p>
    <w:tbl>
      <w:tblPr>
        <w:tblStyle w:val="Table"/>
        <w:tblW w:type="pct" w:w="5000"/>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584"/>
        <w:gridCol w:w="1584"/>
        <w:gridCol w:w="1584"/>
        <w:gridCol w:w="1584"/>
        <w:gridCol w:w="1584"/>
      </w:tblGrid>
      <w:tr>
        <w:trPr>
          <w:tblHeader w:val="true"/>
          <w:cantSplit/>
          <w:tblHeader/>
        </w:trPr>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Soha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Xalqaro talab</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O‘zbekistondagi holat (FSAP)</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Yo‘l xaritasidagi chora</w:t>
            </w:r>
          </w:p>
        </w:tc>
        <w:tc>
          <w:tcPr>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Muddat</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ta’rifi</w:t>
            </w:r>
          </w:p>
        </w:tc>
        <w:tc>
          <w:tcPr/>
          <w:p>
            <w:pPr>
              <w:pStyle w:val="Compact"/>
              <w:spacing w:line="240" w:lineRule="auto"/>
              <w:ind w:firstLine="0"/>
              <w:jc w:val="left"/>
            </w:pPr>
            <w:r>
              <w:rPr>
                <w:rFonts w:ascii="Times New Roman" w:hAnsi="Times New Roman" w:cs="Times New Roman" w:eastAsia="Times New Roman"/>
                <w:sz w:val="22"/>
              </w:rPr>
              <w:t xml:space="preserve">Kapital instrumentlari yo‘qotishni qoplash qobiliyatiga ega bo‘lishi kerak</w:t>
            </w:r>
          </w:p>
        </w:tc>
        <w:tc>
          <w:tcPr/>
          <w:p>
            <w:pPr>
              <w:pStyle w:val="Compact"/>
              <w:spacing w:line="240" w:lineRule="auto"/>
              <w:ind w:firstLine="0"/>
              <w:jc w:val="left"/>
            </w:pPr>
            <w:r>
              <w:rPr>
                <w:rFonts w:ascii="Times New Roman" w:hAnsi="Times New Roman" w:cs="Times New Roman" w:eastAsia="Times New Roman"/>
                <w:sz w:val="22"/>
              </w:rPr>
              <w:t xml:space="preserve">II darajali kapitalning ~1/3 qismini tashkil etuvchi subordinar qarzlar hisobdan chiqarish yoki konvertatsiya xususiyatiga ega emas</w:t>
            </w:r>
          </w:p>
        </w:tc>
        <w:tc>
          <w:tcPr/>
          <w:p>
            <w:pPr>
              <w:pStyle w:val="Compact"/>
              <w:spacing w:line="240" w:lineRule="auto"/>
              <w:ind w:firstLine="0"/>
              <w:jc w:val="left"/>
            </w:pPr>
            <w:r>
              <w:rPr>
                <w:rFonts w:ascii="Times New Roman" w:hAnsi="Times New Roman" w:cs="Times New Roman" w:eastAsia="Times New Roman"/>
                <w:sz w:val="22"/>
              </w:rPr>
              <w:t xml:space="preserve">I va II darajali kapital tarkibi va mezonlarini takomillashtirish</w:t>
            </w:r>
          </w:p>
        </w:tc>
        <w:tc>
          <w:tcPr/>
          <w:p>
            <w:pPr>
              <w:pStyle w:val="Compact"/>
              <w:spacing w:line="240" w:lineRule="auto"/>
              <w:ind w:firstLine="0"/>
              <w:jc w:val="left"/>
            </w:pPr>
            <w:r>
              <w:rPr>
                <w:rFonts w:ascii="Times New Roman" w:hAnsi="Times New Roman" w:cs="Times New Roman" w:eastAsia="Times New Roman"/>
                <w:sz w:val="22"/>
              </w:rPr>
              <w:t xml:space="preserve">2026-y.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Risk bo‘yicha tortilgan aktivlar</w:t>
            </w:r>
          </w:p>
        </w:tc>
        <w:tc>
          <w:tcPr/>
          <w:p>
            <w:pPr>
              <w:pStyle w:val="Compact"/>
              <w:spacing w:line="240" w:lineRule="auto"/>
              <w:ind w:firstLine="0"/>
              <w:jc w:val="left"/>
            </w:pPr>
            <w:r>
              <w:rPr>
                <w:rFonts w:ascii="Times New Roman" w:hAnsi="Times New Roman" w:cs="Times New Roman" w:eastAsia="Times New Roman"/>
                <w:sz w:val="22"/>
              </w:rPr>
              <w:t xml:space="preserve">Bazel metodikasi bo‘yicha kredit, operatsion va bozor risklarini hisoblash</w:t>
            </w:r>
          </w:p>
        </w:tc>
        <w:tc>
          <w:tcPr/>
          <w:p>
            <w:pPr>
              <w:pStyle w:val="Compact"/>
              <w:spacing w:line="240" w:lineRule="auto"/>
              <w:ind w:firstLine="0"/>
              <w:jc w:val="left"/>
            </w:pPr>
            <w:r>
              <w:rPr>
                <w:rFonts w:ascii="Times New Roman" w:hAnsi="Times New Roman" w:cs="Times New Roman" w:eastAsia="Times New Roman"/>
                <w:sz w:val="22"/>
              </w:rPr>
              <w:t xml:space="preserve">Ayrim jihatlarda Bazel metodikasidan chetlanish</w:t>
            </w:r>
          </w:p>
        </w:tc>
        <w:tc>
          <w:tcPr/>
          <w:p>
            <w:pPr>
              <w:pStyle w:val="Compact"/>
              <w:spacing w:line="240" w:lineRule="auto"/>
              <w:ind w:firstLine="0"/>
              <w:jc w:val="left"/>
            </w:pPr>
            <w:r>
              <w:rPr>
                <w:rFonts w:ascii="Times New Roman" w:hAnsi="Times New Roman" w:cs="Times New Roman" w:eastAsia="Times New Roman"/>
                <w:sz w:val="22"/>
              </w:rPr>
              <w:t xml:space="preserve">Ayrim kredit, operatsion va bozor risklarini hisoblash tartibini takomillashtirish</w:t>
            </w:r>
          </w:p>
        </w:tc>
        <w:tc>
          <w:tcPr/>
          <w:p>
            <w:pPr>
              <w:pStyle w:val="Compact"/>
              <w:spacing w:line="240" w:lineRule="auto"/>
              <w:ind w:firstLine="0"/>
              <w:jc w:val="left"/>
            </w:pPr>
            <w:r>
              <w:rPr>
                <w:rFonts w:ascii="Times New Roman" w:hAnsi="Times New Roman" w:cs="Times New Roman" w:eastAsia="Times New Roman"/>
                <w:sz w:val="22"/>
              </w:rPr>
              <w:t xml:space="preserve">2026-y.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Kapital buferlari</w:t>
            </w:r>
          </w:p>
        </w:tc>
        <w:tc>
          <w:tcPr/>
          <w:p>
            <w:pPr>
              <w:pStyle w:val="Compact"/>
              <w:spacing w:line="240" w:lineRule="auto"/>
              <w:ind w:firstLine="0"/>
              <w:jc w:val="left"/>
            </w:pPr>
            <w:r>
              <w:rPr>
                <w:rFonts w:ascii="Times New Roman" w:hAnsi="Times New Roman" w:cs="Times New Roman" w:eastAsia="Times New Roman"/>
                <w:sz w:val="22"/>
              </w:rPr>
              <w:t xml:space="preserve">Saqlash, kontrsiklik va tizimli banklar buferlari</w:t>
            </w:r>
          </w:p>
        </w:tc>
        <w:tc>
          <w:tcPr/>
          <w:p>
            <w:pPr>
              <w:pStyle w:val="Compact"/>
              <w:spacing w:line="240" w:lineRule="auto"/>
              <w:ind w:firstLine="0"/>
              <w:jc w:val="left"/>
            </w:pPr>
            <w:r>
              <w:rPr>
                <w:rFonts w:ascii="Times New Roman" w:hAnsi="Times New Roman" w:cs="Times New Roman" w:eastAsia="Times New Roman"/>
                <w:sz w:val="22"/>
              </w:rPr>
              <w:t xml:space="preserve">Tizimli banklar aniqlangan, ammo ularga bufer qo‘llanmagan</w:t>
            </w:r>
          </w:p>
        </w:tc>
        <w:tc>
          <w:tcPr/>
          <w:p>
            <w:pPr>
              <w:pStyle w:val="Compact"/>
              <w:spacing w:line="240" w:lineRule="auto"/>
              <w:ind w:firstLine="0"/>
              <w:jc w:val="left"/>
            </w:pPr>
            <w:r>
              <w:rPr>
                <w:rFonts w:ascii="Times New Roman" w:hAnsi="Times New Roman" w:cs="Times New Roman" w:eastAsia="Times New Roman"/>
                <w:sz w:val="22"/>
              </w:rPr>
              <w:t xml:space="preserve">Uchala bufer joriy etildi (2025–2026)</w:t>
            </w:r>
          </w:p>
        </w:tc>
        <w:tc>
          <w:tcPr/>
          <w:p>
            <w:pPr>
              <w:pStyle w:val="Compact"/>
              <w:spacing w:line="240" w:lineRule="auto"/>
              <w:ind w:firstLine="0"/>
              <w:jc w:val="left"/>
            </w:pPr>
            <w:r>
              <w:rPr>
                <w:rFonts w:ascii="Times New Roman" w:hAnsi="Times New Roman" w:cs="Times New Roman" w:eastAsia="Times New Roman"/>
                <w:sz w:val="22"/>
              </w:rPr>
              <w:t xml:space="preserve">2025–2026-y.</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2-ustun (ICAAP, SREP)</w:t>
            </w:r>
          </w:p>
        </w:tc>
        <w:tc>
          <w:tcPr/>
          <w:p>
            <w:pPr>
              <w:pStyle w:val="Compact"/>
              <w:spacing w:line="240" w:lineRule="auto"/>
              <w:ind w:firstLine="0"/>
              <w:jc w:val="left"/>
            </w:pPr>
            <w:r>
              <w:rPr>
                <w:rFonts w:ascii="Times New Roman" w:hAnsi="Times New Roman" w:cs="Times New Roman" w:eastAsia="Times New Roman"/>
                <w:sz w:val="22"/>
              </w:rPr>
              <w:t xml:space="preserve">Kapital talabi bank risk profiliga moslashtiriladi</w:t>
            </w:r>
          </w:p>
        </w:tc>
        <w:tc>
          <w:tcPr/>
          <w:p>
            <w:pPr>
              <w:pStyle w:val="Compact"/>
              <w:spacing w:line="240" w:lineRule="auto"/>
              <w:ind w:firstLine="0"/>
              <w:jc w:val="left"/>
            </w:pPr>
            <w:r>
              <w:rPr>
                <w:rFonts w:ascii="Times New Roman" w:hAnsi="Times New Roman" w:cs="Times New Roman" w:eastAsia="Times New Roman"/>
                <w:sz w:val="22"/>
              </w:rPr>
              <w:t xml:space="preserve">2-ustun metodikasi yo‘q</w:t>
            </w:r>
          </w:p>
        </w:tc>
        <w:tc>
          <w:tcPr/>
          <w:p>
            <w:pPr>
              <w:pStyle w:val="Compact"/>
              <w:spacing w:line="240" w:lineRule="auto"/>
              <w:ind w:firstLine="0"/>
              <w:jc w:val="left"/>
            </w:pPr>
            <w:r>
              <w:rPr>
                <w:rFonts w:ascii="Times New Roman" w:hAnsi="Times New Roman" w:cs="Times New Roman" w:eastAsia="Times New Roman"/>
                <w:sz w:val="22"/>
              </w:rPr>
              <w:t xml:space="preserve">Tizimli banklarda ICAAP ni majburiy joriy etish; foiz riski asosida 2-ustunni joriy etish</w:t>
            </w:r>
          </w:p>
        </w:tc>
        <w:tc>
          <w:tcPr/>
          <w:p>
            <w:pPr>
              <w:pStyle w:val="Compact"/>
              <w:spacing w:line="240" w:lineRule="auto"/>
              <w:ind w:firstLine="0"/>
              <w:jc w:val="left"/>
            </w:pPr>
            <w:r>
              <w:rPr>
                <w:rFonts w:ascii="Times New Roman" w:hAnsi="Times New Roman" w:cs="Times New Roman" w:eastAsia="Times New Roman"/>
                <w:sz w:val="22"/>
              </w:rPr>
              <w:t xml:space="preserve">2026–2028-y.; ICAAP – 2027-y. III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p>
            <w:pPr>
              <w:pStyle w:val="Compact"/>
              <w:spacing w:line="240" w:lineRule="auto"/>
              <w:ind w:firstLine="0"/>
              <w:jc w:val="left"/>
            </w:pPr>
            <w:r>
              <w:rPr>
                <w:rFonts w:ascii="Times New Roman" w:hAnsi="Times New Roman" w:cs="Times New Roman" w:eastAsia="Times New Roman"/>
                <w:sz w:val="22"/>
              </w:rPr>
              <w:t xml:space="preserve">Muammoli kreditlar va restrukturizatsiya qilingan aktivlarning Bazel ta’riflari; MHXS 9</w:t>
            </w:r>
          </w:p>
        </w:tc>
        <w:tc>
          <w:tcPr/>
          <w:p>
            <w:pPr>
              <w:pStyle w:val="Compact"/>
              <w:spacing w:line="240" w:lineRule="auto"/>
              <w:ind w:firstLine="0"/>
              <w:jc w:val="left"/>
            </w:pPr>
            <w:r>
              <w:rPr>
                <w:rFonts w:ascii="Times New Roman" w:hAnsi="Times New Roman" w:cs="Times New Roman" w:eastAsia="Times New Roman"/>
                <w:sz w:val="22"/>
              </w:rPr>
              <w:t xml:space="preserve">Aktivlar sifati to‘g‘risida hisobotlarda kamsitib ko‘rsatish holatlari, ayniqsa imtiyozli va yo‘naltirilgan kreditlarda</w:t>
            </w:r>
          </w:p>
        </w:tc>
        <w:tc>
          <w:tcPr/>
          <w:p>
            <w:pPr>
              <w:pStyle w:val="Compact"/>
              <w:spacing w:line="240" w:lineRule="auto"/>
              <w:ind w:firstLine="0"/>
              <w:jc w:val="left"/>
            </w:pPr>
            <w:r>
              <w:rPr>
                <w:rFonts w:ascii="Times New Roman" w:hAnsi="Times New Roman" w:cs="Times New Roman" w:eastAsia="Times New Roman"/>
                <w:sz w:val="22"/>
              </w:rPr>
              <w:t xml:space="preserve">Muammoli kredit ta’rifini kengaytirish, MHXS 9 ning 3-bosqichini to‘liq qamrash, «forborne exposures» ta’rifini joriy etish</w:t>
            </w:r>
          </w:p>
        </w:tc>
        <w:tc>
          <w:tcPr/>
          <w:p>
            <w:pPr>
              <w:pStyle w:val="Compact"/>
              <w:spacing w:line="240" w:lineRule="auto"/>
              <w:ind w:firstLine="0"/>
              <w:jc w:val="left"/>
            </w:pPr>
            <w:r>
              <w:rPr>
                <w:rFonts w:ascii="Times New Roman" w:hAnsi="Times New Roman" w:cs="Times New Roman" w:eastAsia="Times New Roman"/>
                <w:sz w:val="22"/>
              </w:rPr>
              <w:t xml:space="preserve">2026-y. II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Likvidlik</w:t>
            </w:r>
          </w:p>
        </w:tc>
        <w:tc>
          <w:tcPr/>
          <w:p>
            <w:pPr>
              <w:pStyle w:val="Compact"/>
              <w:spacing w:line="240" w:lineRule="auto"/>
              <w:ind w:firstLine="0"/>
              <w:jc w:val="left"/>
            </w:pPr>
            <w:r>
              <w:rPr>
                <w:rFonts w:ascii="Times New Roman" w:hAnsi="Times New Roman" w:cs="Times New Roman" w:eastAsia="Times New Roman"/>
                <w:sz w:val="22"/>
              </w:rPr>
              <w:t xml:space="preserve">LCR va NSFR elementlari Bazel III ga to‘liq mos</w:t>
            </w:r>
          </w:p>
        </w:tc>
        <w:tc>
          <w:tcPr/>
          <w:p>
            <w:pPr>
              <w:pStyle w:val="Compact"/>
              <w:spacing w:line="240" w:lineRule="auto"/>
              <w:ind w:firstLine="0"/>
              <w:jc w:val="left"/>
            </w:pPr>
            <w:r>
              <w:rPr>
                <w:rFonts w:ascii="Times New Roman" w:hAnsi="Times New Roman" w:cs="Times New Roman" w:eastAsia="Times New Roman"/>
                <w:sz w:val="22"/>
              </w:rPr>
              <w:t xml:space="preserve">Ayrim elementlar va koeffitsiyentlar Bazel III dan farq qiladi</w:t>
            </w:r>
          </w:p>
        </w:tc>
        <w:tc>
          <w:tcPr/>
          <w:p>
            <w:pPr>
              <w:pStyle w:val="Compact"/>
              <w:spacing w:line="240" w:lineRule="auto"/>
              <w:ind w:firstLine="0"/>
              <w:jc w:val="left"/>
            </w:pPr>
            <w:r>
              <w:rPr>
                <w:rFonts w:ascii="Times New Roman" w:hAnsi="Times New Roman" w:cs="Times New Roman" w:eastAsia="Times New Roman"/>
                <w:sz w:val="22"/>
              </w:rPr>
              <w:t xml:space="preserve">LCR va NSFR elementlarini to‘liq moslashtirish, 2026-yil 1-yanvardan monitoring</w:t>
            </w:r>
          </w:p>
        </w:tc>
        <w:tc>
          <w:tcPr/>
          <w:p>
            <w:pPr>
              <w:pStyle w:val="Compact"/>
              <w:spacing w:line="240" w:lineRule="auto"/>
              <w:ind w:firstLine="0"/>
              <w:jc w:val="left"/>
            </w:pPr>
            <w:r>
              <w:rPr>
                <w:rFonts w:ascii="Times New Roman" w:hAnsi="Times New Roman" w:cs="Times New Roman" w:eastAsia="Times New Roman"/>
                <w:sz w:val="22"/>
              </w:rPr>
              <w:t xml:space="preserve">2026-y.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3-ustun (oshkoralik)</w:t>
            </w:r>
          </w:p>
        </w:tc>
        <w:tc>
          <w:tcPr/>
          <w:p>
            <w:pPr>
              <w:pStyle w:val="Compact"/>
              <w:spacing w:line="240" w:lineRule="auto"/>
              <w:ind w:firstLine="0"/>
              <w:jc w:val="left"/>
            </w:pPr>
            <w:r>
              <w:rPr>
                <w:rFonts w:ascii="Times New Roman" w:hAnsi="Times New Roman" w:cs="Times New Roman" w:eastAsia="Times New Roman"/>
                <w:sz w:val="22"/>
              </w:rPr>
              <w:t xml:space="preserve">Moliyaviy va nazorat hisobotlarini oshkor qilish bo‘yicha minimal talablar</w:t>
            </w:r>
          </w:p>
        </w:tc>
        <w:tc>
          <w:tcPr/>
          <w:p>
            <w:pPr>
              <w:pStyle w:val="Compact"/>
              <w:spacing w:line="240" w:lineRule="auto"/>
              <w:ind w:firstLine="0"/>
              <w:jc w:val="left"/>
            </w:pPr>
            <w:r>
              <w:rPr>
                <w:rFonts w:ascii="Times New Roman" w:hAnsi="Times New Roman" w:cs="Times New Roman" w:eastAsia="Times New Roman"/>
                <w:sz w:val="22"/>
              </w:rPr>
              <w:t xml:space="preserve">Minimal talablar belgilanmagan</w:t>
            </w:r>
          </w:p>
        </w:tc>
        <w:tc>
          <w:tcPr/>
          <w:p>
            <w:pPr>
              <w:pStyle w:val="Compact"/>
              <w:spacing w:line="240" w:lineRule="auto"/>
              <w:ind w:firstLine="0"/>
              <w:jc w:val="left"/>
            </w:pPr>
            <w:r>
              <w:rPr>
                <w:rFonts w:ascii="Times New Roman" w:hAnsi="Times New Roman" w:cs="Times New Roman" w:eastAsia="Times New Roman"/>
                <w:sz w:val="22"/>
              </w:rPr>
              <w:t xml:space="preserve">Oshkoralik bo‘yicha minimal talablar nizomini ishlab chiqish</w:t>
            </w:r>
          </w:p>
        </w:tc>
        <w:tc>
          <w:tcPr/>
          <w:p>
            <w:pPr>
              <w:pStyle w:val="Compact"/>
              <w:spacing w:line="240" w:lineRule="auto"/>
              <w:ind w:firstLine="0"/>
              <w:jc w:val="left"/>
            </w:pPr>
            <w:r>
              <w:rPr>
                <w:rFonts w:ascii="Times New Roman" w:hAnsi="Times New Roman" w:cs="Times New Roman" w:eastAsia="Times New Roman"/>
                <w:sz w:val="22"/>
              </w:rPr>
              <w:t xml:space="preserve">2027-y.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Konsolidatsiyalangan nazorat</w:t>
            </w:r>
          </w:p>
        </w:tc>
        <w:tc>
          <w:tcPr/>
          <w:p>
            <w:pPr>
              <w:pStyle w:val="Compact"/>
              <w:spacing w:line="240" w:lineRule="auto"/>
              <w:ind w:firstLine="0"/>
              <w:jc w:val="left"/>
            </w:pPr>
            <w:r>
              <w:rPr>
                <w:rFonts w:ascii="Times New Roman" w:hAnsi="Times New Roman" w:cs="Times New Roman" w:eastAsia="Times New Roman"/>
                <w:sz w:val="22"/>
              </w:rPr>
              <w:t xml:space="preserve">Bank guruhlari, shu jumladan nobank ona kompaniyalar ustidan nazorat</w:t>
            </w:r>
          </w:p>
        </w:tc>
        <w:tc>
          <w:tcPr/>
          <w:p>
            <w:pPr>
              <w:pStyle w:val="Compact"/>
              <w:spacing w:line="240" w:lineRule="auto"/>
              <w:ind w:firstLine="0"/>
              <w:jc w:val="left"/>
            </w:pPr>
            <w:r>
              <w:rPr>
                <w:rFonts w:ascii="Times New Roman" w:hAnsi="Times New Roman" w:cs="Times New Roman" w:eastAsia="Times New Roman"/>
                <w:sz w:val="22"/>
              </w:rPr>
              <w:t xml:space="preserve">Huquqiy asos to‘liq emas</w:t>
            </w:r>
          </w:p>
        </w:tc>
        <w:tc>
          <w:tcPr/>
          <w:p>
            <w:pPr>
              <w:pStyle w:val="Compact"/>
              <w:spacing w:line="240" w:lineRule="auto"/>
              <w:ind w:firstLine="0"/>
              <w:jc w:val="left"/>
            </w:pPr>
            <w:r>
              <w:rPr>
                <w:rFonts w:ascii="Times New Roman" w:hAnsi="Times New Roman" w:cs="Times New Roman" w:eastAsia="Times New Roman"/>
                <w:sz w:val="22"/>
              </w:rPr>
              <w:t xml:space="preserve">Qonunga o‘zgartirish; konsolidatsiyalangan nazorat nizomi</w:t>
            </w:r>
          </w:p>
        </w:tc>
        <w:tc>
          <w:tcPr/>
          <w:p>
            <w:pPr>
              <w:pStyle w:val="Compact"/>
              <w:spacing w:line="240" w:lineRule="auto"/>
              <w:ind w:firstLine="0"/>
              <w:jc w:val="left"/>
            </w:pPr>
            <w:r>
              <w:rPr>
                <w:rFonts w:ascii="Times New Roman" w:hAnsi="Times New Roman" w:cs="Times New Roman" w:eastAsia="Times New Roman"/>
                <w:sz w:val="22"/>
              </w:rPr>
              <w:t xml:space="preserve">2027-y. II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Erta aralashuv</w:t>
            </w:r>
          </w:p>
        </w:tc>
        <w:tc>
          <w:tcPr/>
          <w:p>
            <w:pPr>
              <w:pStyle w:val="Compact"/>
              <w:spacing w:line="240" w:lineRule="auto"/>
              <w:ind w:firstLine="0"/>
              <w:jc w:val="left"/>
            </w:pPr>
            <w:r>
              <w:rPr>
                <w:rFonts w:ascii="Times New Roman" w:hAnsi="Times New Roman" w:cs="Times New Roman" w:eastAsia="Times New Roman"/>
                <w:sz w:val="22"/>
              </w:rPr>
              <w:t xml:space="preserve">Erta ogohlantirish tizimi va tezkor tuzatuvchi choralar</w:t>
            </w:r>
          </w:p>
        </w:tc>
        <w:tc>
          <w:tcPr/>
          <w:p>
            <w:pPr>
              <w:pStyle w:val="Compact"/>
              <w:spacing w:line="240" w:lineRule="auto"/>
              <w:ind w:firstLine="0"/>
              <w:jc w:val="left"/>
            </w:pPr>
            <w:r>
              <w:rPr>
                <w:rFonts w:ascii="Times New Roman" w:hAnsi="Times New Roman" w:cs="Times New Roman" w:eastAsia="Times New Roman"/>
                <w:sz w:val="22"/>
              </w:rPr>
              <w:t xml:space="preserve">Mavjud emas</w:t>
            </w:r>
          </w:p>
        </w:tc>
        <w:tc>
          <w:tcPr/>
          <w:p>
            <w:pPr>
              <w:pStyle w:val="Compact"/>
              <w:spacing w:line="240" w:lineRule="auto"/>
              <w:ind w:firstLine="0"/>
              <w:jc w:val="left"/>
            </w:pPr>
            <w:r>
              <w:rPr>
                <w:rFonts w:ascii="Times New Roman" w:hAnsi="Times New Roman" w:cs="Times New Roman" w:eastAsia="Times New Roman"/>
                <w:sz w:val="22"/>
              </w:rPr>
              <w:t xml:space="preserve">Erta ogohlantirish tizimi (EWS) va tezkor tuzatuvchi choralar (PCA) tizimini joriy etish</w:t>
            </w:r>
          </w:p>
        </w:tc>
        <w:tc>
          <w:tcPr/>
          <w:p>
            <w:pPr>
              <w:pStyle w:val="Compact"/>
              <w:spacing w:line="240" w:lineRule="auto"/>
              <w:ind w:firstLine="0"/>
              <w:jc w:val="left"/>
            </w:pPr>
            <w:r>
              <w:rPr>
                <w:rFonts w:ascii="Times New Roman" w:hAnsi="Times New Roman" w:cs="Times New Roman" w:eastAsia="Times New Roman"/>
                <w:sz w:val="22"/>
              </w:rPr>
              <w:t xml:space="preserve">2026-y. I chorak – 2027-y. I chorak</w:t>
            </w:r>
          </w:p>
        </w:tc>
      </w:tr>
      <w:tr>
        <w:trPr>
          <w:cantSplit/>
        </w:trPr>
        <w:tc>
          <w:tcPr/>
          <w:p>
            <w:pPr>
              <w:pStyle w:val="Compact"/>
              <w:spacing w:line="240" w:lineRule="auto"/>
              <w:ind w:firstLine="0"/>
              <w:jc w:val="left"/>
            </w:pPr>
            <w:r>
              <w:rPr>
                <w:rFonts w:ascii="Times New Roman" w:hAnsi="Times New Roman" w:cs="Times New Roman" w:eastAsia="Times New Roman"/>
                <w:sz w:val="22"/>
              </w:rPr>
              <w:t xml:space="preserve">Banklarni sanatsiya qilish</w:t>
            </w:r>
          </w:p>
        </w:tc>
        <w:tc>
          <w:tcPr/>
          <w:p>
            <w:pPr>
              <w:pStyle w:val="Compact"/>
              <w:spacing w:line="240" w:lineRule="auto"/>
              <w:ind w:firstLine="0"/>
              <w:jc w:val="left"/>
            </w:pPr>
            <w:r>
              <w:rPr>
                <w:rFonts w:ascii="Times New Roman" w:hAnsi="Times New Roman" w:cs="Times New Roman" w:eastAsia="Times New Roman"/>
                <w:sz w:val="22"/>
              </w:rPr>
              <w:t xml:space="preserve">Sanatsiya rejimi, sanatsiya rejalari va jamg‘armasi</w:t>
            </w:r>
          </w:p>
        </w:tc>
        <w:tc>
          <w:tcPr/>
          <w:p>
            <w:pPr>
              <w:pStyle w:val="Compact"/>
              <w:spacing w:line="240" w:lineRule="auto"/>
              <w:ind w:firstLine="0"/>
              <w:jc w:val="left"/>
            </w:pPr>
            <w:r>
              <w:rPr>
                <w:rFonts w:ascii="Times New Roman" w:hAnsi="Times New Roman" w:cs="Times New Roman" w:eastAsia="Times New Roman"/>
                <w:sz w:val="22"/>
              </w:rPr>
              <w:t xml:space="preserve">Shakllanish bosqichida</w:t>
            </w:r>
          </w:p>
        </w:tc>
        <w:tc>
          <w:tcPr/>
          <w:p>
            <w:pPr>
              <w:pStyle w:val="Compact"/>
              <w:spacing w:line="240" w:lineRule="auto"/>
              <w:ind w:firstLine="0"/>
              <w:jc w:val="left"/>
            </w:pPr>
            <w:r>
              <w:rPr>
                <w:rFonts w:ascii="Times New Roman" w:hAnsi="Times New Roman" w:cs="Times New Roman" w:eastAsia="Times New Roman"/>
                <w:sz w:val="22"/>
              </w:rPr>
              <w:t xml:space="preserve">Sanatsiya tizimini yaratish; tizimli banklar uchun birinchi sanatsiya rejalari</w:t>
            </w:r>
          </w:p>
        </w:tc>
        <w:tc>
          <w:tcPr/>
          <w:p>
            <w:pPr>
              <w:pStyle w:val="Compact"/>
              <w:spacing w:line="240" w:lineRule="auto"/>
              <w:ind w:firstLine="0"/>
              <w:jc w:val="left"/>
            </w:pPr>
            <w:r>
              <w:rPr>
                <w:rFonts w:ascii="Times New Roman" w:hAnsi="Times New Roman" w:cs="Times New Roman" w:eastAsia="Times New Roman"/>
                <w:sz w:val="22"/>
              </w:rPr>
              <w:t xml:space="preserve">2026–2028-y.</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 keltirilgan tafovutlarni tahlil qilish ularni besh guruhga ajratish imkonini beradi (2.1.5-rasm).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04000" cy="2484000"/>
                <wp:effectExtent l="0" t="0" r="0" b="0"/>
                <wp:docPr id="24" name="2.1.5-rasm"/>
                <wp:cNvGraphicFramePr/>
                <a:graphic>
                  <a:graphicData uri="http://schemas.microsoft.com/office/word/2010/wordprocessingGroup">
                    <wpg:wgp>
                      <wpg:cNvGrpSpPr/>
                      <wpg:grpSpPr>
                        <a:xfrm>
                          <a:off x="0" y="0"/>
                          <a:ext cx="5904000" cy="2484000"/>
                          <a:chOff x="0" y="0"/>
                          <a:chExt cx="5904000" cy="2484000"/>
                        </a:xfrm>
                      </wpg:grpSpPr>
                      <wps:wsp>
                        <wps:cNvPr id="34" name="Shape 34"/>
                        <wps:cNvSpPr/>
                        <wps:spPr>
                          <a:xfrm>
                            <a:off x="1692000" y="36000"/>
                            <a:ext cx="2520000" cy="36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Xalqaro standartlarga moslashtirish muammolari</w:t>
                              </w:r>
                            </w:p>
                          </w:txbxContent>
                        </wps:txbx>
                        <wps:bodyPr rot="0" vert="horz" wrap="square" lIns="36000" tIns="18000" rIns="36000" bIns="18000" anchor="ctr" anchorCtr="0">
                          <a:noAutofit/>
                        </wps:bodyPr>
                      </wps:wsp>
                      <wps:wsp>
                        <wps:cNvPr id="35" name="Connector 35"/>
                        <wps:cNvCnPr/>
                        <wps:spPr>
                          <a:xfrm flipH="1">
                            <a:off x="585000" y="396000"/>
                            <a:ext cx="2367000" cy="216000"/>
                          </a:xfrm>
                          <a:prstGeom prst="straightConnector1">
                            <a:avLst/>
                          </a:prstGeom>
                          <a:ln w="15875">
                            <a:solidFill>
                              <a:srgbClr val="404040"/>
                            </a:solidFill>
                            <a:tailEnd type="triangle" w="med" len="med"/>
                          </a:ln>
                        </wps:spPr>
                        <wps:bodyPr/>
                      </wps:wsp>
                      <wps:wsp>
                        <wps:cNvPr id="36" name="Shape 36"/>
                        <wps:cNvSpPr/>
                        <wps:spPr>
                          <a:xfrm>
                            <a:off x="36000" y="612000"/>
                            <a:ext cx="1098000" cy="36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Kapitalni o‘lchash</w:t>
                              </w:r>
                            </w:p>
                          </w:txbxContent>
                        </wps:txbx>
                        <wps:bodyPr rot="0" vert="horz" wrap="square" lIns="36000" tIns="18000" rIns="36000" bIns="18000" anchor="ctr" anchorCtr="0">
                          <a:noAutofit/>
                        </wps:bodyPr>
                      </wps:wsp>
                      <wps:wsp>
                        <wps:cNvPr id="37" name="Shape 37"/>
                        <wps:cNvSpPr/>
                        <wps:spPr>
                          <a:xfrm>
                            <a:off x="36000" y="1026000"/>
                            <a:ext cx="1098000" cy="828000"/>
                          </a:xfrm>
                          <a:prstGeom prst="roundRect">
                            <a:avLst>
                              <a:gd name="adj" fmla="val 10000"/>
                            </a:avLst>
                          </a:prstGeom>
                          <a:solidFill>
                            <a:srgbClr val="F2F2F2"/>
                          </a:solidFill>
                          <a:ln w="12700">
                            <a:solidFill>
                              <a:srgbClr val="2A78D6"/>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subordinar qarzlar Bazel</w:t>
                              </w:r>
                            </w:p>
                            <w:p>
                              <w:pPr>
                                <w:spacing w:before="0" w:after="0" w:line="228" w:lineRule="auto"/>
                                <w:jc w:val="center"/>
                                <w:ind w:firstLine="0"/>
                              </w:pPr>
                              <w:r>
                                <w:rPr>
                                  <w:rFonts w:ascii="Times New Roman" w:hAnsi="Times New Roman" w:cs="Times New Roman"/>
                                  <w:color w:val="000000"/>
                                  <w:sz w:val="18"/>
                                  <w:szCs w:val="18"/>
                                </w:rPr>
                                <w:t xml:space="preserve">mezonlariga mos emas;</w:t>
                              </w:r>
                            </w:p>
                            <w:p>
                              <w:pPr>
                                <w:spacing w:before="0" w:after="0" w:line="228" w:lineRule="auto"/>
                                <w:jc w:val="center"/>
                                <w:ind w:firstLine="0"/>
                              </w:pPr>
                              <w:r>
                                <w:rPr>
                                  <w:rFonts w:ascii="Times New Roman" w:hAnsi="Times New Roman" w:cs="Times New Roman"/>
                                  <w:color w:val="000000"/>
                                  <w:sz w:val="18"/>
                                  <w:szCs w:val="18"/>
                                </w:rPr>
                                <w:t xml:space="preserve">RWA metodikasida</w:t>
                              </w:r>
                            </w:p>
                            <w:p>
                              <w:pPr>
                                <w:spacing w:before="0" w:after="0" w:line="228" w:lineRule="auto"/>
                                <w:jc w:val="center"/>
                                <w:ind w:firstLine="0"/>
                              </w:pPr>
                              <w:r>
                                <w:rPr>
                                  <w:rFonts w:ascii="Times New Roman" w:hAnsi="Times New Roman" w:cs="Times New Roman"/>
                                  <w:color w:val="000000"/>
                                  <w:sz w:val="18"/>
                                  <w:szCs w:val="18"/>
                                </w:rPr>
                                <w:t xml:space="preserve">chetlanishlar</w:t>
                              </w:r>
                            </w:p>
                          </w:txbxContent>
                        </wps:txbx>
                        <wps:bodyPr rot="0" vert="horz" wrap="square" lIns="36000" tIns="18000" rIns="36000" bIns="18000" anchor="ctr" anchorCtr="0">
                          <a:noAutofit/>
                        </wps:bodyPr>
                      </wps:wsp>
                      <wps:wsp>
                        <wps:cNvPr id="38" name="Connector 38"/>
                        <wps:cNvCnPr/>
                        <wps:spPr>
                          <a:xfrm>
                            <a:off x="585000" y="1854000"/>
                            <a:ext cx="2367000" cy="216000"/>
                          </a:xfrm>
                          <a:prstGeom prst="straightConnector1">
                            <a:avLst/>
                          </a:prstGeom>
                          <a:ln w="12700">
                            <a:solidFill>
                              <a:srgbClr val="7F7F7F"/>
                            </a:solidFill>
                            <a:tailEnd type="triangle" w="med" len="med"/>
                          </a:ln>
                        </wps:spPr>
                        <wps:bodyPr/>
                      </wps:wsp>
                      <wps:wsp>
                        <wps:cNvPr id="39" name="Connector 39"/>
                        <wps:cNvCnPr/>
                        <wps:spPr>
                          <a:xfrm flipH="1">
                            <a:off x="1762200" y="396000"/>
                            <a:ext cx="1189800" cy="216000"/>
                          </a:xfrm>
                          <a:prstGeom prst="straightConnector1">
                            <a:avLst/>
                          </a:prstGeom>
                          <a:ln w="15875">
                            <a:solidFill>
                              <a:srgbClr val="404040"/>
                            </a:solidFill>
                            <a:tailEnd type="triangle" w="med" len="med"/>
                          </a:ln>
                        </wps:spPr>
                        <wps:bodyPr/>
                      </wps:wsp>
                      <wps:wsp>
                        <wps:cNvPr id="40" name="Shape 40"/>
                        <wps:cNvSpPr/>
                        <wps:spPr>
                          <a:xfrm>
                            <a:off x="1213200" y="612000"/>
                            <a:ext cx="1098000" cy="36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Aktivlar sifati</w:t>
                              </w:r>
                            </w:p>
                          </w:txbxContent>
                        </wps:txbx>
                        <wps:bodyPr rot="0" vert="horz" wrap="square" lIns="36000" tIns="18000" rIns="36000" bIns="18000" anchor="ctr" anchorCtr="0">
                          <a:noAutofit/>
                        </wps:bodyPr>
                      </wps:wsp>
                      <wps:wsp>
                        <wps:cNvPr id="41" name="Shape 41"/>
                        <wps:cNvSpPr/>
                        <wps:spPr>
                          <a:xfrm>
                            <a:off x="1213200" y="1026000"/>
                            <a:ext cx="1098000" cy="828000"/>
                          </a:xfrm>
                          <a:prstGeom prst="roundRect">
                            <a:avLst>
                              <a:gd name="adj" fmla="val 10000"/>
                            </a:avLst>
                          </a:prstGeom>
                          <a:solidFill>
                            <a:srgbClr val="F2F2F2"/>
                          </a:solidFill>
                          <a:ln w="12700">
                            <a:solidFill>
                              <a:srgbClr val="EB6834"/>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NPL va restrukturizatsiya</w:t>
                              </w:r>
                            </w:p>
                            <w:p>
                              <w:pPr>
                                <w:spacing w:before="0" w:after="0" w:line="228" w:lineRule="auto"/>
                                <w:jc w:val="center"/>
                                <w:ind w:firstLine="0"/>
                              </w:pPr>
                              <w:r>
                                <w:rPr>
                                  <w:rFonts w:ascii="Times New Roman" w:hAnsi="Times New Roman" w:cs="Times New Roman"/>
                                  <w:color w:val="000000"/>
                                  <w:sz w:val="18"/>
                                  <w:szCs w:val="18"/>
                                </w:rPr>
                                <w:t xml:space="preserve">ta’riflari tor;</w:t>
                              </w:r>
                            </w:p>
                            <w:p>
                              <w:pPr>
                                <w:spacing w:before="0" w:after="0" w:line="228" w:lineRule="auto"/>
                                <w:jc w:val="center"/>
                                <w:ind w:firstLine="0"/>
                              </w:pPr>
                              <w:r>
                                <w:rPr>
                                  <w:rFonts w:ascii="Times New Roman" w:hAnsi="Times New Roman" w:cs="Times New Roman"/>
                                  <w:color w:val="000000"/>
                                  <w:sz w:val="18"/>
                                  <w:szCs w:val="18"/>
                                </w:rPr>
                                <w:t xml:space="preserve">kamsitib ko‘rsatish;</w:t>
                              </w:r>
                            </w:p>
                            <w:p>
                              <w:pPr>
                                <w:spacing w:before="0" w:after="0" w:line="228" w:lineRule="auto"/>
                                <w:jc w:val="center"/>
                                <w:ind w:firstLine="0"/>
                              </w:pPr>
                              <w:r>
                                <w:rPr>
                                  <w:rFonts w:ascii="Times New Roman" w:hAnsi="Times New Roman" w:cs="Times New Roman"/>
                                  <w:color w:val="000000"/>
                                  <w:sz w:val="18"/>
                                  <w:szCs w:val="18"/>
                                </w:rPr>
                                <w:t xml:space="preserve">MHXS 9 to‘liq emas</w:t>
                              </w:r>
                            </w:p>
                          </w:txbxContent>
                        </wps:txbx>
                        <wps:bodyPr rot="0" vert="horz" wrap="square" lIns="36000" tIns="18000" rIns="36000" bIns="18000" anchor="ctr" anchorCtr="0">
                          <a:noAutofit/>
                        </wps:bodyPr>
                      </wps:wsp>
                      <wps:wsp>
                        <wps:cNvPr id="42" name="Connector 42"/>
                        <wps:cNvCnPr/>
                        <wps:spPr>
                          <a:xfrm>
                            <a:off x="1762200" y="1854000"/>
                            <a:ext cx="1189800" cy="216000"/>
                          </a:xfrm>
                          <a:prstGeom prst="straightConnector1">
                            <a:avLst/>
                          </a:prstGeom>
                          <a:ln w="12700">
                            <a:solidFill>
                              <a:srgbClr val="7F7F7F"/>
                            </a:solidFill>
                            <a:tailEnd type="triangle" w="med" len="med"/>
                          </a:ln>
                        </wps:spPr>
                        <wps:bodyPr/>
                      </wps:wsp>
                      <wps:wsp>
                        <wps:cNvPr id="43" name="Connector 43"/>
                        <wps:cNvCnPr/>
                        <wps:spPr>
                          <a:xfrm flipH="1">
                            <a:off x="2939400" y="396000"/>
                            <a:ext cx="12600" cy="216000"/>
                          </a:xfrm>
                          <a:prstGeom prst="straightConnector1">
                            <a:avLst/>
                          </a:prstGeom>
                          <a:ln w="15875">
                            <a:solidFill>
                              <a:srgbClr val="404040"/>
                            </a:solidFill>
                            <a:tailEnd type="triangle" w="med" len="med"/>
                          </a:ln>
                        </wps:spPr>
                        <wps:bodyPr/>
                      </wps:wsp>
                      <wps:wsp>
                        <wps:cNvPr id="44" name="Shape 44"/>
                        <wps:cNvSpPr/>
                        <wps:spPr>
                          <a:xfrm>
                            <a:off x="2390400" y="612000"/>
                            <a:ext cx="1098000" cy="36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Axborot va</w:t>
                              </w:r>
                            </w:p>
                            <w:p>
                              <w:pPr>
                                <w:spacing w:before="0" w:after="0" w:line="228" w:lineRule="auto"/>
                                <w:jc w:val="center"/>
                                <w:ind w:firstLine="0"/>
                              </w:pPr>
                              <w:r>
                                <w:rPr>
                                  <w:rFonts w:ascii="Times New Roman" w:hAnsi="Times New Roman" w:cs="Times New Roman"/>
                                  <w:b/>
                                  <w:color w:val="FFFFFF"/>
                                  <w:sz w:val="20"/>
                                  <w:szCs w:val="20"/>
                                </w:rPr>
                                <w:t xml:space="preserve">shaffoflik</w:t>
                              </w:r>
                            </w:p>
                          </w:txbxContent>
                        </wps:txbx>
                        <wps:bodyPr rot="0" vert="horz" wrap="square" lIns="36000" tIns="18000" rIns="36000" bIns="18000" anchor="ctr" anchorCtr="0">
                          <a:noAutofit/>
                        </wps:bodyPr>
                      </wps:wsp>
                      <wps:wsp>
                        <wps:cNvPr id="45" name="Shape 45"/>
                        <wps:cNvSpPr/>
                        <wps:spPr>
                          <a:xfrm>
                            <a:off x="2390400" y="1026000"/>
                            <a:ext cx="1098000" cy="828000"/>
                          </a:xfrm>
                          <a:prstGeom prst="roundRect">
                            <a:avLst>
                              <a:gd name="adj" fmla="val 10000"/>
                            </a:avLst>
                          </a:prstGeom>
                          <a:solidFill>
                            <a:srgbClr val="F2F2F2"/>
                          </a:solidFill>
                          <a:ln w="12700">
                            <a:solidFill>
                              <a:srgbClr val="70AD47"/>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oshkoralik bo‘yicha</w:t>
                              </w:r>
                            </w:p>
                            <w:p>
                              <w:pPr>
                                <w:spacing w:before="0" w:after="0" w:line="228" w:lineRule="auto"/>
                                <w:jc w:val="center"/>
                                <w:ind w:firstLine="0"/>
                              </w:pPr>
                              <w:r>
                                <w:rPr>
                                  <w:rFonts w:ascii="Times New Roman" w:hAnsi="Times New Roman" w:cs="Times New Roman"/>
                                  <w:color w:val="000000"/>
                                  <w:sz w:val="18"/>
                                  <w:szCs w:val="18"/>
                                </w:rPr>
                                <w:t xml:space="preserve">minimal talablar yo‘q;</w:t>
                              </w:r>
                            </w:p>
                            <w:p>
                              <w:pPr>
                                <w:spacing w:before="0" w:after="0" w:line="228" w:lineRule="auto"/>
                                <w:jc w:val="center"/>
                                <w:ind w:firstLine="0"/>
                              </w:pPr>
                              <w:r>
                                <w:rPr>
                                  <w:rFonts w:ascii="Times New Roman" w:hAnsi="Times New Roman" w:cs="Times New Roman"/>
                                  <w:color w:val="000000"/>
                                  <w:sz w:val="18"/>
                                  <w:szCs w:val="18"/>
                                </w:rPr>
                                <w:t xml:space="preserve">milliy hisobot va MHXS</w:t>
                              </w:r>
                            </w:p>
                            <w:p>
                              <w:pPr>
                                <w:spacing w:before="0" w:after="0" w:line="228" w:lineRule="auto"/>
                                <w:jc w:val="center"/>
                                <w:ind w:firstLine="0"/>
                              </w:pPr>
                              <w:r>
                                <w:rPr>
                                  <w:rFonts w:ascii="Times New Roman" w:hAnsi="Times New Roman" w:cs="Times New Roman"/>
                                  <w:color w:val="000000"/>
                                  <w:sz w:val="18"/>
                                  <w:szCs w:val="18"/>
                                </w:rPr>
                                <w:t xml:space="preserve">farqi</w:t>
                              </w:r>
                            </w:p>
                          </w:txbxContent>
                        </wps:txbx>
                        <wps:bodyPr rot="0" vert="horz" wrap="square" lIns="36000" tIns="18000" rIns="36000" bIns="18000" anchor="ctr" anchorCtr="0">
                          <a:noAutofit/>
                        </wps:bodyPr>
                      </wps:wsp>
                      <wps:wsp>
                        <wps:cNvPr id="46" name="Connector 46"/>
                        <wps:cNvCnPr/>
                        <wps:spPr>
                          <a:xfrm>
                            <a:off x="2939400" y="1854000"/>
                            <a:ext cx="12600" cy="216000"/>
                          </a:xfrm>
                          <a:prstGeom prst="straightConnector1">
                            <a:avLst/>
                          </a:prstGeom>
                          <a:ln w="12700">
                            <a:solidFill>
                              <a:srgbClr val="7F7F7F"/>
                            </a:solidFill>
                            <a:tailEnd type="triangle" w="med" len="med"/>
                          </a:ln>
                        </wps:spPr>
                        <wps:bodyPr/>
                      </wps:wsp>
                      <wps:wsp>
                        <wps:cNvPr id="47" name="Connector 47"/>
                        <wps:cNvCnPr/>
                        <wps:spPr>
                          <a:xfrm>
                            <a:off x="2952000" y="396000"/>
                            <a:ext cx="1164600" cy="216000"/>
                          </a:xfrm>
                          <a:prstGeom prst="straightConnector1">
                            <a:avLst/>
                          </a:prstGeom>
                          <a:ln w="15875">
                            <a:solidFill>
                              <a:srgbClr val="404040"/>
                            </a:solidFill>
                            <a:tailEnd type="triangle" w="med" len="med"/>
                          </a:ln>
                        </wps:spPr>
                        <wps:bodyPr/>
                      </wps:wsp>
                      <wps:wsp>
                        <wps:cNvPr id="48" name="Shape 48"/>
                        <wps:cNvSpPr/>
                        <wps:spPr>
                          <a:xfrm>
                            <a:off x="3567600" y="612000"/>
                            <a:ext cx="1098000" cy="360000"/>
                          </a:xfrm>
                          <a:prstGeom prst="roundRect">
                            <a:avLst>
                              <a:gd name="adj" fmla="val 10000"/>
                            </a:avLst>
                          </a:prstGeom>
                          <a:solidFill>
                            <a:srgbClr val="A5A5A5"/>
                          </a:solidFill>
                          <a:ln w="12700">
                            <a:solidFill>
                              <a:srgbClr val="A5A5A5"/>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Institutsional</w:t>
                              </w:r>
                            </w:p>
                          </w:txbxContent>
                        </wps:txbx>
                        <wps:bodyPr rot="0" vert="horz" wrap="square" lIns="36000" tIns="18000" rIns="36000" bIns="18000" anchor="ctr" anchorCtr="0">
                          <a:noAutofit/>
                        </wps:bodyPr>
                      </wps:wsp>
                      <wps:wsp>
                        <wps:cNvPr id="49" name="Shape 49"/>
                        <wps:cNvSpPr/>
                        <wps:spPr>
                          <a:xfrm>
                            <a:off x="3567600" y="1026000"/>
                            <a:ext cx="1098000" cy="828000"/>
                          </a:xfrm>
                          <a:prstGeom prst="roundRect">
                            <a:avLst>
                              <a:gd name="adj" fmla="val 10000"/>
                            </a:avLst>
                          </a:prstGeom>
                          <a:solidFill>
                            <a:srgbClr val="F2F2F2"/>
                          </a:solidFill>
                          <a:ln w="12700">
                            <a:solidFill>
                              <a:srgbClr val="A5A5A5"/>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davlat ulushi yuqori;</w:t>
                              </w:r>
                            </w:p>
                            <w:p>
                              <w:pPr>
                                <w:spacing w:before="0" w:after="0" w:line="228" w:lineRule="auto"/>
                                <w:jc w:val="center"/>
                                <w:ind w:firstLine="0"/>
                              </w:pPr>
                              <w:r>
                                <w:rPr>
                                  <w:rFonts w:ascii="Times New Roman" w:hAnsi="Times New Roman" w:cs="Times New Roman"/>
                                  <w:color w:val="000000"/>
                                  <w:sz w:val="18"/>
                                  <w:szCs w:val="18"/>
                                </w:rPr>
                                <w:t xml:space="preserve">konsolidatsiyalangan</w:t>
                              </w:r>
                            </w:p>
                            <w:p>
                              <w:pPr>
                                <w:spacing w:before="0" w:after="0" w:line="228" w:lineRule="auto"/>
                                <w:jc w:val="center"/>
                                <w:ind w:firstLine="0"/>
                              </w:pPr>
                              <w:r>
                                <w:rPr>
                                  <w:rFonts w:ascii="Times New Roman" w:hAnsi="Times New Roman" w:cs="Times New Roman"/>
                                  <w:color w:val="000000"/>
                                  <w:sz w:val="18"/>
                                  <w:szCs w:val="18"/>
                                </w:rPr>
                                <w:t xml:space="preserve">nazorat va sanatsiya</w:t>
                              </w:r>
                            </w:p>
                            <w:p>
                              <w:pPr>
                                <w:spacing w:before="0" w:after="0" w:line="228" w:lineRule="auto"/>
                                <w:jc w:val="center"/>
                                <w:ind w:firstLine="0"/>
                              </w:pPr>
                              <w:r>
                                <w:rPr>
                                  <w:rFonts w:ascii="Times New Roman" w:hAnsi="Times New Roman" w:cs="Times New Roman"/>
                                  <w:color w:val="000000"/>
                                  <w:sz w:val="18"/>
                                  <w:szCs w:val="18"/>
                                </w:rPr>
                                <w:t xml:space="preserve">rejimi shakllanmoqda</w:t>
                              </w:r>
                            </w:p>
                          </w:txbxContent>
                        </wps:txbx>
                        <wps:bodyPr rot="0" vert="horz" wrap="square" lIns="36000" tIns="18000" rIns="36000" bIns="18000" anchor="ctr" anchorCtr="0">
                          <a:noAutofit/>
                        </wps:bodyPr>
                      </wps:wsp>
                      <wps:wsp>
                        <wps:cNvPr id="50" name="Connector 50"/>
                        <wps:cNvCnPr/>
                        <wps:spPr>
                          <a:xfrm flipH="1">
                            <a:off x="2952000" y="1854000"/>
                            <a:ext cx="1164600" cy="216000"/>
                          </a:xfrm>
                          <a:prstGeom prst="straightConnector1">
                            <a:avLst/>
                          </a:prstGeom>
                          <a:ln w="12700">
                            <a:solidFill>
                              <a:srgbClr val="7F7F7F"/>
                            </a:solidFill>
                            <a:tailEnd type="triangle" w="med" len="med"/>
                          </a:ln>
                        </wps:spPr>
                        <wps:bodyPr/>
                      </wps:wsp>
                      <wps:wsp>
                        <wps:cNvPr id="51" name="Connector 51"/>
                        <wps:cNvCnPr/>
                        <wps:spPr>
                          <a:xfrm>
                            <a:off x="2952000" y="396000"/>
                            <a:ext cx="2341800" cy="216000"/>
                          </a:xfrm>
                          <a:prstGeom prst="straightConnector1">
                            <a:avLst/>
                          </a:prstGeom>
                          <a:ln w="15875">
                            <a:solidFill>
                              <a:srgbClr val="404040"/>
                            </a:solidFill>
                            <a:tailEnd type="triangle" w="med" len="med"/>
                          </a:ln>
                        </wps:spPr>
                        <wps:bodyPr/>
                      </wps:wsp>
                      <wps:wsp>
                        <wps:cNvPr id="52" name="Shape 52"/>
                        <wps:cNvSpPr/>
                        <wps:spPr>
                          <a:xfrm>
                            <a:off x="4744800" y="612000"/>
                            <a:ext cx="1098000" cy="360000"/>
                          </a:xfrm>
                          <a:prstGeom prst="roundRect">
                            <a:avLst>
                              <a:gd name="adj" fmla="val 10000"/>
                            </a:avLst>
                          </a:prstGeom>
                          <a:solidFill>
                            <a:srgbClr val="FFC000"/>
                          </a:solidFill>
                          <a:ln w="12700">
                            <a:solidFill>
                              <a:srgbClr val="FFC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Baholash vositalari</w:t>
                              </w:r>
                            </w:p>
                          </w:txbxContent>
                        </wps:txbx>
                        <wps:bodyPr rot="0" vert="horz" wrap="square" lIns="36000" tIns="18000" rIns="36000" bIns="18000" anchor="ctr" anchorCtr="0">
                          <a:noAutofit/>
                        </wps:bodyPr>
                      </wps:wsp>
                      <wps:wsp>
                        <wps:cNvPr id="53" name="Shape 53"/>
                        <wps:cNvSpPr/>
                        <wps:spPr>
                          <a:xfrm>
                            <a:off x="4744800" y="1026000"/>
                            <a:ext cx="1098000" cy="828000"/>
                          </a:xfrm>
                          <a:prstGeom prst="roundRect">
                            <a:avLst>
                              <a:gd name="adj" fmla="val 10000"/>
                            </a:avLst>
                          </a:prstGeom>
                          <a:solidFill>
                            <a:srgbClr val="F2F2F2"/>
                          </a:solidFill>
                          <a:ln w="12700">
                            <a:solidFill>
                              <a:srgbClr val="FFC000"/>
                            </a:solidFill>
                          </a:ln>
                        </wps:spPr>
                        <wps:txbx>
                          <w:txbxContent>
                            <w:p>
                              <w:pPr>
                                <w:spacing w:before="0" w:after="0" w:line="228" w:lineRule="auto"/>
                                <w:jc w:val="center"/>
                                <w:ind w:firstLine="0"/>
                              </w:pPr>
                              <w:r>
                                <w:rPr>
                                  <w:rFonts w:ascii="Times New Roman" w:hAnsi="Times New Roman" w:cs="Times New Roman"/>
                                  <w:color w:val="000000"/>
                                  <w:sz w:val="18"/>
                                  <w:szCs w:val="18"/>
                                </w:rPr>
                                <w:t xml:space="preserve">erta ogohlantirish va</w:t>
                              </w:r>
                            </w:p>
                            <w:p>
                              <w:pPr>
                                <w:spacing w:before="0" w:after="0" w:line="228" w:lineRule="auto"/>
                                <w:jc w:val="center"/>
                                <w:ind w:firstLine="0"/>
                              </w:pPr>
                              <w:r>
                                <w:rPr>
                                  <w:rFonts w:ascii="Times New Roman" w:hAnsi="Times New Roman" w:cs="Times New Roman"/>
                                  <w:color w:val="000000"/>
                                  <w:sz w:val="18"/>
                                  <w:szCs w:val="18"/>
                                </w:rPr>
                                <w:t xml:space="preserve">PCA yo‘q; 2-ustun yo‘q;</w:t>
                              </w:r>
                            </w:p>
                            <w:p>
                              <w:pPr>
                                <w:spacing w:before="0" w:after="0" w:line="228" w:lineRule="auto"/>
                                <w:jc w:val="center"/>
                                <w:ind w:firstLine="0"/>
                              </w:pPr>
                              <w:r>
                                <w:rPr>
                                  <w:rFonts w:ascii="Times New Roman" w:hAnsi="Times New Roman" w:cs="Times New Roman"/>
                                  <w:color w:val="000000"/>
                                  <w:sz w:val="18"/>
                                  <w:szCs w:val="18"/>
                                </w:rPr>
                                <w:t xml:space="preserve">reytinglar yopiq; integral</w:t>
                              </w:r>
                            </w:p>
                            <w:p>
                              <w:pPr>
                                <w:spacing w:before="0" w:after="0" w:line="228" w:lineRule="auto"/>
                                <w:jc w:val="center"/>
                                <w:ind w:firstLine="0"/>
                              </w:pPr>
                              <w:r>
                                <w:rPr>
                                  <w:rFonts w:ascii="Times New Roman" w:hAnsi="Times New Roman" w:cs="Times New Roman"/>
                                  <w:color w:val="000000"/>
                                  <w:sz w:val="18"/>
                                  <w:szCs w:val="18"/>
                                </w:rPr>
                                <w:t xml:space="preserve">ko‘rsatkich yo‘q</w:t>
                              </w:r>
                            </w:p>
                          </w:txbxContent>
                        </wps:txbx>
                        <wps:bodyPr rot="0" vert="horz" wrap="square" lIns="36000" tIns="18000" rIns="36000" bIns="18000" anchor="ctr" anchorCtr="0">
                          <a:noAutofit/>
                        </wps:bodyPr>
                      </wps:wsp>
                      <wps:wsp>
                        <wps:cNvPr id="54" name="Connector 54"/>
                        <wps:cNvCnPr/>
                        <wps:spPr>
                          <a:xfrm flipH="1">
                            <a:off x="2952000" y="1854000"/>
                            <a:ext cx="2341800" cy="216000"/>
                          </a:xfrm>
                          <a:prstGeom prst="straightConnector1">
                            <a:avLst/>
                          </a:prstGeom>
                          <a:ln w="12700">
                            <a:solidFill>
                              <a:srgbClr val="7F7F7F"/>
                            </a:solidFill>
                            <a:tailEnd type="triangle" w="med" len="med"/>
                          </a:ln>
                        </wps:spPr>
                        <wps:bodyPr/>
                      </wps:wsp>
                      <wps:wsp>
                        <wps:cNvPr id="55" name="Shape 55"/>
                        <wps:cNvSpPr/>
                        <wps:spPr>
                          <a:xfrm>
                            <a:off x="972000" y="2070000"/>
                            <a:ext cx="3960000" cy="360000"/>
                          </a:xfrm>
                          <a:prstGeom prst="roundRect">
                            <a:avLst>
                              <a:gd name="adj" fmla="val 10000"/>
                            </a:avLst>
                          </a:prstGeom>
                          <a:solidFill>
                            <a:srgbClr val="DEEBF7"/>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000000"/>
                                  <w:sz w:val="22"/>
                                  <w:szCs w:val="22"/>
                                </w:rPr>
                                <w:t xml:space="preserve">Ochiq ma’lumotlarga asoslangan integral baholash va erta ogohlantirish vositasiga ehtiyoj</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2.1.5-rasm. Banklar moliyaviy barqarorligini baholashni xalqaro standartlarga moslashtirish muammolari</w:t>
      </w:r>
      <w:r>
        <w:rPr>
          <w:rStyle w:val="FootnoteReference"/>
        </w:rPr>
        <w:footnoteReference w:id="256"/>
      </w:r>
    </w:p>
    <w:p>
      <w:pPr>
        <w:pStyle w:val="BodyText"/>
        <w:spacing w:line="360" w:lineRule="auto" w:before="0" w:after="0"/>
        <w:ind w:firstLine="709"/>
        <w:jc w:val="both"/>
      </w:pPr>
      <w:r>
        <w:rPr>
          <w:bCs/>
          <w:rFonts w:ascii="Times New Roman" w:hAnsi="Times New Roman" w:cs="Times New Roman" w:eastAsia="Times New Roman"/>
          <w:b/>
          <w:sz w:val="28"/>
        </w:rPr>
        <w:t xml:space="preserve">Birinchi guruh – kapitalni o‘lchash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O‘zbekistonda miqdoriy kapital talablari xalqaro minimumlardan yuqori, ammo kapitalning</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sifati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ularga to‘liq mos emas. Subordinar qarzlarning sezilarli qismi Bazel talab qiladigan yo‘qotishni qoplash xususiyatiga ega emas, risk bo‘yicha tortilgan aktivlarni hisoblashda ham Bazel metodikasidan chetlanishlar bor</w:t>
      </w:r>
      <w:r>
        <w:rPr>
          <w:rStyle w:val="FootnoteReference"/>
        </w:rPr>
        <w:footnoteReference w:id="257"/>
      </w:r>
      <w:r>
        <w:rPr>
          <w:rFonts w:ascii="Times New Roman" w:hAnsi="Times New Roman" w:cs="Times New Roman" w:eastAsia="Times New Roman"/>
          <w:sz w:val="28"/>
        </w:rPr>
        <w:t xml:space="preserve">. Natijada e’lon qilinadigan yuqori kapital monandligi ko‘rsatkichi bankning yo‘qotishlarni qoplash qobiliyatini qisman oshirib ko‘rsatishi mumkin. Bu holat moliyaviy barqarorlikni baholashda kapital ko‘rsatkichini yagona yoki asosiy mezon sifatida qo‘llash xavfli ekanini ko‘rsatadi.</w:t>
      </w:r>
    </w:p>
    <w:p>
      <w:pPr>
        <w:pStyle w:val="BodyText"/>
        <w:spacing w:line="360" w:lineRule="auto" w:before="0" w:after="0"/>
        <w:ind w:firstLine="709"/>
        <w:jc w:val="both"/>
      </w:pPr>
      <w:r>
        <w:rPr>
          <w:bCs/>
          <w:rFonts w:ascii="Times New Roman" w:hAnsi="Times New Roman" w:cs="Times New Roman" w:eastAsia="Times New Roman"/>
          <w:b/>
          <w:sz w:val="28"/>
        </w:rPr>
        <w:t xml:space="preserve">Ikkinchi guruh – aktivlar sifatini baholash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FSAP Markaziy bankka banklarni aktivlar sifati to‘g‘risida aniq hisobot berishga majburlash, aktivlar sifati va zaxiralar to‘g‘risidagi nizomni takomillashtirish va joyida tekshiruvlar hamda aktivlar sifatini ko‘rib chiqish orqali portfellarni tekshirishni tavsiya qilgan; bunda kamsitib ko‘rsatish holatlari ko‘proq uchraydigan imtiyozli va yo‘naltirilgan kreditlarga alohida e’tibor qaratish kerakligi ta’kidlangan</w:t>
      </w:r>
      <w:r>
        <w:rPr>
          <w:rStyle w:val="FootnoteReference"/>
        </w:rPr>
        <w:footnoteReference w:id="258"/>
      </w:r>
      <w:r>
        <w:rPr>
          <w:rFonts w:ascii="Times New Roman" w:hAnsi="Times New Roman" w:cs="Times New Roman" w:eastAsia="Times New Roman"/>
          <w:sz w:val="28"/>
        </w:rPr>
        <w:t xml:space="preserve">. Yo‘l xaritasida bu muammoning aniq sabablari ham ko‘rsatilgan: amaldagi tartibda kredit shartlarining birinchi o‘zgartirilishi (masalan, imtiyozli davrni olti oygacha uzaytirish yoki foiz stavkasini pasaytirish) kreditni qayta tasniflashga olib kelmaydi; muammoli holatdan standart holatga qaytarish uchun aniq «sog‘lomlashish davri» talabi yo‘q; restrukturizatsiya qilingan aktivlar ta’rifi Bazel standartidagi «forborne exposures» ta’rifiga mos emas</w:t>
      </w:r>
      <w:r>
        <w:rPr>
          <w:rStyle w:val="FootnoteReference"/>
        </w:rPr>
        <w:footnoteReference w:id="259"/>
      </w:r>
      <w:r>
        <w:rPr>
          <w:rFonts w:ascii="Times New Roman" w:hAnsi="Times New Roman" w:cs="Times New Roman" w:eastAsia="Times New Roman"/>
          <w:sz w:val="28"/>
        </w:rPr>
        <w:t xml:space="preserve">. Bu kamchiliklar e’lon qilinadigan muammoli kreditlar ulushining haqiqiy riskni to‘liq aks ettirmasligiga olib kelishi mumkin.</w:t>
      </w:r>
    </w:p>
    <w:p>
      <w:pPr>
        <w:pStyle w:val="BodyText"/>
        <w:spacing w:line="360" w:lineRule="auto" w:before="0" w:after="0"/>
        <w:ind w:firstLine="709"/>
        <w:jc w:val="both"/>
      </w:pPr>
      <w:r>
        <w:rPr>
          <w:bCs/>
          <w:rFonts w:ascii="Times New Roman" w:hAnsi="Times New Roman" w:cs="Times New Roman" w:eastAsia="Times New Roman"/>
          <w:b/>
          <w:sz w:val="28"/>
        </w:rPr>
        <w:t xml:space="preserve">Uchinchi guruh – axborot va shaffoflik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Moliyaviy barqarorlikni tashqi tomondan baholash uchun bank ma’lumotlarining ochiqligi va ishonchliligi hal qiluvchi ahamiyatga ega. Hozircha O‘zbekistonda banklar tomonidan moliyaviy va nazorat hisobotlarini oshkor qilish bo‘yicha minimal talablar belgilanmagan, nazorat hisobotlari esa MHXS asosida qayta ko‘rib chiqilishi kerak</w:t>
      </w:r>
      <w:r>
        <w:rPr>
          <w:rStyle w:val="FootnoteReference"/>
        </w:rPr>
        <w:footnoteReference w:id="260"/>
      </w:r>
      <w:r>
        <w:rPr>
          <w:rFonts w:ascii="Times New Roman" w:hAnsi="Times New Roman" w:cs="Times New Roman" w:eastAsia="Times New Roman"/>
          <w:sz w:val="28"/>
        </w:rPr>
        <w:t xml:space="preserve">. Hukumat va Markaziy bank barcha tijorat banklarini MHXS ga to‘liq o‘tkazishni maqsad qilib qo‘ygan</w:t>
      </w:r>
      <w:r>
        <w:rPr>
          <w:rStyle w:val="FootnoteReference"/>
        </w:rPr>
        <w:footnoteReference w:id="261"/>
      </w:r>
      <w:r>
        <w:rPr>
          <w:rFonts w:ascii="Times New Roman" w:hAnsi="Times New Roman" w:cs="Times New Roman" w:eastAsia="Times New Roman"/>
          <w:sz w:val="28"/>
        </w:rPr>
        <w:t xml:space="preserve">. Bu jarayon yakunlanmaguncha milliy hisobot va MHXS bo‘yicha ko‘rsatkichlar farq qilishi davom etadi, bu esa baholash natijalarining taqqoslanuvchanligini pasaytiradi.</w:t>
      </w:r>
    </w:p>
    <w:p>
      <w:pPr>
        <w:pStyle w:val="BodyText"/>
        <w:spacing w:line="360" w:lineRule="auto" w:before="0" w:after="0"/>
        <w:ind w:firstLine="709"/>
        <w:jc w:val="both"/>
      </w:pPr>
      <w:r>
        <w:rPr>
          <w:bCs/>
          <w:rFonts w:ascii="Times New Roman" w:hAnsi="Times New Roman" w:cs="Times New Roman" w:eastAsia="Times New Roman"/>
          <w:b/>
          <w:sz w:val="28"/>
        </w:rPr>
        <w:t xml:space="preserve">To‘rtinchi guruh – institutsional muammolar.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O‘zbekiston bank tizimida davlat ulushi yuqori, bu esa xalqaro standartlarni qo‘llashda o‘ziga xos muammolarni keltirib chiqaradi. Yo‘l xaritasida banklar tomonidan davlat korxonalari bilan bog‘liq risklarni muntazam baholash va stress-test qilish, davlat banklari va davlat korxonalari o‘rtasidagi o‘zaro bog‘liqlikni monitoring qilish hamda davlat banklari tomonidan bu risklar haqidagi axborotni oshkor qilish talablari belgilangan</w:t>
      </w:r>
      <w:r>
        <w:rPr>
          <w:rStyle w:val="FootnoteReference"/>
        </w:rPr>
        <w:footnoteReference w:id="262"/>
      </w:r>
      <w:r>
        <w:rPr>
          <w:rFonts w:ascii="Times New Roman" w:hAnsi="Times New Roman" w:cs="Times New Roman" w:eastAsia="Times New Roman"/>
          <w:sz w:val="28"/>
        </w:rPr>
        <w:t xml:space="preserve">. XVJ ning 2026-yilgi missiyasi davlat tijorat banklariga har qanday kapital yordami ko‘rsatishdan oldin ishonchli restrukturizatsiya rejalari bo‘lishi muhimligini ta’kidlagan va qarz oluvchilarga nisbatan makroprudensial cheklovlardan istisnolarni (hozirda kreditlarning taxminan 15 foizini qamraydi) bosqichma-bosqich bekor qilishni tavsiya etgan</w:t>
      </w:r>
      <w:r>
        <w:rPr>
          <w:rStyle w:val="FootnoteReference"/>
        </w:rPr>
        <w:footnoteReference w:id="263"/>
      </w:r>
      <w:r>
        <w:rPr>
          <w:rFonts w:ascii="Times New Roman" w:hAnsi="Times New Roman" w:cs="Times New Roman" w:eastAsia="Times New Roman"/>
          <w:sz w:val="28"/>
        </w:rPr>
        <w:t xml:space="preserve">. Bundan tashqari, konsolidatsiyalangan nazorat, banklarni sanatsiya qilish rejimi va Moliyaviy barqarorlik kengashi hali shakllanish bosqichida.</w:t>
      </w:r>
    </w:p>
    <w:p>
      <w:pPr>
        <w:pStyle w:val="BodyText"/>
        <w:spacing w:line="360" w:lineRule="auto" w:before="0" w:after="0"/>
        <w:ind w:firstLine="709"/>
        <w:jc w:val="both"/>
      </w:pPr>
      <w:r>
        <w:rPr>
          <w:bCs/>
          <w:rFonts w:ascii="Times New Roman" w:hAnsi="Times New Roman" w:cs="Times New Roman" w:eastAsia="Times New Roman"/>
          <w:b/>
          <w:sz w:val="28"/>
        </w:rPr>
        <w:t xml:space="preserve">Beshinchi guruh – baholash vositalari muammolari.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Bu guruh dissertatsiya mavzusi uchun alohida ahamiyatga ega. Amaldagi tizimda Markaziy bank prudensial normativlar buzilishidan oldin nazorat choralarini ko‘rish imkonini beruvchi erta ogohlantirish tizimi va tezkor tuzatuvchi choralar tizimiga ega emas; ularni joriy etish yo‘l xaritasida alohida vazifa sifatida belgilangan</w:t>
      </w:r>
      <w:r>
        <w:rPr>
          <w:rStyle w:val="FootnoteReference"/>
        </w:rPr>
        <w:footnoteReference w:id="264"/>
      </w:r>
      <w:r>
        <w:rPr>
          <w:rFonts w:ascii="Times New Roman" w:hAnsi="Times New Roman" w:cs="Times New Roman" w:eastAsia="Times New Roman"/>
          <w:sz w:val="28"/>
        </w:rPr>
        <w:t xml:space="preserve">. To‘lov qobiliyati bo‘yicha makro stress-test MHXS 9 asosidagi muammoli kreditlar ma’lumotlari to‘liq shakllangandan keyingina shu ma’lumotlarga tayanadigan bo‘ladi</w:t>
      </w:r>
      <w:r>
        <w:rPr>
          <w:rStyle w:val="FootnoteReference"/>
        </w:rPr>
        <w:footnoteReference w:id="265"/>
      </w:r>
      <w:r>
        <w:rPr>
          <w:rFonts w:ascii="Times New Roman" w:hAnsi="Times New Roman" w:cs="Times New Roman" w:eastAsia="Times New Roman"/>
          <w:sz w:val="28"/>
        </w:rPr>
        <w:t xml:space="preserve">. Risklarga asoslangan nazorat doirasidagi reyting baholari esa yopiq. Natijada bank barqarorligini ochiq ma’lumotlar asosida, yagona integral ko‘rsatkich bilan va bashorat elementi bilan baholaydigan vosita mavjud emas.</w:t>
      </w:r>
    </w:p>
    <w:p>
      <w:pPr>
        <w:pStyle w:val="BodyText"/>
        <w:spacing w:line="360" w:lineRule="auto" w:before="0" w:after="0"/>
        <w:ind w:firstLine="709"/>
        <w:jc w:val="both"/>
      </w:pPr>
      <w:r>
        <w:rPr>
          <w:rFonts w:ascii="Times New Roman" w:hAnsi="Times New Roman" w:cs="Times New Roman" w:eastAsia="Times New Roman"/>
          <w:sz w:val="28"/>
        </w:rPr>
        <w:t xml:space="preserve">Islohotlarning yakunlanish muddatlari 2.1.2-jadvalning oxirgi ustunida keltirilgan. Markaziy bank FSAP natijalari asosida 2025–2028-yillarga mo‘ljallangan «yo‘l xaritasi»ni qabul qilgan bo‘lib, unda kapital va likvidlik talablarini Bazel III ga moslashtirish 2026-yil birinchi choragida, aktivlarni tasniflash va zaxiralarni MHXS 9 ga moslashtirish 2026-yil ikkinchi choragida, erta ogohlantirish va tezkor tuzatuvchi choralar tizimini joriy etish 2027-yil birinchi choragida, tizimli banklarda ICAAP ni majburiy joriy etish esa 2027-yil uchinchi choragida yakunlanishi rejalashtirilgan</w:t>
      </w:r>
      <w:r>
        <w:rPr>
          <w:rStyle w:val="FootnoteReference"/>
        </w:rPr>
        <w:footnoteReference w:id="266"/>
      </w:r>
      <w:r>
        <w:rPr>
          <w:rFonts w:ascii="Times New Roman" w:hAnsi="Times New Roman" w:cs="Times New Roman" w:eastAsia="Times New Roman"/>
          <w:sz w:val="28"/>
        </w:rPr>
        <w:t xml:space="preserve">. Demak, baholash tizimining mazmuniy elementlarini xalqaro standartlarga moslashtirish o‘tish davri kamida 2027–2028-yillargacha davom etadi.</w:t>
      </w:r>
    </w:p>
    <w:bookmarkEnd w:id="8"/>
    <w:bookmarkStart w:id="10" w:name="paragraf-boyicha-xulosa"/>
    <w:p>
      <w:pPr>
        <w:pStyle w:val="Heading3"/>
        <w:keepNext/>
        <w:spacing w:line="360" w:lineRule="auto" w:before="240" w:after="120"/>
        <w:ind w:firstLine="709"/>
        <w:jc w:val="both"/>
      </w:pPr>
      <w:r>
        <w:rPr>
          <w:rFonts w:ascii="Times New Roman" w:hAnsi="Times New Roman" w:cs="Times New Roman" w:eastAsia="Times New Roman"/>
          <w:b/>
          <w:i w:val="0"/>
          <w:sz w:val="28"/>
        </w:rPr>
        <w:t xml:space="preserve">Paragraf bo‘yicha xulosa</w:t>
      </w:r>
    </w:p>
    <w:p>
      <w:pPr>
        <w:numPr>
          <w:ilvl w:val="0"/>
          <w:numId w:val="11"/>
        </w:numPr>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uch darajada – prudensial normativlar, risklarga asoslangan nazorat va makroprudensial monitoring orqali amalga oshiriladi. 2025-yilda yangi kapital nizomi va Bazel III kapital buferlarining joriy etilishi bilan me’yoriy baza sezilarli darajada yangilandi.</w:t>
      </w:r>
    </w:p>
    <w:p>
      <w:pPr>
        <w:numPr>
          <w:ilvl w:val="0"/>
          <w:numId w:val="11"/>
        </w:numPr>
        <w:spacing w:line="360" w:lineRule="auto" w:before="0" w:after="0"/>
        <w:ind w:firstLine="709"/>
        <w:jc w:val="both"/>
      </w:pPr>
      <w:r>
        <w:rPr>
          <w:rFonts w:ascii="Times New Roman" w:hAnsi="Times New Roman" w:cs="Times New Roman" w:eastAsia="Times New Roman"/>
          <w:sz w:val="28"/>
        </w:rPr>
        <w:t xml:space="preserve">Bank tizimining kapital ko‘rsatkichlari regulyativ minimumlardan ancha yuqori, ammo salbiy stress-ssenariy kapitalning katta qismi jiddiy shok sharoitida yo‘qolishi mumkinligini ko‘rsatadi. Demak, bir sanadagi kapital ko‘rsatkichiga tayanuvchi baholash yetarli emas.</w:t>
      </w:r>
    </w:p>
    <w:p>
      <w:pPr>
        <w:numPr>
          <w:ilvl w:val="0"/>
          <w:numId w:val="11"/>
        </w:numPr>
        <w:spacing w:line="360" w:lineRule="auto" w:before="0" w:after="0"/>
        <w:ind w:firstLine="709"/>
        <w:jc w:val="both"/>
      </w:pPr>
      <w:r>
        <w:rPr>
          <w:rFonts w:ascii="Times New Roman" w:hAnsi="Times New Roman" w:cs="Times New Roman" w:eastAsia="Times New Roman"/>
          <w:sz w:val="28"/>
        </w:rPr>
        <w:t xml:space="preserve">Xalqaro standartlarga moslashtirish muammolari besh guruhga bo‘linadi: kapitalni o‘lchash, aktivlar sifatini baholash, axborot va shaffoflik, institutsional va baholash vositalari muammolari. Ularning umumiy mohiyati – miqdoriy talablar bo‘yicha rasmiy muvofiqlikka erishilgan, ammo kapital sifati, aktivlar tasnifi, oshkoralik va erta ogohlantirish kabi mazmuniy elementlar hali shakllanmoqda.</w:t>
      </w:r>
    </w:p>
    <w:p>
      <w:pPr>
        <w:numPr>
          <w:ilvl w:val="0"/>
          <w:numId w:val="11"/>
        </w:numPr>
        <w:spacing w:line="360" w:lineRule="auto" w:before="0" w:after="0"/>
        <w:ind w:firstLine="709"/>
        <w:jc w:val="both"/>
      </w:pPr>
      <w:r>
        <w:rPr>
          <w:rFonts w:ascii="Times New Roman" w:hAnsi="Times New Roman" w:cs="Times New Roman" w:eastAsia="Times New Roman"/>
          <w:sz w:val="28"/>
        </w:rPr>
        <w:t xml:space="preserve">Amaldagi tizimda bank barqarorligini ochiq ma’lumotlar asosida, yagona integral ko‘rsatkich va bashorat elementi bilan baholaydigan vosita yo‘q. Bu muammo dissertatsiyaning III bobida taklif etiladigan integral baholash metodikasi va IV bobidagi erta ogohlantirish tizimini ishlab chiqish zaruratini bevosita asoslaydi. Bunda MHXS ga o‘tish jarayoni davom etayotgani sababli baholash milliy va MHXS hisobotlari bo‘yicha alohida o‘tkazilishi va ularning farqi tahlil qilinishi maqsadga muvofiq.</w:t>
      </w:r>
    </w:p>
    <w:bookmarkEnd w:id="9"/>
    <w:bookmarkEnd w:id="10"/>
    <w:bookmarkStart w:id="11" w:name="X637944ed30af1a5c7e12bfca1a7866b67ed51e5"/>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2.2-§. Oʻzbekiston bank tizimida moliyaviy barqarorlik koʻrsatkichlari dinamikasining xalqaro standartlar mezonlari boʻyicha tahlili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O‘zbekistonda banklar moliyaviy barqarorligini baholash tizimining tuzilishi va uni xalqaro standartlarga moslashtirish muammolari ko‘rib chiqildi. Endi ushbu tizim natijalarini, ya’ni bank tizimi va alohida banklarning moliyaviy barqarorlik ko‘rsatkichlarini 2021–2025-yillar dinamikasida tahlil qilish lozim. Tahlil Xalqaro valyuta jamg‘armasining moliyaviy barqarorlik ko‘rsatkichlari tuzilmasi asosida kapital yetarliligi, aktivlar sifati, daromadlilik va likvidlik yo‘nalishlarida olib borildi</w:t>
      </w:r>
      <w:r>
        <w:rPr>
          <w:rStyle w:val="FootnoteReference"/>
        </w:rPr>
        <w:footnoteReference w:id="267"/>
      </w:r>
      <w:r>
        <w:rPr>
          <w:rFonts w:ascii="Times New Roman" w:hAnsi="Times New Roman" w:cs="Times New Roman" w:eastAsia="Times New Roman"/>
          <w:sz w:val="28"/>
        </w:rPr>
        <w:t xml:space="preserve">, har bir ko‘rsatkich esa milliy talablar bilan bir qatorda Bazel III, XVJ va CAMELS tizimida qo‘llanadigan xalqaro mezonlar bilan solishtirildi.</w:t>
      </w:r>
    </w:p>
    <w:p>
      <w:pPr>
        <w:pStyle w:val="BodyText"/>
        <w:spacing w:line="360" w:lineRule="auto" w:before="0" w:after="0"/>
        <w:ind w:firstLine="709"/>
        <w:jc w:val="both"/>
      </w:pPr>
      <w:r>
        <w:rPr>
          <w:rFonts w:ascii="Times New Roman" w:hAnsi="Times New Roman" w:cs="Times New Roman" w:eastAsia="Times New Roman"/>
          <w:sz w:val="28"/>
        </w:rPr>
        <w:t xml:space="preserve">Tahlil ikki darajada amalga oshirildi. Bank tizimi darajasida Markaziy bankning statistik byulleteni va moliyaviy barqarorlik sharhlari hamda XVJ va Jahon bankining 2024–2025-yillarda o‘tkazilgan moliya sektorini baholash dasturi materiallari asos qilib olindi. Alohida banklar darajasida esa tizimli ahamiyatga ega ikki davlat banki – «O‘zsanoatqurilishbank» ATB va «Mikrokreditbank» ATB ning Markaziy bankka taqdim etilgan prudensial hisobot shakllari tahlil qilindi</w:t>
      </w:r>
      <w:r>
        <w:rPr>
          <w:rStyle w:val="FootnoteReference"/>
        </w:rPr>
        <w:footnoteReference w:id="268"/>
      </w:r>
      <w:r>
        <w:rPr>
          <w:rStyle w:val="FootnoteReference"/>
        </w:rPr>
        <w:footnoteReference w:id="269"/>
      </w:r>
      <w:r>
        <w:rPr>
          <w:rFonts w:ascii="Times New Roman" w:hAnsi="Times New Roman" w:cs="Times New Roman" w:eastAsia="Times New Roman"/>
          <w:sz w:val="28"/>
        </w:rPr>
        <w:t xml:space="preserve">. Bu banklarning tanlanishi tasodifiy emas: birinchisi yirik korporativ va infratuzilma loyihalarini moliyalashtiruvchi universal bank bo‘lsa, ikkinchisi davlat dasturlari doirasida mikrokreditlash va ijtimoiy yo‘naltirilgan kreditlash vazifasini bajaradi. Shu sababli ular davlat banklari faoliyatining ikki xil modelini aks ettiradi.</w:t>
      </w:r>
    </w:p>
    <w:p>
      <w:pPr>
        <w:pStyle w:val="BodyText"/>
        <w:spacing w:line="360" w:lineRule="auto" w:before="0" w:after="0"/>
        <w:ind w:firstLine="709"/>
        <w:jc w:val="both"/>
      </w:pPr>
      <w:r>
        <w:rPr>
          <w:rFonts w:ascii="Times New Roman" w:hAnsi="Times New Roman" w:cs="Times New Roman" w:eastAsia="Times New Roman"/>
          <w:sz w:val="28"/>
        </w:rPr>
        <w:t xml:space="preserve">Tahlilni avvalo bank tizimining umumiy tavsifidan boshlash maqsadga muvofiq. O‘zbekiston bank tizimi so‘nggi yillarda jadal o‘sdi. 2017-yildan keyin kreditlar yiliga 50–60 foiz sur’atda o‘sgan bo‘lsa, 2020-yilda bu sur’at 31 foizgacha, 2021-yilda esa 18 foizgacha sekinlashdi</w:t>
      </w:r>
      <w:r>
        <w:rPr>
          <w:rStyle w:val="FootnoteReference"/>
        </w:rPr>
        <w:footnoteReference w:id="270"/>
      </w:r>
      <w:r>
        <w:rPr>
          <w:rFonts w:ascii="Times New Roman" w:hAnsi="Times New Roman" w:cs="Times New Roman" w:eastAsia="Times New Roman"/>
          <w:sz w:val="28"/>
        </w:rPr>
        <w:t xml:space="preserve">. 2023-yil oxirida bank tizimi aktivlari yalpi ichki mahsulotning 55 foiziga, kreditlar esa 40 foiziga teng bo‘lgan</w:t>
      </w:r>
      <w:r>
        <w:rPr>
          <w:rStyle w:val="FootnoteReference"/>
        </w:rPr>
        <w:footnoteReference w:id="271"/>
      </w:r>
      <w:r>
        <w:rPr>
          <w:rFonts w:ascii="Times New Roman" w:hAnsi="Times New Roman" w:cs="Times New Roman" w:eastAsia="Times New Roman"/>
          <w:sz w:val="28"/>
        </w:rPr>
        <w:t xml:space="preserve">, 2026-yil 1-yanvar holatiga esa tijorat banklari aktivlari 924,8 trln so‘mni, kreditlari 604 trln so‘mni tashkil etgan</w:t>
      </w:r>
      <w:r>
        <w:rPr>
          <w:rStyle w:val="FootnoteReference"/>
        </w:rPr>
        <w:footnoteReference w:id="272"/>
      </w:r>
      <w:r>
        <w:rPr>
          <w:rFonts w:ascii="Times New Roman" w:hAnsi="Times New Roman" w:cs="Times New Roman" w:eastAsia="Times New Roman"/>
          <w:sz w:val="28"/>
        </w:rPr>
        <w:t xml:space="preserve">. Bank tizimining muhim tuzilmaviy xususiyati davlat ulushining yuqoriligidir. Davlat ulushi mavjud banklarning jami aktivlardagi ulushi 2021-yil oxirida 81,5 foizni tashkil etgan bo‘lsa, 2022-yilda 78,2 foizgacha, 2023-yilda esa 67,7 foizgacha keskin pasaygan va 2025-yil oxirida 63,5 foizni tashkil etgan. Shu davrda ularning kreditlardagi ulushi 85,8 foizdan 67,0 foizgacha, depozitlardagi ulushi esa 66,7 foizdan 51,0 foizgacha kamaygan</w:t>
      </w:r>
      <w:r>
        <w:rPr>
          <w:rStyle w:val="FootnoteReference"/>
        </w:rPr>
        <w:footnoteReference w:id="273"/>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(2.2.1-rasm).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5" name="2.2.1-rasm"/>
            <wp:cNvGraphicFramePr/>
            <a:graphic>
              <a:graphicData uri="http://schemas.openxmlformats.org/drawingml/2006/chart">
                <c:chart r:id="rId2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2.2.1-rasm. Davlat ulushi mavjud banklarning bank tizimidagi ulushi, %</w:t>
      </w:r>
      <w:r>
        <w:rPr>
          <w:rStyle w:val="FootnoteReference"/>
        </w:rPr>
        <w:footnoteReference w:id="27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davlat banklari ulushi barcha uch ko‘rsatkich bo‘yicha izchil kamayib bormoqda, eng katta pasayish esa 2023-yilga to‘g‘ri keladi, biroq ular hali ham tizimda ustun mavqega ega. E’tiborli jihati shundaki, davlat banklarining kreditlardagi ulushi depozitlardagi ulushidan har yili 16–21 foiz punkt yuqori bo‘lgan, ya’ni ular kreditlashni mijozlar depozitlaridan ko‘ra ko‘proq qarz mablag‘lari hisobidan amalga oshiradi. Bu holat moliyaviy barqarorlik ko‘rsatkichlarini talqin qilishda albatta hisobga olinishi kerak. XVJ ta’kidlashicha, davlat banklari imtiyozli va yo‘naltirilgan kreditlashda katta rol o‘ynaydi va aynan shu segmentlarda aktivlar sifati to‘g‘risidagi hisobotlarda kamsitib ko‘rsatish holatlari ko‘proq uchraydi</w:t>
      </w:r>
      <w:r>
        <w:rPr>
          <w:rStyle w:val="FootnoteReference"/>
        </w:rPr>
        <w:footnoteReference w:id="275"/>
      </w:r>
      <w:r>
        <w:rPr>
          <w:rFonts w:ascii="Times New Roman" w:hAnsi="Times New Roman" w:cs="Times New Roman" w:eastAsia="Times New Roman"/>
          <w:sz w:val="28"/>
        </w:rPr>
        <w:t xml:space="preserve">. Bank tizimining XVJ tuzilmasi bo‘yicha asosiy ko‘rsatkichlari Markaziy bankning statistik byulleteni ma’lumotlari asosida 2.2.1-jadvalda umumlashtirildi.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O‘zbekiston bank tizimining moliyaviy barqarorlik ko‘rsatkichlari, yil oxiriga, %</w:t>
      </w:r>
      <w:r>
        <w:rPr>
          <w:rStyle w:val="FootnoteReference"/>
        </w:rPr>
        <w:footnoteReference w:id="27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Kapital yetarliligi</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Regulyativ kapital monandligi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 darajali kapital monandligi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 darajali asosiy kapital (CET1) monandligi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 darajali kapitalning jami aktivlarga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Aktivlar sifati</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jami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shundan, davlat ulushi mavjud banklarda</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shundan, boshqa banklarda</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2,6</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va muammoli kreditlar ulushi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Maxsus zaxiralarning muammoli kreditlarga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36,7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52,6</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Zaxiralar chegirilgan muammoli kreditlarning kapitalga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5,7</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Daromadlilik</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Aktivlar rentabelligi (soliq to‘lagunga qadar)</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Kapital rentabelligi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12,4</w:t>
            </w:r>
          </w:p>
        </w:tc>
      </w:tr>
      <w:tr>
        <w:trPr>
          <w:cantSplit/>
        </w:trPr>
        <w:tc>
          <w:tcPr>
            <w:tcW w:type="dxa" w:w="3402"/>
          </w:tcPr>
          <w:p>
            <w:pPr>
              <w:pStyle w:val="Compact"/>
              <w:spacing w:line="240" w:lineRule="auto"/>
              <w:ind w:firstLine="0"/>
              <w:jc w:val="left"/>
            </w:pPr>
            <w:r>
              <w:rPr>
                <w:iCs/>
                <w:rFonts w:ascii="Times New Roman" w:hAnsi="Times New Roman" w:cs="Times New Roman" w:eastAsia="Times New Roman"/>
                <w:i/>
                <w:sz w:val="22"/>
              </w:rPr>
              <w:t xml:space="preserve">Likvidlik va moliyalashtirish tuzilmasi</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Likvidlikni qoplash koeffitsiyenti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189,6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211,6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207,5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barqaror moliyalashtirish me’yori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111,8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119,9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Yuqori likvid aktivlarning jami aktivlarga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Mijozlar depozitlarining jami kreditlarga nisbati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47,8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63,3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Xorijiy valyutadagi kreditlar ulushi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49,2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42,0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38,4</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 – byulletenda ma’lumot berilmagan.</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bank tizimining umumiy holatini ijobiy baholash imkonini beradi: kapital va likvidlik ko‘rsatkichlari regulyativ va xalqaro minimumlardan barqaror yuqori, rasmiy muammoli kreditlar ulushi 2021-yildagi 5,2 foizdan 2025-yilda 3 foizgacha pasaygan, depozitlar bilan moliyalashtirish darajasi oshib, xorijiy valyutadagi kreditlar ulushi esa 49,2 foizdan 38,4 foizgacha kamaygan. Biroq ko‘rsatkichlarni chuqurroq tahlil qilish bu umumiy manzara ortida muhim risklar yashiringanini ko‘rsatadi.</w:t>
      </w:r>
    </w:p>
    <w:p>
      <w:pPr>
        <w:pStyle w:val="BodyText"/>
        <w:spacing w:line="360" w:lineRule="auto" w:before="0" w:after="0"/>
        <w:ind w:firstLine="709"/>
        <w:jc w:val="both"/>
      </w:pPr>
      <w:r>
        <w:rPr>
          <w:rFonts w:ascii="Times New Roman" w:hAnsi="Times New Roman" w:cs="Times New Roman" w:eastAsia="Times New Roman"/>
          <w:sz w:val="28"/>
        </w:rPr>
        <w:t xml:space="preserve">Bu risklarni kapital yetarliligidan boshlab ko‘rib chiqamiz. Bank tizimining regulyativ kapital monandligi 2021–2025-yillarda 17,4–18,3 foiz oralig‘ida bo‘lib, 13 foizlik regulyativ minimumdan barqaror yuqori turdi, I darajali asosiy kapital monandligi esa 14,1–14,7 foizni tashkil etdi</w:t>
      </w:r>
      <w:r>
        <w:rPr>
          <w:rStyle w:val="FootnoteReference"/>
        </w:rPr>
        <w:footnoteReference w:id="27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(2.2.2-rasm).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6" name="2.2.2-rasm"/>
            <wp:cNvGraphicFramePr/>
            <a:graphic>
              <a:graphicData uri="http://schemas.openxmlformats.org/drawingml/2006/chart">
                <c:chart r:id="rId2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2.2.2-rasm. O‘zbekiston bank tizimida kapital yetarliligi ko‘rsatkichlari dinamikasi, %</w:t>
      </w:r>
      <w:r>
        <w:rPr>
          <w:rStyle w:val="FootnoteReference"/>
        </w:rPr>
        <w:footnoteReference w:id="278"/>
      </w:r>
    </w:p>
    <w:p>
      <w:pPr>
        <w:pStyle w:val="BodyText"/>
        <w:spacing w:line="360" w:lineRule="auto" w:before="0" w:after="0"/>
        <w:ind w:firstLine="709"/>
        <w:jc w:val="both"/>
      </w:pPr>
      <w:r>
        <w:rPr>
          <w:rFonts w:ascii="Times New Roman" w:hAnsi="Times New Roman" w:cs="Times New Roman" w:eastAsia="Times New Roman"/>
          <w:sz w:val="28"/>
        </w:rPr>
        <w:t xml:space="preserve">Xalqaro mezonlar nuqtai nazaridan bu ko‘rsatkichlar yuqori: Bazel III da jami kapital uchun 8 foiz, konservatsiya buferi bilan 10,5 foiz, asosiy kapital uchun esa 4,5 foiz minimum belgilangan</w:t>
      </w:r>
      <w:r>
        <w:rPr>
          <w:rStyle w:val="FootnoteReference"/>
        </w:rPr>
        <w:footnoteReference w:id="279"/>
      </w:r>
      <w:r>
        <w:rPr>
          <w:rFonts w:ascii="Times New Roman" w:hAnsi="Times New Roman" w:cs="Times New Roman" w:eastAsia="Times New Roman"/>
          <w:sz w:val="28"/>
        </w:rPr>
        <w:t xml:space="preserve">. CAMELS tizimida eng yuqori, ya’ni 1-reyting kapital koeffitsiyentlari 4 va 8 foizlik chegaralardan ancha yuqori bo‘lganda beriladi</w:t>
      </w:r>
      <w:r>
        <w:rPr>
          <w:rStyle w:val="FootnoteReference"/>
        </w:rPr>
        <w:footnoteReference w:id="280"/>
      </w:r>
      <w:r>
        <w:rPr>
          <w:rFonts w:ascii="Times New Roman" w:hAnsi="Times New Roman" w:cs="Times New Roman" w:eastAsia="Times New Roman"/>
          <w:sz w:val="28"/>
        </w:rPr>
        <w:t xml:space="preserve">. Shu bilan birga, uch jihat bu bahoni ehtiyotkorlik bilan qabul qilishni talab qiladi. Birinchidan, 2.1-paragrafda ko‘rsatilganidek, kapital ta’rifi Bazel III ga to‘liq mos emas: II darajali kapitalning taxminan uchdan bir qismini tashkil etuvchi subordinar qarzlar yo‘qotishni qoplash xususiyatiga ega emas</w:t>
      </w:r>
      <w:r>
        <w:rPr>
          <w:rStyle w:val="FootnoteReference"/>
        </w:rPr>
        <w:footnoteReference w:id="281"/>
      </w:r>
      <w:r>
        <w:rPr>
          <w:rFonts w:ascii="Times New Roman" w:hAnsi="Times New Roman" w:cs="Times New Roman" w:eastAsia="Times New Roman"/>
          <w:sz w:val="28"/>
        </w:rPr>
        <w:t xml:space="preserve">. Ikkinchidan, kapital ko‘rsatkichlari aktivlar sifati to‘g‘ri baholangan taqdirdagina ishonchli bo‘ladi, FSAP esa ko‘plab banklar, ayniqsa, davlat banklari uchun katta qayta kapitallashtirish zarurati paydo bo‘lishi mumkinligini qayd etgan</w:t>
      </w:r>
      <w:r>
        <w:rPr>
          <w:rStyle w:val="FootnoteReference"/>
        </w:rPr>
        <w:footnoteReference w:id="282"/>
      </w:r>
      <w:r>
        <w:rPr>
          <w:rFonts w:ascii="Times New Roman" w:hAnsi="Times New Roman" w:cs="Times New Roman" w:eastAsia="Times New Roman"/>
          <w:sz w:val="28"/>
        </w:rPr>
        <w:t xml:space="preserve">. Uchinchidan, Markaziy bankning stress-testlari salbiy ssenariyda asosiy kapital koeffitsiyenti 2028-yil oxirigacha 5,6 foizgacha, jami kapital monandligi esa 6,8 foizgacha pasayishi mumkinligini ko‘rsatgan</w:t>
      </w:r>
      <w:r>
        <w:rPr>
          <w:rStyle w:val="FootnoteReference"/>
        </w:rPr>
        <w:footnoteReference w:id="283"/>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Aktivlar sifati esa O‘zbekiston bank tizimi moliyaviy barqarorligining eng zaif va eng munozarali bo‘g‘ini hisoblanadi. Rasmiy muammoli kreditlar ulushi 2021-yil oxirida 5,2 foizni tashkil etgan bo‘lsa, 2022–2023-yillarda 3,5–3,6 foizgacha pasaygan, 2024-yilda 4 foizga ko‘tarilib, 2025-yil oxirida 3 foizni tashkil etgan</w:t>
      </w:r>
      <w:r>
        <w:rPr>
          <w:rStyle w:val="FootnoteReference"/>
        </w:rPr>
        <w:footnoteReference w:id="284"/>
      </w:r>
      <w:r>
        <w:rPr>
          <w:rFonts w:ascii="Times New Roman" w:hAnsi="Times New Roman" w:cs="Times New Roman" w:eastAsia="Times New Roman"/>
          <w:sz w:val="28"/>
        </w:rPr>
        <w:t xml:space="preserve">. E’tiborli jihati shundaki, davlat ulushi mavjud banklarda bu ko‘rsatkich 2021–2023-yillarda boshqa banklarga nisbatan 1,3–1,8 foiz punkt yuqori bo‘lgan. Biroq rasmiy ko‘rsatkich kredit riskini to‘liq aks ettirmaydi. Markaziy bank ma’lumotlariga ko‘ra, substandart va muammoli kreditlarning umumiy ulushi 2022-yil oxirida 15,9 foizni</w:t>
      </w:r>
      <w:r>
        <w:rPr>
          <w:rStyle w:val="FootnoteReference"/>
        </w:rPr>
        <w:footnoteReference w:id="285"/>
      </w:r>
      <w:r>
        <w:rPr>
          <w:rFonts w:ascii="Times New Roman" w:hAnsi="Times New Roman" w:cs="Times New Roman" w:eastAsia="Times New Roman"/>
          <w:sz w:val="28"/>
        </w:rPr>
        <w:t xml:space="preserve">, 2023-yil oxirida 19,5 foizni (shundan substandart kreditlar 16 foiz, muammoli kreditlar 3,5 foiz)</w:t>
      </w:r>
      <w:r>
        <w:rPr>
          <w:rStyle w:val="FootnoteReference"/>
        </w:rPr>
        <w:footnoteReference w:id="286"/>
      </w:r>
      <w:r>
        <w:rPr>
          <w:rFonts w:ascii="Times New Roman" w:hAnsi="Times New Roman" w:cs="Times New Roman" w:eastAsia="Times New Roman"/>
          <w:sz w:val="28"/>
        </w:rPr>
        <w:t xml:space="preserve">, 2024-yilda 21 foizni tashkil etgan va faqat 2025-yilda 15 foizgacha kamaygan</w:t>
      </w:r>
      <w:r>
        <w:rPr>
          <w:rStyle w:val="FootnoteReference"/>
        </w:rPr>
        <w:footnoteReference w:id="28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(2.2.3-rasm). Jahon banki ma’lumotlariga ko‘ra, 2023-yil oxirida MHXS 9 bo‘yicha 3-bosqichdagi kreditlar ulushi 7,8 foiz bo‘lib, rasmiy ko‘rsatkichdan qariyb ikki barobar yuqori bo‘lgan</w:t>
      </w:r>
      <w:r>
        <w:rPr>
          <w:rStyle w:val="FootnoteReference"/>
        </w:rPr>
        <w:footnoteReference w:id="288"/>
      </w:r>
      <w:r>
        <w:rPr>
          <w:rFonts w:ascii="Times New Roman" w:hAnsi="Times New Roman" w:cs="Times New Roman" w:eastAsia="Times New Roman"/>
          <w:sz w:val="28"/>
        </w:rPr>
        <w:t xml:space="preserve">.</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7" name="2.2.3-rasm"/>
            <wp:cNvGraphicFramePr/>
            <a:graphic>
              <a:graphicData uri="http://schemas.openxmlformats.org/drawingml/2006/chart">
                <c:chart r:id="rId2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2.2.3-rasm. O‘zbekiston bank tizimida aktivlar sifati ko‘rsatkichlari, %</w:t>
      </w:r>
      <w:r>
        <w:rPr>
          <w:rStyle w:val="FootnoteReference"/>
        </w:rPr>
        <w:footnoteReference w:id="289"/>
      </w:r>
    </w:p>
    <w:p>
      <w:pPr>
        <w:pStyle w:val="BodyText"/>
        <w:spacing w:line="360" w:lineRule="auto" w:before="0" w:after="0"/>
        <w:ind w:firstLine="709"/>
        <w:jc w:val="both"/>
      </w:pPr>
      <w:r>
        <w:rPr>
          <w:rFonts w:ascii="Times New Roman" w:hAnsi="Times New Roman" w:cs="Times New Roman" w:eastAsia="Times New Roman"/>
          <w:sz w:val="28"/>
        </w:rPr>
        <w:t xml:space="preserve">Rasmiy ko‘rsatkich va MHXS 9 bo‘yicha 3-bosqich kreditlari o‘rtasidagi farq muammoli kredit ta’rifining torligi va restrukturizatsiya qilingan kreditlarni qayta tasniflash qoidalarining yumshoqligi bilan izohlanadi. Bundan tashqari, maxsus zaxiralarning muammoli kreditlarga nisbati 2021-yilda 45,9 foizni tashkil etgan</w:t>
      </w:r>
      <w:r>
        <w:rPr>
          <w:rStyle w:val="FootnoteReference"/>
        </w:rPr>
        <w:footnoteReference w:id="290"/>
      </w:r>
      <w:r>
        <w:rPr>
          <w:rFonts w:ascii="Times New Roman" w:hAnsi="Times New Roman" w:cs="Times New Roman" w:eastAsia="Times New Roman"/>
          <w:sz w:val="28"/>
        </w:rPr>
        <w:t xml:space="preserve">, 2022–2025-yillarda esa 36,7–52,6 foiz oralig‘ida bo‘lgan</w:t>
      </w:r>
      <w:r>
        <w:rPr>
          <w:rStyle w:val="FootnoteReference"/>
        </w:rPr>
        <w:footnoteReference w:id="291"/>
      </w:r>
      <w:r>
        <w:rPr>
          <w:rFonts w:ascii="Times New Roman" w:hAnsi="Times New Roman" w:cs="Times New Roman" w:eastAsia="Times New Roman"/>
          <w:sz w:val="28"/>
        </w:rPr>
        <w:t xml:space="preserve">, ya’ni muammoli kreditlarning yarmiga yaqini zaxira bilan qoplanmagan. Shu bilan birga, zaxiralar chegirilgan muammoli kreditlarning kapitalga nisbati 2021-yildagi 13,1 foizdan 2025-yilda 5,7 foizgacha pasaygan, bu esa kredit riskining kapitalga bosimi kamayganini ko‘rsatadi. Xalqaro mezonlar bilan solishtirganda, O.I. Lavrushin va I.D. Mamonova erta ogohlantirish signallari qatorida umidsiz kreditlar ulushining 5 foizdan oshishini keltiradi</w:t>
      </w:r>
      <w:r>
        <w:rPr>
          <w:rStyle w:val="FootnoteReference"/>
        </w:rPr>
        <w:footnoteReference w:id="292"/>
      </w:r>
      <w:r>
        <w:rPr>
          <w:rFonts w:ascii="Times New Roman" w:hAnsi="Times New Roman" w:cs="Times New Roman" w:eastAsia="Times New Roman"/>
          <w:sz w:val="28"/>
        </w:rPr>
        <w:t xml:space="preserve">, O.I. Lavrushin tahriridagi monografiyada esa ishlamaydigan kreditlar ulushining 10 foizgacha oshishi salbiy vaziyat darakchisi sifatida ko‘rsatiladi</w:t>
      </w:r>
      <w:r>
        <w:rPr>
          <w:rStyle w:val="FootnoteReference"/>
        </w:rPr>
        <w:footnoteReference w:id="293"/>
      </w:r>
      <w:r>
        <w:rPr>
          <w:rFonts w:ascii="Times New Roman" w:hAnsi="Times New Roman" w:cs="Times New Roman" w:eastAsia="Times New Roman"/>
          <w:sz w:val="28"/>
        </w:rPr>
        <w:t xml:space="preserve">. Rasmiy ko‘rsatkich birinchi chegaradan pastda bo‘lsa, MHXS 9 bo‘yicha ko‘rsatkich undan yuqori, substandart va muammoli kreditlarning umumiy ulushi esa ikkala chegaradan ham ancha yuqori. Demak, aktivlar sifatini baholash natijasi qaysi ko‘rsatkich va qaysi hisobot standarti olinishiga keskin bog‘liq.</w:t>
      </w:r>
    </w:p>
    <w:p>
      <w:pPr>
        <w:pStyle w:val="BodyText"/>
        <w:spacing w:line="360" w:lineRule="auto" w:before="0" w:after="0"/>
        <w:ind w:firstLine="709"/>
        <w:jc w:val="both"/>
      </w:pPr>
      <w:r>
        <w:rPr>
          <w:rFonts w:ascii="Times New Roman" w:hAnsi="Times New Roman" w:cs="Times New Roman" w:eastAsia="Times New Roman"/>
          <w:sz w:val="28"/>
        </w:rPr>
        <w:t xml:space="preserve">Daromadlilik ko‘rsatkichlari ham bir tekis rivojlanmagan. Soliq to‘lagunga qadar aktivlar rentabelligi 2021-yilda 1,4 foiz, kapital rentabelligi 6,1 foiz bo‘lgan bo‘lsa, 2022–2023-yillarda ular mos ravishda 2,5–2,6 va 13,3–14,2 foizgacha oshgan. 2024-yilda kredit zararlari va nofoiz xarajatlarning o‘sishi natijasida aktivlar rentabelligi yana 1,4 foizgacha, kapital rentabelligi 6,6 foizgacha pasaygan, 2025-yilda esa mos ravishda 2,2 va 12,4 foizgacha tiklangan</w:t>
      </w:r>
      <w:r>
        <w:rPr>
          <w:rStyle w:val="FootnoteReference"/>
        </w:rPr>
        <w:footnoteReference w:id="294"/>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(2.2.4-rasm).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8" name="2.2.4-rasm"/>
            <wp:cNvGraphicFramePr/>
            <a:graphic>
              <a:graphicData uri="http://schemas.openxmlformats.org/drawingml/2006/chart">
                <c:chart r:id="rId2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2.2.4-rasm. O‘zbekiston bank tizimida aktivlar va kapital rentabelligi dinamikasi, %</w:t>
      </w:r>
      <w:r>
        <w:rPr>
          <w:rStyle w:val="FootnoteReference"/>
        </w:rPr>
        <w:footnoteReference w:id="295"/>
      </w:r>
    </w:p>
    <w:p>
      <w:pPr>
        <w:pStyle w:val="BodyText"/>
        <w:spacing w:line="360" w:lineRule="auto" w:before="0" w:after="0"/>
        <w:ind w:firstLine="709"/>
        <w:jc w:val="both"/>
      </w:pPr>
      <w:r>
        <w:rPr>
          <w:rFonts w:ascii="Times New Roman" w:hAnsi="Times New Roman" w:cs="Times New Roman" w:eastAsia="Times New Roman"/>
          <w:sz w:val="28"/>
        </w:rPr>
        <w:t xml:space="preserve">CAMELS tizimida aktivlar rentabelligi 1 foizdan yuqori bo‘lganda daromadlilik eng yuqori reyting bilan baholanadi</w:t>
      </w:r>
      <w:r>
        <w:rPr>
          <w:rStyle w:val="FootnoteReference"/>
        </w:rPr>
        <w:footnoteReference w:id="296"/>
      </w:r>
      <w:r>
        <w:rPr>
          <w:rFonts w:ascii="Times New Roman" w:hAnsi="Times New Roman" w:cs="Times New Roman" w:eastAsia="Times New Roman"/>
          <w:sz w:val="28"/>
        </w:rPr>
        <w:t xml:space="preserve">, demak, tizim darajasidagi ko‘rsatkich bu mezonga mos keladi. Biroq daromadlilikning ikki marta keskin pasayishi bank tizimi daromadlarining kredit riski va xarajatlarga sezgirligidan dalolat beradi: foizsiz xarajatlarning yalpi daromaddagi ulushi 2022-yildagi 46,5 foizdan 2025-yilda 52,3 foizga oshgan</w:t>
      </w:r>
      <w:r>
        <w:rPr>
          <w:rStyle w:val="FootnoteReference"/>
        </w:rPr>
        <w:footnoteReference w:id="297"/>
      </w:r>
      <w:r>
        <w:rPr>
          <w:rFonts w:ascii="Times New Roman" w:hAnsi="Times New Roman" w:cs="Times New Roman" w:eastAsia="Times New Roman"/>
          <w:sz w:val="28"/>
        </w:rPr>
        <w:t xml:space="preserve">. Likvidlik ko‘rsatkichlari bo‘yicha esa bank tizimi xalqaro talablarni katta zaxira bilan bajaradi: likvidlikni qoplash koeffitsiyenti 2021–2025-yillarda 164,8–211,6 foiz, sof barqaror moliyalashtirish me’yori 111,8–119,9 foiz oralig‘ida bo‘lgan. Shu bilan birga, mijozlar depozitlari 2025-yil oxirida kreditlarning atigi 63,3 foizini qoplagan, ya’ni kreditlarning qariyb 37 foizi tashqi qarzlar va davlat resurslari hisobidan moliyalashtirilgan</w:t>
      </w:r>
      <w:r>
        <w:rPr>
          <w:rStyle w:val="FootnoteReference"/>
        </w:rPr>
        <w:footnoteReference w:id="298"/>
      </w:r>
      <w:r>
        <w:rPr>
          <w:rFonts w:ascii="Times New Roman" w:hAnsi="Times New Roman" w:cs="Times New Roman" w:eastAsia="Times New Roman"/>
          <w:sz w:val="28"/>
        </w:rPr>
        <w:t xml:space="preserve">. Bunday tuzilma tashqi moliyalashtirish sharoiti yomonlashganda likvidlik va valyuta riskini oshiradi. Ijobiy tomoni shundaki, depozitlar bilan qoplanish darajasi 2021-yildagi 42,2 foizdan izchil oshib bormoqda, xorijiy valyutadagi kreditlar ulushi esa 38,4 foizgacha kamaygan.</w:t>
      </w:r>
    </w:p>
    <w:p>
      <w:pPr>
        <w:pStyle w:val="BodyText"/>
        <w:spacing w:line="360" w:lineRule="auto" w:before="0" w:after="0"/>
        <w:ind w:firstLine="709"/>
        <w:jc w:val="both"/>
      </w:pPr>
      <w:r>
        <w:rPr>
          <w:rFonts w:ascii="Times New Roman" w:hAnsi="Times New Roman" w:cs="Times New Roman" w:eastAsia="Times New Roman"/>
          <w:sz w:val="28"/>
        </w:rPr>
        <w:t xml:space="preserve">Tizim darajasidagi agregat ko‘rsatkichlar alohida banklar o‘rtasidagi farqlarni yashiradi. Shu sababli tahlilni ikki tizimli davlat banki misolida chuqurlashtirish maqsadga muvofiq. Ularning 2021–2025-yillardagi asosiy ko‘rsatkichlari 2.2.2-jadvalda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va «Mikrokreditbank» ATB ning moliyaviy barqarorlik ko‘rsatkichlari</w:t>
      </w:r>
      <w:r>
        <w:rPr>
          <w:rStyle w:val="FootnoteReference"/>
        </w:rPr>
        <w:footnoteReference w:id="29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iCs/>
                <w:i/>
                <w:bCs/>
                <w:rFonts w:ascii="Times New Roman" w:hAnsi="Times New Roman" w:cs="Times New Roman" w:eastAsia="Times New Roman"/>
                <w:b/>
                <w:sz w:val="22"/>
              </w:rPr>
              <w:t xml:space="preserve">«O‘zsanoatqurilishbank» ATB</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trln so‘m</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56,5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Asosiy kapital (CET1)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LCR,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200,1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177,3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148,4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222,9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NSFR,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115,0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104,2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113,1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122,2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342,2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323,0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315,7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206,5</w:t>
            </w:r>
          </w:p>
        </w:tc>
      </w:tr>
      <w:tr>
        <w:trPr>
          <w:cantSplit/>
        </w:trPr>
        <w:tc>
          <w:tcPr>
            <w:tcW w:type="dxa" w:w="3402"/>
          </w:tcPr>
          <w:p>
            <w:pPr>
              <w:pStyle w:val="Compact"/>
              <w:spacing w:line="240" w:lineRule="auto"/>
              <w:ind w:firstLine="0"/>
              <w:jc w:val="left"/>
            </w:pPr>
            <w:r>
              <w:rPr>
                <w:iCs/>
                <w:i/>
                <w:bCs/>
                <w:rFonts w:ascii="Times New Roman" w:hAnsi="Times New Roman" w:cs="Times New Roman" w:eastAsia="Times New Roman"/>
                <w:b/>
                <w:sz w:val="22"/>
              </w:rPr>
              <w:t xml:space="preserve">«Mikrokreditbank» ATB</w:t>
            </w: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c>
          <w:tcPr>
            <w:tcW w:type="dxa" w:w="1179"/>
          </w:tcPr>
          <w:p>
            <w:pPr>
              <w:pStyle w:val="Compact"/>
              <w:spacing w:line="240" w:lineRule="auto"/>
              <w:ind w:firstLine="0"/>
              <w:jc w:val="left"/>
            </w:pP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trln so‘m</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Asosiy kapital (CET1) monandligi,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kreditlar ulushi,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0,6</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LCR,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165,2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156,4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131,7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169,0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231,9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NSFR,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117,1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114,3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108,3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113,1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113,0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343,0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246,2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227,0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222,4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208,5</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muammoli kreditlar – qoniqarsiz, shubhali va umidsiz deb tasniflangan kreditlar; ROA va ROE sof foydaning aktivlar va kapitalning o‘rtacha yillik qiymatiga nisbati sifatida hisoblandi.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ikki bankning moliyaviy barqarorlik profili tubdan farq qilishini ko‘rsatadi. «O‘zsanoatqurilishbank» ATB da regulyativ kapital monandligi butun davr mobaynida 15,3–17,0 foiz oralig‘ida bo‘lib, 13 foizlik minimumdan atigi 2,3–4 foiz punkt yuqori turgan. Asosiy kapital monandligi esa 2022-yildagi 12,1 foizdan 2025-yilda 10,2 foizgacha izchil pasayib, 8 foizlik minimumga yaqinlashgan. 2025-yilda birinchi darajali kapital monandligining 14 foizgacha oshishi asosan xalqaro bozorda joylashtirilgan qo‘shimcha birinchi darajali kapital obligatsiyalari hisobiga ta’minlangan, sof asosiy kapital esa o‘smagan. «Mikrokreditbank» ATB da esa kapital monandligi yuqoriroq bo‘lsa-da, keskin tebranadi: 2021-yilda 13,8 foiz bilan minimum chegarasida bo‘lgan ko‘rsatkich 2022-yilda 20,7 foizga ko‘tarilgan, 2024-yilda 15,4 foizgacha tushib, 2025-yilda yana 18,5 foizga yetgan (2.2.5-rasm).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29" name="2.2.5-rasm"/>
            <wp:cNvGraphicFramePr/>
            <a:graphic>
              <a:graphicData uri="http://schemas.openxmlformats.org/drawingml/2006/chart">
                <c:chart r:id="rId24"/>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2.2.5-rasm. «O‘zsanoatqurilishbank» ATB va «Mikrokreditbank» ATB da regulyativ kapital monandligi, %</w:t>
      </w:r>
      <w:r>
        <w:rPr>
          <w:rStyle w:val="FootnoteReference"/>
        </w:rPr>
        <w:footnoteReference w:id="300"/>
      </w:r>
    </w:p>
    <w:p>
      <w:pPr>
        <w:pStyle w:val="BodyText"/>
        <w:spacing w:line="360" w:lineRule="auto" w:before="0" w:after="0"/>
        <w:ind w:firstLine="709"/>
        <w:jc w:val="both"/>
      </w:pPr>
      <w:r>
        <w:rPr>
          <w:rFonts w:ascii="Times New Roman" w:hAnsi="Times New Roman" w:cs="Times New Roman" w:eastAsia="Times New Roman"/>
          <w:sz w:val="28"/>
        </w:rPr>
        <w:t xml:space="preserve">Rasmda aks etgan tebranishlarning sababi kapital manbalarini tahlil qilganda ayon bo‘ladi. «Mikrokreditbank» ATB ning xususiy kapitali 2022-yilda 2,3 trln so‘mdan 3,6 trln so‘mga oshgan, holbuki shu yili bank atigi 21,3 mlrd so‘m sof foyda olgan. 2025-yilda ham kapital 3,6 trln so‘mdan 5,7 trln so‘mga ko‘paygan, sof foyda esa 160,8 mlrd so‘mni tashkil etgan. Demak, bankning kapital yetarliligi o‘z foydasi hisobiga emas, balki davlat tomonidan amalga oshirilgan qayta kapitallashtirish hisobiga saqlab turilgan. Bu holat 1.3-paragrafda keltirilgan AQSh tajribasini eslatadi: J.M. Hendrickson ijtimoiy kreditlash majburiyati bank kapitaliga qo‘yiladigan talablarga zid kelishini va bunday kreditlash CAMELS reytingini yomonlashtirishini ko‘rsatgan edi</w:t>
      </w:r>
      <w:r>
        <w:rPr>
          <w:rStyle w:val="FootnoteReference"/>
        </w:rPr>
        <w:footnoteReference w:id="301"/>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Aktivlar sifati bo‘yicha ham ikki bank turlicha manzarani namoyon etadi (2.2.6-rasm).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0" name="2.2.6-rasm"/>
            <wp:cNvGraphicFramePr/>
            <a:graphic>
              <a:graphicData uri="http://schemas.openxmlformats.org/drawingml/2006/chart">
                <c:chart r:id="rId25"/>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2.2.6-rasm. «O‘zsanoatqurilishbank» ATB va «Mikrokreditbank» ATB da muammoli va substandart kreditlar ulushi, %</w:t>
      </w:r>
      <w:r>
        <w:rPr>
          <w:rStyle w:val="FootnoteReference"/>
        </w:rPr>
        <w:footnoteReference w:id="302"/>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«O‘zsanoatqurilishbank» ATB da rasmiy muammoli kreditlar ulushi 2,2–3,8 foiz oralig‘ida past darajada saqlangan, biroq substandart kreditlar ulushi 2021-yildagi 6,2 foizdan 2025-yilda 18,4 foizgacha, ya’ni qariyb uch barobar oshgan. Bu kredit riskining yashirin to‘planishidan dalolat beradi va MHXS hisoboti bilan tasdiqlanadi: 2025-yil yakunida bankning MHXS 9 bo‘yicha 3-bosqich kreditlari ulushi 7,48 foizni, 2-bosqich kreditlari ulushi esa 35,7 foizni tashkil etgan</w:t>
      </w:r>
      <w:r>
        <w:rPr>
          <w:rStyle w:val="FootnoteReference"/>
        </w:rPr>
        <w:footnoteReference w:id="303"/>
      </w:r>
      <w:r>
        <w:rPr>
          <w:rFonts w:ascii="Times New Roman" w:hAnsi="Times New Roman" w:cs="Times New Roman" w:eastAsia="Times New Roman"/>
          <w:sz w:val="28"/>
        </w:rPr>
        <w:t xml:space="preserve">. «Mikrokreditbank» ATB da esa rasmiy muammoli kreditlar ulushining o‘zi 4,4–6,0 foiz bo‘lib, 2021 va 2023-yillarda 5 foizlik erta ogohlantirish chegarasidan oshgan, substandart kreditlar ulushi esa 2023-yilda 24,5 foizga yetgan. Rasmiy ko‘rsatkichlarning bu manzarasini ikkala bankning auditdan o‘tgan MHXS bo‘yicha moliyaviy hisobotlari bilan solishtirish kredit riskining haqiqiy ko‘lamini aniqroq ko‘rsatadi (2.2.7-rasm).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1" name="2.2.7-rasm"/>
            <wp:cNvGraphicFramePr/>
            <a:graphic>
              <a:graphicData uri="http://schemas.openxmlformats.org/drawingml/2006/chart">
                <c:chart r:id="rId26"/>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2.2.7-rasm. «O‘zsanoatqurilishbank» ATB va «Mikrokreditbank» ATB da MHXS 9 bo‘yicha 3-bosqich kreditlari va rasmiy muammoli kreditlar ulushi, %</w:t>
      </w:r>
      <w:r>
        <w:rPr>
          <w:rStyle w:val="FootnoteReference"/>
        </w:rPr>
        <w:footnoteReference w:id="30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ikkala bankda ham MHXS 9 bo‘yicha qadrsizlangan, ya’ni 3-bosqichga tasniflangan kreditlar ulushi tahlil davrining barcha yillarida rasmiy muammoli kreditlar ulushidan yuqori bo‘lgan. «O‘zsanoatqurilishbank» ATB da 3-bosqich kreditlari ulushi 2021–2025-yillarda 4,8–7,5 foiz oralig‘ida bo‘lib, rasmiy ko‘rsatkichdan 1,6–3,0 barobar yuqori bo‘lgan</w:t>
      </w:r>
      <w:r>
        <w:rPr>
          <w:rStyle w:val="FootnoteReference"/>
        </w:rPr>
        <w:footnoteReference w:id="305"/>
      </w:r>
      <w:r>
        <w:rPr>
          <w:rStyle w:val="FootnoteReference"/>
        </w:rPr>
        <w:footnoteReference w:id="306"/>
      </w:r>
      <w:r>
        <w:rPr>
          <w:rFonts w:ascii="Times New Roman" w:hAnsi="Times New Roman" w:cs="Times New Roman" w:eastAsia="Times New Roman"/>
          <w:sz w:val="28"/>
        </w:rPr>
        <w:t xml:space="preserve">. Bundan ham muhimi, bankda 2-bosqich, ya’ni kredit riski sezilarli oshgan kreditlar ulushi 2023-yildagi 15,8 foizdan 2024-yilda 27,1 foizga, 2025-yilda esa 35,7 foizga ko‘tarilgan</w:t>
      </w:r>
      <w:r>
        <w:rPr>
          <w:rStyle w:val="FootnoteReference"/>
        </w:rPr>
        <w:footnoteReference w:id="307"/>
      </w:r>
      <w:r>
        <w:rPr>
          <w:rFonts w:ascii="Times New Roman" w:hAnsi="Times New Roman" w:cs="Times New Roman" w:eastAsia="Times New Roman"/>
          <w:sz w:val="28"/>
        </w:rPr>
        <w:t xml:space="preserve">, bu esa rasmiy hisobotdagi substandart kreditlar ulushining o‘sishi bilan bir yo‘nalishda kechgan. «Mikrokreditbank» ATB da esa 3-bosqich kreditlari ulushi 2021-yilda 17,4 foizni, 2022-yilda 13,5 foizni, 2023-yilda 16,6 foizni, 2024-yilda 15,2 foizni va 2025-yilda 12,3 foizni tashkil etgan, ya’ni rasmiy muammoli kreditlar ulushidan 2,8–3,3 barobar yuqori bo‘lgan, 2-bosqich kreditlari ulushi esa butun davr mobaynida 25–30 foiz atrofida saqlangan</w:t>
      </w:r>
      <w:r>
        <w:rPr>
          <w:rStyle w:val="FootnoteReference"/>
        </w:rPr>
        <w:footnoteReference w:id="308"/>
      </w:r>
      <w:r>
        <w:rPr>
          <w:rFonts w:ascii="Times New Roman" w:hAnsi="Times New Roman" w:cs="Times New Roman" w:eastAsia="Times New Roman"/>
          <w:sz w:val="28"/>
        </w:rPr>
        <w:t xml:space="preserve">. Taqqoslash uchun, 2020-yil oxirida bu bankda 3-bosqich kreditlari ulushi atigi 2,4 foizni, 2-bosqich kreditlari ulushi esa 5,1 foizni tashkil etgan, «O‘zsanoatqurilishbank» ATB da esa mos ravishda 6,6 va 29,3 foiz bo‘lgan</w:t>
      </w:r>
      <w:r>
        <w:rPr>
          <w:rStyle w:val="FootnoteReference"/>
        </w:rPr>
        <w:footnoteReference w:id="309"/>
      </w:r>
      <w:r>
        <w:rPr>
          <w:rFonts w:ascii="Times New Roman" w:hAnsi="Times New Roman" w:cs="Times New Roman" w:eastAsia="Times New Roman"/>
          <w:sz w:val="28"/>
        </w:rPr>
        <w:t xml:space="preserve">. Demak, «Mikrokreditbank» ATB da qadrsizlangan kreditlarning keskin ko‘payishi pandemiya davrida berilgan to‘lov muddatini kechiktirish imtiyozlari tugagan 2021-yilga to‘g‘ri kelgan va keyingi yillarda ham to‘liq bartaraf etilmagan. Demak, milliy hisobot ma’lumotlari asosida hisoblangan muammoli kreditlar ko‘rsatkichi har ikki bankda ham kredit riskini muntazam ravishda kamsitib ko‘rsatadi, bu farq esa davlat ulushi yuqori va imtiyozli kreditlash ko‘p bo‘lgan bankda ayniqsa katta.</w:t>
      </w:r>
    </w:p>
    <w:p>
      <w:pPr>
        <w:pStyle w:val="BodyText"/>
        <w:spacing w:line="360" w:lineRule="auto" w:before="0" w:after="0"/>
        <w:ind w:firstLine="709"/>
        <w:jc w:val="both"/>
      </w:pPr>
      <w:r>
        <w:rPr>
          <w:rFonts w:ascii="Times New Roman" w:hAnsi="Times New Roman" w:cs="Times New Roman" w:eastAsia="Times New Roman"/>
          <w:sz w:val="28"/>
        </w:rPr>
        <w:t xml:space="preserve">Aktivlar sifatidagi bu muammolar «Mikrokreditbank» ATB ning daromadliligiga keskin ta’sir ko‘rsatdi (2.2.8-rasm).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2" name="2.2.8-rasm"/>
            <wp:cNvGraphicFramePr/>
            <a:graphic>
              <a:graphicData uri="http://schemas.openxmlformats.org/drawingml/2006/chart">
                <c:chart r:id="rId27"/>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2.2.8-rasm. «O‘zsanoatqurilishbank» ATB va «Mikrokreditbank» ATB da kapital rentabelligi (ROE), %</w:t>
      </w:r>
      <w:r>
        <w:rPr>
          <w:rStyle w:val="FootnoteReference"/>
        </w:rPr>
        <w:footnoteReference w:id="310"/>
      </w:r>
    </w:p>
    <w:p>
      <w:pPr>
        <w:pStyle w:val="BodyText"/>
        <w:spacing w:line="360" w:lineRule="auto" w:before="0" w:after="0"/>
        <w:ind w:firstLine="709"/>
        <w:jc w:val="both"/>
      </w:pPr>
      <w:r>
        <w:rPr>
          <w:rFonts w:ascii="Times New Roman" w:hAnsi="Times New Roman" w:cs="Times New Roman" w:eastAsia="Times New Roman"/>
          <w:sz w:val="28"/>
        </w:rPr>
        <w:t xml:space="preserve">Rasm ma’lumotlari shuni ko‘rsatadiki, «O‘zsanoatqurilishbank» ATB ning kapital rentabelligi 2022-yildagi pasayishdan keyin tiklanib, 2025-yilda 17,2 foizga yetgan, ya’ni tizim o‘rtacha darajasidan yuqori. «Mikrokreditbank» ATB da esa ROE 2021–2023-yillarda 0,7–1,9 foiz bilan inflyatsiya darajasidan ancha past bo‘lgan, 2024-yilda esa bank 1 703,8 mlrd so‘m zarar ko‘rgan. Bu zarar aktivlar bo‘yicha ehtimoliy yo‘qotishlarga qarshi zaxiralarning keskin oshirilishi natijasida yuzaga kelgan: zaxiralar ajratilgandan keyingi sof foizli daromad 1 167,3 mlrd so‘m zararni tashkil etgan</w:t>
      </w:r>
      <w:r>
        <w:rPr>
          <w:rStyle w:val="FootnoteReference"/>
        </w:rPr>
        <w:footnoteReference w:id="311"/>
      </w:r>
      <w:r>
        <w:rPr>
          <w:rFonts w:ascii="Times New Roman" w:hAnsi="Times New Roman" w:cs="Times New Roman" w:eastAsia="Times New Roman"/>
          <w:sz w:val="28"/>
        </w:rPr>
        <w:t xml:space="preserve">. Boshqacha aytganda, ilgari kamsitib ko‘rsatilgan kredit riski 2024-yilda bir yo‘la tan olingan va kapitalni yemirgan, keyin esa yana davlat kapitali hisobiga to‘ldirilgan.</w:t>
      </w:r>
    </w:p>
    <w:p>
      <w:pPr>
        <w:pStyle w:val="BodyText"/>
        <w:spacing w:line="360" w:lineRule="auto" w:before="0" w:after="0"/>
        <w:ind w:firstLine="709"/>
        <w:jc w:val="both"/>
      </w:pPr>
      <w:r>
        <w:rPr>
          <w:rFonts w:ascii="Times New Roman" w:hAnsi="Times New Roman" w:cs="Times New Roman" w:eastAsia="Times New Roman"/>
          <w:sz w:val="28"/>
        </w:rPr>
        <w:t xml:space="preserve">Likvidlik bo‘yicha esa ikkala bank ham Bazel III talablarini bajargan: likvidlikni qoplash koeffitsiyenti 131,7–231,9 foiz, sof barqaror moliyalashtirish me’yori 104,2–122,2 foiz oralig‘ida bo‘lgan. Ammo 2023-yilda «O‘zsanoatqurilishbank» ATB da sof barqaror moliyalashtirish me’yorining 104,2 foizgacha pasayishi zaxiraning nihoyatda kichik bo‘lishi mumkinligini ko‘rsatdi. Bundan tashqari, ikkala bankda ham kreditlarning depozitlarga nisbati 200 foizdan yuqori: bu banklar kreditlarni asosan xalqaro moliya institutlari, xorijiy banklar va davlat fondlarining resurslari hisobiga moliyalashtiradi. Masalan, 2025-yil yakunida «O‘zsanoatqurilishbank» ATB ning olingan kreditlari 35,5 trln so‘mni tashkil etib, depozitlardan qariyb 1,1 barobar ko‘p bo‘lgan</w:t>
      </w:r>
      <w:r>
        <w:rPr>
          <w:rStyle w:val="FootnoteReference"/>
        </w:rPr>
        <w:footnoteReference w:id="312"/>
      </w:r>
      <w:r>
        <w:rPr>
          <w:rFonts w:ascii="Times New Roman" w:hAnsi="Times New Roman" w:cs="Times New Roman" w:eastAsia="Times New Roman"/>
          <w:sz w:val="28"/>
        </w:rPr>
        <w:t xml:space="preserve">. Bunday tuzilma tashqi moliyalashtirish sharoiti yomonlashganda likvidlik va valyuta riskini oshiradi.</w:t>
      </w:r>
    </w:p>
    <w:p>
      <w:pPr>
        <w:pStyle w:val="BodyText"/>
        <w:spacing w:line="360" w:lineRule="auto" w:before="0" w:after="0"/>
        <w:ind w:firstLine="709"/>
        <w:jc w:val="both"/>
      </w:pPr>
      <w:r>
        <w:rPr>
          <w:rFonts w:ascii="Times New Roman" w:hAnsi="Times New Roman" w:cs="Times New Roman" w:eastAsia="Times New Roman"/>
          <w:sz w:val="28"/>
        </w:rPr>
        <w:t xml:space="preserve">Tahlil natijalarini umumlashtirish uchun bank tizimi va ikki bankning so‘nggi ko‘rsatkichlari xalqaro mezonlar bilan solishtirildi (2.2.3-jadval).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Bank tizimi va tanlangan banklarning moliyaviy barqarorlik ko‘rsatkichlari: xalqaro mezonlar bo‘yicha baho, 2025-yil</w:t>
      </w:r>
      <w:r>
        <w:rPr>
          <w:rStyle w:val="FootnoteReference"/>
        </w:rPr>
        <w:footnoteReference w:id="31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451"/>
        <w:gridCol w:w="1451"/>
        <w:gridCol w:w="1451"/>
        <w:gridCol w:w="1451"/>
        <w:gridCol w:w="1451"/>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 tizimi</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«O‘zsanoatqurilishbank»</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«Mikrokreditbank»</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Xalqaro mezon</w:t>
            </w:r>
          </w:p>
        </w:tc>
        <w:tc>
          <w:tcPr>
            <w:tcW w:type="dxa" w:w="145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Baho</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18,3</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17,0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18,5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10,5 (Bazel III, bufer bilan)</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Yuqori, ammo davlat kapitaliga bog‘liq</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Asosiy kapital monandligi,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14,7</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10,2</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16,4</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7 (Bazel III, bufer bilan)</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Yetarli, SQB da zaxira kichik</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3,0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4,4</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&lt; 5 (erta ogohlantirish)</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Rasmiy jihatdan qoniqarli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MHXS 9 bo‘yicha 3-bosqich,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7,8 (2023)</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7,5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12,3</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&lt; 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Zaif</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Substandart va muammoli kreditlar,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13,4</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&lt; 10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Zaif</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2,2</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0,6</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&gt; 1 (CAMELS 1-reyting)</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Tizim va SQB yuqori, MK past</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LCR,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207,5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222,9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231,9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100 (Bazel III)</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Yuqori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NSFR,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119,9</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122,2</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113,0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100 (Bazel III)</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Yetarli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158</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206,5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208,5</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 100</w:t>
            </w:r>
          </w:p>
        </w:tc>
        <w:tc>
          <w:tcPr>
            <w:tcW w:type="dxa" w:w="1451"/>
          </w:tcPr>
          <w:p>
            <w:pPr>
              <w:pStyle w:val="Compact"/>
              <w:spacing w:line="240" w:lineRule="auto"/>
              <w:ind w:firstLine="0"/>
              <w:jc w:val="left"/>
            </w:pPr>
            <w:r>
              <w:rPr>
                <w:rFonts w:ascii="Times New Roman" w:hAnsi="Times New Roman" w:cs="Times New Roman" w:eastAsia="Times New Roman"/>
                <w:sz w:val="22"/>
              </w:rPr>
              <w:t xml:space="preserve">Yuqori risk</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ko‘rsatkichlar ikki guruhga bo‘linadi. Birinchi guruh – kapital va likvidlik koeffitsiyentlari – rasmiy qiymatlar bo‘yicha xalqaro mezonlardan yuqori. Ikkinchi guruh – kengaytirilgan ta’rifdagi aktivlar sifati, MHXS 9 bo‘yicha qadrsizlangan kreditlar va moliyalashtirish tuzilmasi – xalqaro mezonlarga mos emas. Bank darajasidagi tahlil esa yana bir muhim jihatni ochib berdi: davlat banklarida kapital yetarliligining yuqori ko‘rsatkichlari o‘z daromadi emas, balki davlat tomonidan qayta kapitallashtirish natijasi bo‘lishi mumkin, shu sababli ular bankning mustaqil moliyaviy barqarorligini to‘liq aks ettirmaydi.</w:t>
      </w:r>
    </w:p>
    <w:p>
      <w:pPr>
        <w:pStyle w:val="BodyText"/>
        <w:spacing w:line="360" w:lineRule="auto" w:before="0" w:after="0"/>
        <w:ind w:firstLine="709"/>
        <w:jc w:val="both"/>
      </w:pPr>
      <w:r>
        <w:rPr>
          <w:rFonts w:ascii="Times New Roman" w:hAnsi="Times New Roman" w:cs="Times New Roman" w:eastAsia="Times New Roman"/>
          <w:sz w:val="28"/>
        </w:rPr>
        <w:t xml:space="preserve">O‘zbekiston bank tizimi va alohida banklar moliyaviy barqarorlik ko‘rsatkichlarini tadqiq etgan holda xulosa qilish mumkinki, 2021–2025-yillarda bank tizimi jadal o‘sib, davlat banklarining aktivlardagi ulushi 81,5 foizdan 63,5 foizgacha kamaydi, ammo ular tizimda ustunligicha qolmoqda. Rasmiy ko‘rsatkichlar bo‘yicha kapital va likvidlik Bazel III talablaridan ancha yuqori, biroq aktivlar sifati eng zaif bo‘g‘in bo‘lib qolmoqda: substandart kreditlar ulushi «O‘zsanoatqurilishbank» ATB da uch barobar oshgan, MHXS bo‘yicha qadrsizlangan kreditlar rasmiy ko‘rsatkichdan ikki-uch barobar yuqori. Ijtimoiy yo‘naltirilgan kreditlash bilan shug‘ullanuvchi «Mikrokreditbank» ATB misolida esa past daromadlilik, 2024-yilda yashirin kredit riskining bir yo‘la tan olinishi natijasidagi katta zarar va kapital yetarliligining davlat qayta kapitallashtirishiga bog‘liqligi aniqlandi. Bu o‘z navbatida, ko‘rsatkichlarning turli yo‘nalishdagi signallarini yagona bahoga keltiradigan, aktivlar sifatini MHXS 9 bo‘yicha hisobga oladigan va bankning davlat ko‘magisiz barqarorligini alohida baholaydigan integral metodikani ishlab chiqish zaruriyatini yuzaga keltiradi. Bunday metodika dissertatsiyaning uchinchi bobida taklif etiladi.</w:t>
      </w:r>
    </w:p>
    <w:bookmarkEnd w:id="11"/>
    <w:bookmarkStart w:id="12" w:name="Xbcd6da71180214302fa2c75f57626c82e5c9a7c"/>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2.3-§. Tijorat banklari moliyaviy ko‘rsatkichlarining milliy va MHXS hisobotlari bo‘yicha qiyosiy tahlili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O‘zbekiston bank tizimi va tanlangan banklarning moliyaviy barqarorlik ko‘rsatkichlari asosan Markaziy bankka taqdim etiladigan prudensial hisobot ma’lumotlari bo‘yicha tahlil qilindi va ularning ayrimlari xalqaro moliyaviy hisobot ma’lumotlari bilan solishtirildi. Ushbu solishtirish bir xil bank, bir xil davr uchun ikki xil hisobot ikki xil manzarani ko‘rsatishi mumkinligini aniqlab berdi. Bu holat tasodifiy emas: 2021-yildan boshlab tijorat banklari moliyaviy hisobotni Moliyaviy hisobotning xalqaro standartlari (MHXS) bo‘yicha tuzishga o‘tgan bo‘lsa-da</w:t>
      </w:r>
      <w:r>
        <w:rPr>
          <w:rStyle w:val="FootnoteReference"/>
        </w:rPr>
        <w:footnoteReference w:id="314"/>
      </w:r>
      <w:r>
        <w:rPr>
          <w:rFonts w:ascii="Times New Roman" w:hAnsi="Times New Roman" w:cs="Times New Roman" w:eastAsia="Times New Roman"/>
          <w:sz w:val="28"/>
        </w:rPr>
        <w:t xml:space="preserve">, prudensial nazorat, ya’ni kapital yetarliligi, aktivlar sifati va likvidlik me’yorlariga rioya etilishi hamon milliy buxgalteriya hisobi va Markaziy bankning aktivlarni tasniflash qoidalari asosida tuzilgan hisobotlar bo‘yicha amalga oshiriladi</w:t>
      </w:r>
      <w:r>
        <w:rPr>
          <w:rStyle w:val="FootnoteReference"/>
        </w:rPr>
        <w:footnoteReference w:id="315"/>
      </w:r>
      <w:r>
        <w:rPr>
          <w:rFonts w:ascii="Times New Roman" w:hAnsi="Times New Roman" w:cs="Times New Roman" w:eastAsia="Times New Roman"/>
          <w:sz w:val="28"/>
        </w:rPr>
        <w:t xml:space="preserve">. Natijada O‘zbekistonda har bir bank ikki parallel hisobot tizimiga ega bo‘lib, ulardan biri nazorat organi uchun, ikkinchisi esa investorlar, xalqaro moliya institutlari va reyting agentliklari uchun mo‘ljallangan. Shu sababli moliyaviy barqarorlikni xalqaro standartlar asosida baholash metodologiyasini takomillashtirish uchun ikki hisobot o‘rtasidagi farqlarning manbalari, ko‘lami va qaysi ko‘rsatkichlarga ko‘proq ta’sir qilishini aniqlash zarur.</w:t>
      </w:r>
    </w:p>
    <w:p>
      <w:pPr>
        <w:pStyle w:val="BodyText"/>
        <w:spacing w:line="360" w:lineRule="auto" w:before="0" w:after="0"/>
        <w:ind w:firstLine="709"/>
        <w:jc w:val="both"/>
      </w:pPr>
      <w:r>
        <w:rPr>
          <w:rFonts w:ascii="Times New Roman" w:hAnsi="Times New Roman" w:cs="Times New Roman" w:eastAsia="Times New Roman"/>
          <w:sz w:val="28"/>
        </w:rPr>
        <w:t xml:space="preserve">Masalaning nazariy jihati shundaki, Bazel qo‘mitasi o‘z standartlarini buxgalteriya hisobiga nisbatan neytral deb hisoblaydi va ma’lumotlar qaysi buxgalteriya standarti asosida tuzilishini belgilamaydi, biroq kutilgan kredit zararlari modeliga o‘tish regulyativ kapitalga sezilarli ta’sir ko‘rsatishini tan olib, bu ta’sirni bosqichma-bosqich hisobga olish uchun maxsus o‘tish qoidalarini qabul qilgan</w:t>
      </w:r>
      <w:r>
        <w:rPr>
          <w:rStyle w:val="FootnoteReference"/>
        </w:rPr>
        <w:footnoteReference w:id="316"/>
      </w:r>
      <w:r>
        <w:rPr>
          <w:rFonts w:ascii="Times New Roman" w:hAnsi="Times New Roman" w:cs="Times New Roman" w:eastAsia="Times New Roman"/>
          <w:sz w:val="28"/>
        </w:rPr>
        <w:t xml:space="preserve">. Bundan oldin qo‘mita banklarga kutilgan kredit zararlarini baholashda buxgalteriya talablari va kredit riskini boshqarish amaliyotini o‘zaro uyg‘unlashtirish bo‘yicha alohida yo‘riqnoma bergan edi</w:t>
      </w:r>
      <w:r>
        <w:rPr>
          <w:rStyle w:val="FootnoteReference"/>
        </w:rPr>
        <w:footnoteReference w:id="317"/>
      </w:r>
      <w:r>
        <w:rPr>
          <w:rFonts w:ascii="Times New Roman" w:hAnsi="Times New Roman" w:cs="Times New Roman" w:eastAsia="Times New Roman"/>
          <w:sz w:val="28"/>
        </w:rPr>
        <w:t xml:space="preserve">. Xalqaro adabiyotda ham hisobot standarti bank ko‘rsatkichlariga sezilarli ta’sir qilishi qayd etilgan. Jumladan, H. Huizinga va L. Laeven 2007–2009-yillardagi inqiroz davrida AQSh banklari muammoli aktivlarni balansda bozor bahosidan yuqori qiymatda aks ettirib, buxgalteriya hisobidagi erkinlikdan kapital ko‘rsatkichlarini yaxshiroq ko‘rsatish uchun foydalanganini aniqlagan</w:t>
      </w:r>
      <w:r>
        <w:rPr>
          <w:rStyle w:val="FootnoteReference"/>
        </w:rPr>
        <w:footnoteReference w:id="318"/>
      </w:r>
      <w:r>
        <w:rPr>
          <w:rFonts w:ascii="Times New Roman" w:hAnsi="Times New Roman" w:cs="Times New Roman" w:eastAsia="Times New Roman"/>
          <w:sz w:val="28"/>
        </w:rPr>
        <w:t xml:space="preserve">. D. Bholat va hammualliflar esa muammoli kreditlarning buxgalteriya va nazorat ta’riflari mamlakatlar va standartlar bo‘yicha turlicha bo‘lgani sababli bu ko‘rsatkich bo‘yicha banklarni solishtirish qiyinligini, MHXS 9 ning joriy etilishi esa bu ta’riflarni yaqinlashtirish imkonini berishini ko‘rsatgan</w:t>
      </w:r>
      <w:r>
        <w:rPr>
          <w:rStyle w:val="FootnoteReference"/>
        </w:rPr>
        <w:footnoteReference w:id="319"/>
      </w:r>
      <w:r>
        <w:rPr>
          <w:rFonts w:ascii="Times New Roman" w:hAnsi="Times New Roman" w:cs="Times New Roman" w:eastAsia="Times New Roman"/>
          <w:sz w:val="28"/>
        </w:rPr>
        <w:t xml:space="preserve">. J. Abad va J. Suarez kutilgan kredit zararlari modeli zaxiralarni iqtisodiy pasayish boshlanishida keskin oshirib, kapitalga bosimni avvalgi modelga nisbatan ertaroq yuzaga keltirishini isbotlagan</w:t>
      </w:r>
      <w:r>
        <w:rPr>
          <w:rStyle w:val="FootnoteReference"/>
        </w:rPr>
        <w:footnoteReference w:id="320"/>
      </w:r>
      <w:r>
        <w:rPr>
          <w:rFonts w:ascii="Times New Roman" w:hAnsi="Times New Roman" w:cs="Times New Roman" w:eastAsia="Times New Roman"/>
          <w:sz w:val="28"/>
        </w:rPr>
        <w:t xml:space="preserve">. Rossiya iqtisodchisi N.E. Sokolinskaya bank moliyaviy holatini MHXS asosida tahlil qilish milliy hisobotga nisbatan aktivlar sifati va kapitalning haqiqiy darajasini aniqroq ko‘rsatishini ta’kidlagan</w:t>
      </w:r>
      <w:r>
        <w:rPr>
          <w:rStyle w:val="FootnoteReference"/>
        </w:rPr>
        <w:footnoteReference w:id="321"/>
      </w:r>
      <w:r>
        <w:rPr>
          <w:rFonts w:ascii="Times New Roman" w:hAnsi="Times New Roman" w:cs="Times New Roman" w:eastAsia="Times New Roman"/>
          <w:sz w:val="28"/>
        </w:rPr>
        <w:t xml:space="preserve">. Bu tadqiqotlar bitta umumiy xulosaga olib keladi: hisobot standarti moliyaviy barqarorlik ko‘rsatkichlarining shunchaki texnik sharti emas, balki baholash natijasini o‘zgartira oladigan mustaqil omildir.</w:t>
      </w:r>
    </w:p>
    <w:p>
      <w:pPr>
        <w:pStyle w:val="BodyText"/>
        <w:spacing w:line="360" w:lineRule="auto" w:before="0" w:after="0"/>
        <w:ind w:firstLine="709"/>
        <w:jc w:val="both"/>
      </w:pPr>
      <w:r>
        <w:rPr>
          <w:rFonts w:ascii="Times New Roman" w:hAnsi="Times New Roman" w:cs="Times New Roman" w:eastAsia="Times New Roman"/>
          <w:sz w:val="28"/>
        </w:rPr>
        <w:t xml:space="preserve">O‘zbekiston amaliyotida ikki hisobot o‘rtasidagi farqlar bir nechta manbadan kelib chiqadi. Ularni tadqiq etilgan banklarning auditdan o‘tgan hisobotlari va Markaziy bankning me’yoriy hujjatlarini solishtirish asosida tizimlashtirish mumkin (2.3.1-jadval).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Milliy prudensial hisobot va MHXS bo‘yicha hisobot o‘rtasidagi asosiy farqlar</w:t>
      </w:r>
      <w:r>
        <w:rPr>
          <w:rStyle w:val="FootnoteReference"/>
        </w:rPr>
        <w:footnoteReference w:id="322"/>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2494"/>
        <w:gridCol w:w="2608"/>
        <w:gridCol w:w="2494"/>
      </w:tblGrid>
      <w:tr>
        <w:trPr>
          <w:tblHeader w:val="true"/>
          <w:cantSplit/>
          <w:tblHeader/>
        </w:trPr>
        <w:tc>
          <w:tcPr>
            <w:tcW w:type="dxa" w:w="170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Belgi</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Milliy prudensial hisobot</w:t>
            </w:r>
          </w:p>
        </w:tc>
        <w:tc>
          <w:tcPr>
            <w:tcW w:type="dxa" w:w="260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bo‘yicha hisobot</w:t>
            </w:r>
          </w:p>
        </w:tc>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Ko‘rsatkichlarga ta’siri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Hisobot doirasi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Alohida bank</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Bank guruhi (sho‘ba korxonalar bilan birga)</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Aktivlar, kapital va foyda tarkibi o‘zgaradi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Kreditlarni tasniflash asosi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Besh toifa: standart, substandart, qoniqarsiz, shubhali, umidsiz; asosiy mezon – muddati o‘tgan kunlar</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Uch bosqich: 1-bosqich, kredit riski sezilarli oshgan 2-bosqich, kredit qadrsizlangan 3-bosqich; restrukturizatsiya, defolt tarixi va kelajakka yo‘naltirilgan ma’lumotlar ham hisobga olinadi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Muammoli kreditlar ulushi MHXS bo‘yicha yuqori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Zaxira shakllantirish</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Toifa bo‘yicha qat’iy stavkalar: 1, 10, 25, 50 va 100 foiz</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Kutilgan kredit zararlari: defolt ehtimoli, defolt holatidagi yo‘qotish va riskdagi summa asosida</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Zaxiralar va zararlar MHXS bo‘yicha ko‘proq va ertaroq tan olinadi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Bozor stavkasidan past stavkadagi kreditlar va resurslar</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Nominal qiymatda aks ettiriladi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Haqqoniy qiymatda tan olinadi, farq dastlabki tan olishdagi foyda yoki zarar sifatida ko‘rsatiladi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Davlat dasturlari bo‘yicha imtiyozli operatsiyalar foydaga ta’sir qiladi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Regulyativ kapital</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Milliy buxgalteriya hisobi asosida hisoblanadi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Hisoblanmaydi, faqat oshkor qilinadi</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MHXS bo‘yicha kapital farqi kapital monandligida aks etmaydi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Hisobot muddati va oshkoralik</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Har oylik, choraklik; asosiy shakllar e’lon qilinadi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Yillik, auditorlik xulosasi bilan; bosqichlar, garov va risklar bo‘yicha batafsil izohlar</w:t>
            </w:r>
          </w:p>
        </w:tc>
        <w:tc>
          <w:tcPr>
            <w:tcW w:type="dxa" w:w="2494"/>
          </w:tcPr>
          <w:p>
            <w:pPr>
              <w:pStyle w:val="Compact"/>
              <w:spacing w:line="240" w:lineRule="auto"/>
              <w:ind w:firstLine="0"/>
              <w:jc w:val="left"/>
            </w:pPr>
            <w:r>
              <w:rPr>
                <w:rFonts w:ascii="Times New Roman" w:hAnsi="Times New Roman" w:cs="Times New Roman" w:eastAsia="Times New Roman"/>
                <w:sz w:val="22"/>
              </w:rPr>
              <w:t xml:space="preserve">MHXS chuqurroq, ammo kechroq ma’lumot beradi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ikki hisobot o‘rtasidagi farqlarning eng muhimlari kreditlarni tasniflash va zaxira shakllantirish qoidalari bilan bog‘liq. Milliy tizimda zaxira miqdori kreditning toifasiga qarab qat’iy stavkalarda belgilanadi</w:t>
      </w:r>
      <w:r>
        <w:rPr>
          <w:rStyle w:val="FootnoteReference"/>
        </w:rPr>
        <w:footnoteReference w:id="323"/>
      </w:r>
      <w:r>
        <w:rPr>
          <w:rFonts w:ascii="Times New Roman" w:hAnsi="Times New Roman" w:cs="Times New Roman" w:eastAsia="Times New Roman"/>
          <w:sz w:val="28"/>
        </w:rPr>
        <w:t xml:space="preserve">. Ushbu stavkalar haqiqatda qo‘llanayotganini «O‘zsanoatqurilishbank» ATB ning 2025-yil yakunidagi hisoboti tasdiqlaydi: standart kreditlar bo‘yicha zaxira 511,9 mlrd so‘mni, ya’ni ushbu kreditlarning 1,0 foizini tashkil etgan, boshqa toifalar bo‘yicha zaxiralar yig‘indisi esa 10, 25, 50 va 100 foizlik stavkalar bo‘yicha hisoblangan qiymatga to‘liq mos keladi</w:t>
      </w:r>
      <w:r>
        <w:rPr>
          <w:rStyle w:val="FootnoteReference"/>
        </w:rPr>
        <w:footnoteReference w:id="324"/>
      </w:r>
      <w:r>
        <w:rPr>
          <w:rFonts w:ascii="Times New Roman" w:hAnsi="Times New Roman" w:cs="Times New Roman" w:eastAsia="Times New Roman"/>
          <w:sz w:val="28"/>
        </w:rPr>
        <w:t xml:space="preserve">. MHXS 9 da esa zaxira har bir kredit yoki kreditlar guruhi bo‘yicha defolt ehtimoli, garov qiymati va kutilayotgan undirish summasini hisobga olgan holda aniqlanadi</w:t>
      </w:r>
      <w:r>
        <w:rPr>
          <w:rStyle w:val="FootnoteReference"/>
        </w:rPr>
        <w:footnoteReference w:id="325"/>
      </w:r>
      <w:r>
        <w:rPr>
          <w:rFonts w:ascii="Times New Roman" w:hAnsi="Times New Roman" w:cs="Times New Roman" w:eastAsia="Times New Roman"/>
          <w:sz w:val="28"/>
        </w:rPr>
        <w:t xml:space="preserve">. Shu bilan birga, ikki tizimdagi farq zaxiradan boshlanib, ketma-ket bir necha ko‘rsatkichga o‘tadi: tasniflash farqi zaxiraga, zaxira foydaga, foyda kapitalga, kapital esa kapital monandligi va sof barqaror moliyalashtirish me’yoriga ta’sir qiladi (2.3.1-rasm).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6012000" cy="2160000"/>
                <wp:effectExtent l="0" t="0" r="0" b="0"/>
                <wp:docPr id="33" name="2.3.1-rasm"/>
                <wp:cNvGraphicFramePr/>
                <a:graphic>
                  <a:graphicData uri="http://schemas.microsoft.com/office/word/2010/wordprocessingGroup">
                    <wpg:wgp>
                      <wpg:cNvGrpSpPr/>
                      <wpg:grpSpPr>
                        <a:xfrm>
                          <a:off x="0" y="0"/>
                          <a:ext cx="6012000" cy="2160000"/>
                          <a:chOff x="0" y="0"/>
                          <a:chExt cx="6012000" cy="2160000"/>
                        </a:xfrm>
                      </wpg:grpSpPr>
                      <wps:wsp>
                        <wps:cNvPr id="2" name="Shape 2"/>
                        <wps:cNvSpPr/>
                        <wps:spPr>
                          <a:xfrm>
                            <a:off x="36000" y="108000"/>
                            <a:ext cx="1008000" cy="54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Kreditlarni</w:t>
                              </w:r>
                            </w:p>
                            <w:p>
                              <w:pPr>
                                <w:spacing w:before="0" w:after="0" w:line="228" w:lineRule="auto"/>
                                <w:jc w:val="center"/>
                                <w:ind w:firstLine="0"/>
                              </w:pPr>
                              <w:r>
                                <w:rPr>
                                  <w:rFonts w:ascii="Times New Roman" w:hAnsi="Times New Roman" w:cs="Times New Roman"/>
                                  <w:b/>
                                  <w:color w:val="FFFFFF"/>
                                  <w:sz w:val="22"/>
                                  <w:szCs w:val="22"/>
                                </w:rPr>
                                <w:t xml:space="preserve">tasniflash</w:t>
                              </w:r>
                            </w:p>
                          </w:txbxContent>
                        </wps:txbx>
                        <wps:bodyPr rot="0" vert="horz" wrap="square" lIns="36000" tIns="18000" rIns="36000" bIns="18000" anchor="ctr" anchorCtr="0">
                          <a:noAutofit/>
                        </wps:bodyPr>
                      </wps:wsp>
                      <wps:wsp>
                        <wps:cNvPr id="3" name="Shape 3"/>
                        <wps:cNvSpPr/>
                        <wps:spPr>
                          <a:xfrm>
                            <a:off x="36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Toifa (milliy) /</w:t>
                              </w:r>
                            </w:p>
                            <w:p>
                              <w:pPr>
                                <w:spacing w:before="0" w:after="0" w:line="228" w:lineRule="auto"/>
                                <w:jc w:val="center"/>
                                <w:ind w:firstLine="0"/>
                              </w:pPr>
                              <w:r>
                                <w:rPr>
                                  <w:rFonts w:ascii="Times New Roman" w:hAnsi="Times New Roman" w:cs="Times New Roman"/>
                                  <w:color w:val="000000"/>
                                  <w:sz w:val="20"/>
                                  <w:szCs w:val="20"/>
                                </w:rPr>
                                <w:t xml:space="preserve">bosqich (MHXS 9)</w:t>
                              </w:r>
                            </w:p>
                          </w:txbxContent>
                        </wps:txbx>
                        <wps:bodyPr rot="0" vert="horz" wrap="square" lIns="36000" tIns="18000" rIns="36000" bIns="18000" anchor="ctr" anchorCtr="0">
                          <a:noAutofit/>
                        </wps:bodyPr>
                      </wps:wsp>
                      <wps:wsp>
                        <wps:cNvPr id="4" name="Connector 4"/>
                        <wps:cNvCnPr/>
                        <wps:spPr>
                          <a:xfrm>
                            <a:off x="1051200" y="378000"/>
                            <a:ext cx="201600" cy="0"/>
                          </a:xfrm>
                          <a:prstGeom prst="straightConnector1">
                            <a:avLst/>
                          </a:prstGeom>
                          <a:ln w="19050">
                            <a:solidFill>
                              <a:srgbClr val="404040"/>
                            </a:solidFill>
                            <a:tailEnd type="triangle" w="med" len="med"/>
                          </a:ln>
                        </wps:spPr>
                        <wps:bodyPr/>
                      </wps:wsp>
                      <wps:wsp>
                        <wps:cNvPr id="5" name="Shape 5"/>
                        <wps:cNvSpPr/>
                        <wps:spPr>
                          <a:xfrm>
                            <a:off x="1260000" y="108000"/>
                            <a:ext cx="1008000" cy="54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Zaxiralar</w:t>
                              </w:r>
                            </w:p>
                          </w:txbxContent>
                        </wps:txbx>
                        <wps:bodyPr rot="0" vert="horz" wrap="square" lIns="36000" tIns="18000" rIns="36000" bIns="18000" anchor="ctr" anchorCtr="0">
                          <a:noAutofit/>
                        </wps:bodyPr>
                      </wps:wsp>
                      <wps:wsp>
                        <wps:cNvPr id="6" name="Shape 6"/>
                        <wps:cNvSpPr/>
                        <wps:spPr>
                          <a:xfrm>
                            <a:off x="1260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Qat’iy stavkalar /</w:t>
                              </w:r>
                            </w:p>
                            <w:p>
                              <w:pPr>
                                <w:spacing w:before="0" w:after="0" w:line="228" w:lineRule="auto"/>
                                <w:jc w:val="center"/>
                                <w:ind w:firstLine="0"/>
                              </w:pPr>
                              <w:r>
                                <w:rPr>
                                  <w:rFonts w:ascii="Times New Roman" w:hAnsi="Times New Roman" w:cs="Times New Roman"/>
                                  <w:color w:val="000000"/>
                                  <w:sz w:val="20"/>
                                  <w:szCs w:val="20"/>
                                </w:rPr>
                                <w:t xml:space="preserve">kutilgan zararlar</w:t>
                              </w:r>
                            </w:p>
                          </w:txbxContent>
                        </wps:txbx>
                        <wps:bodyPr rot="0" vert="horz" wrap="square" lIns="36000" tIns="18000" rIns="36000" bIns="18000" anchor="ctr" anchorCtr="0">
                          <a:noAutofit/>
                        </wps:bodyPr>
                      </wps:wsp>
                      <wps:wsp>
                        <wps:cNvPr id="7" name="Connector 7"/>
                        <wps:cNvCnPr/>
                        <wps:spPr>
                          <a:xfrm>
                            <a:off x="2275200" y="378000"/>
                            <a:ext cx="201600" cy="0"/>
                          </a:xfrm>
                          <a:prstGeom prst="straightConnector1">
                            <a:avLst/>
                          </a:prstGeom>
                          <a:ln w="19050">
                            <a:solidFill>
                              <a:srgbClr val="404040"/>
                            </a:solidFill>
                            <a:tailEnd type="triangle" w="med" len="med"/>
                          </a:ln>
                        </wps:spPr>
                        <wps:bodyPr/>
                      </wps:wsp>
                      <wps:wsp>
                        <wps:cNvPr id="8" name="Shape 8"/>
                        <wps:cNvSpPr/>
                        <wps:spPr>
                          <a:xfrm>
                            <a:off x="2484000" y="108000"/>
                            <a:ext cx="1008000" cy="54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Sof foyda</w:t>
                              </w:r>
                            </w:p>
                          </w:txbxContent>
                        </wps:txbx>
                        <wps:bodyPr rot="0" vert="horz" wrap="square" lIns="36000" tIns="18000" rIns="36000" bIns="18000" anchor="ctr" anchorCtr="0">
                          <a:noAutofit/>
                        </wps:bodyPr>
                      </wps:wsp>
                      <wps:wsp>
                        <wps:cNvPr id="9" name="Shape 9"/>
                        <wps:cNvSpPr/>
                        <wps:spPr>
                          <a:xfrm>
                            <a:off x="2484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Zaxira xarajati,</w:t>
                              </w:r>
                            </w:p>
                            <w:p>
                              <w:pPr>
                                <w:spacing w:before="0" w:after="0" w:line="228" w:lineRule="auto"/>
                                <w:jc w:val="center"/>
                                <w:ind w:firstLine="0"/>
                              </w:pPr>
                              <w:r>
                                <w:rPr>
                                  <w:rFonts w:ascii="Times New Roman" w:hAnsi="Times New Roman" w:cs="Times New Roman"/>
                                  <w:color w:val="000000"/>
                                  <w:sz w:val="20"/>
                                  <w:szCs w:val="20"/>
                                </w:rPr>
                                <w:t xml:space="preserve">dastlabki tan olish</w:t>
                              </w:r>
                            </w:p>
                          </w:txbxContent>
                        </wps:txbx>
                        <wps:bodyPr rot="0" vert="horz" wrap="square" lIns="36000" tIns="18000" rIns="36000" bIns="18000" anchor="ctr" anchorCtr="0">
                          <a:noAutofit/>
                        </wps:bodyPr>
                      </wps:wsp>
                      <wps:wsp>
                        <wps:cNvPr id="10" name="Connector 10"/>
                        <wps:cNvCnPr/>
                        <wps:spPr>
                          <a:xfrm>
                            <a:off x="3499200" y="378000"/>
                            <a:ext cx="201600" cy="0"/>
                          </a:xfrm>
                          <a:prstGeom prst="straightConnector1">
                            <a:avLst/>
                          </a:prstGeom>
                          <a:ln w="19050">
                            <a:solidFill>
                              <a:srgbClr val="404040"/>
                            </a:solidFill>
                            <a:tailEnd type="triangle" w="med" len="med"/>
                          </a:ln>
                        </wps:spPr>
                        <wps:bodyPr/>
                      </wps:wsp>
                      <wps:wsp>
                        <wps:cNvPr id="11" name="Shape 11"/>
                        <wps:cNvSpPr/>
                        <wps:spPr>
                          <a:xfrm>
                            <a:off x="3708000" y="108000"/>
                            <a:ext cx="1008000" cy="54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Xususiy</w:t>
                              </w:r>
                            </w:p>
                            <w:p>
                              <w:pPr>
                                <w:spacing w:before="0" w:after="0" w:line="228" w:lineRule="auto"/>
                                <w:jc w:val="center"/>
                                <w:ind w:firstLine="0"/>
                              </w:pPr>
                              <w:r>
                                <w:rPr>
                                  <w:rFonts w:ascii="Times New Roman" w:hAnsi="Times New Roman" w:cs="Times New Roman"/>
                                  <w:b/>
                                  <w:color w:val="FFFFFF"/>
                                  <w:sz w:val="22"/>
                                  <w:szCs w:val="22"/>
                                </w:rPr>
                                <w:t xml:space="preserve">kapital</w:t>
                              </w:r>
                            </w:p>
                          </w:txbxContent>
                        </wps:txbx>
                        <wps:bodyPr rot="0" vert="horz" wrap="square" lIns="36000" tIns="18000" rIns="36000" bIns="18000" anchor="ctr" anchorCtr="0">
                          <a:noAutofit/>
                        </wps:bodyPr>
                      </wps:wsp>
                      <wps:wsp>
                        <wps:cNvPr id="12" name="Shape 12"/>
                        <wps:cNvSpPr/>
                        <wps:spPr>
                          <a:xfrm>
                            <a:off x="3708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Taqsimlanmagan</w:t>
                              </w:r>
                            </w:p>
                            <w:p>
                              <w:pPr>
                                <w:spacing w:before="0" w:after="0" w:line="228" w:lineRule="auto"/>
                                <w:jc w:val="center"/>
                                <w:ind w:firstLine="0"/>
                              </w:pPr>
                              <w:r>
                                <w:rPr>
                                  <w:rFonts w:ascii="Times New Roman" w:hAnsi="Times New Roman" w:cs="Times New Roman"/>
                                  <w:color w:val="000000"/>
                                  <w:sz w:val="20"/>
                                  <w:szCs w:val="20"/>
                                </w:rPr>
                                <w:t xml:space="preserve">foyda</w:t>
                              </w:r>
                            </w:p>
                          </w:txbxContent>
                        </wps:txbx>
                        <wps:bodyPr rot="0" vert="horz" wrap="square" lIns="36000" tIns="18000" rIns="36000" bIns="18000" anchor="ctr" anchorCtr="0">
                          <a:noAutofit/>
                        </wps:bodyPr>
                      </wps:wsp>
                      <wps:wsp>
                        <wps:cNvPr id="13" name="Connector 13"/>
                        <wps:cNvCnPr/>
                        <wps:spPr>
                          <a:xfrm>
                            <a:off x="4723200" y="378000"/>
                            <a:ext cx="201600" cy="0"/>
                          </a:xfrm>
                          <a:prstGeom prst="straightConnector1">
                            <a:avLst/>
                          </a:prstGeom>
                          <a:ln w="19050">
                            <a:solidFill>
                              <a:srgbClr val="404040"/>
                            </a:solidFill>
                            <a:tailEnd type="triangle" w="med" len="med"/>
                          </a:ln>
                        </wps:spPr>
                        <wps:bodyPr/>
                      </wps:wsp>
                      <wps:wsp>
                        <wps:cNvPr id="14" name="Shape 14"/>
                        <wps:cNvSpPr/>
                        <wps:spPr>
                          <a:xfrm>
                            <a:off x="4932000" y="108000"/>
                            <a:ext cx="1008000" cy="540000"/>
                          </a:xfrm>
                          <a:prstGeom prst="roundRect">
                            <a:avLst>
                              <a:gd name="adj" fmla="val 10000"/>
                            </a:avLst>
                          </a:prstGeom>
                          <a:solidFill>
                            <a:srgbClr val="7030A0"/>
                          </a:solidFill>
                          <a:ln w="12700">
                            <a:solidFill>
                              <a:srgbClr val="7030A0"/>
                            </a:solidFill>
                          </a:ln>
                        </wps:spPr>
                        <wps:txbx>
                          <w:txbxContent>
                            <w:p>
                              <w:pPr>
                                <w:spacing w:before="0" w:after="0" w:line="228" w:lineRule="auto"/>
                                <w:jc w:val="center"/>
                                <w:ind w:firstLine="0"/>
                              </w:pPr>
                              <w:r>
                                <w:rPr>
                                  <w:rFonts w:ascii="Times New Roman" w:hAnsi="Times New Roman" w:cs="Times New Roman"/>
                                  <w:b/>
                                  <w:color w:val="FFFFFF"/>
                                  <w:sz w:val="22"/>
                                  <w:szCs w:val="22"/>
                                </w:rPr>
                                <w:t xml:space="preserve">Kapital</w:t>
                              </w:r>
                            </w:p>
                            <w:p>
                              <w:pPr>
                                <w:spacing w:before="0" w:after="0" w:line="228" w:lineRule="auto"/>
                                <w:jc w:val="center"/>
                                <w:ind w:firstLine="0"/>
                              </w:pPr>
                              <w:r>
                                <w:rPr>
                                  <w:rFonts w:ascii="Times New Roman" w:hAnsi="Times New Roman" w:cs="Times New Roman"/>
                                  <w:b/>
                                  <w:color w:val="FFFFFF"/>
                                  <w:sz w:val="22"/>
                                  <w:szCs w:val="22"/>
                                </w:rPr>
                                <w:t xml:space="preserve">monandligi va</w:t>
                              </w:r>
                            </w:p>
                            <w:p>
                              <w:pPr>
                                <w:spacing w:before="0" w:after="0" w:line="228" w:lineRule="auto"/>
                                <w:jc w:val="center"/>
                                <w:ind w:firstLine="0"/>
                              </w:pPr>
                              <w:r>
                                <w:rPr>
                                  <w:rFonts w:ascii="Times New Roman" w:hAnsi="Times New Roman" w:cs="Times New Roman"/>
                                  <w:b/>
                                  <w:color w:val="FFFFFF"/>
                                  <w:sz w:val="22"/>
                                  <w:szCs w:val="22"/>
                                </w:rPr>
                                <w:t xml:space="preserve">NSFR</w:t>
                              </w:r>
                            </w:p>
                          </w:txbxContent>
                        </wps:txbx>
                        <wps:bodyPr rot="0" vert="horz" wrap="square" lIns="36000" tIns="18000" rIns="36000" bIns="18000" anchor="ctr" anchorCtr="0">
                          <a:noAutofit/>
                        </wps:bodyPr>
                      </wps:wsp>
                      <wps:wsp>
                        <wps:cNvPr id="15" name="Shape 15"/>
                        <wps:cNvSpPr/>
                        <wps:spPr>
                          <a:xfrm>
                            <a:off x="4932000" y="756000"/>
                            <a:ext cx="1008000" cy="468000"/>
                          </a:xfrm>
                          <a:prstGeom prst="roundRect">
                            <a:avLst>
                              <a:gd name="adj" fmla="val 10000"/>
                            </a:avLst>
                          </a:prstGeom>
                          <a:solidFill>
                            <a:srgbClr val="F2F2F2"/>
                          </a:solidFill>
                          <a:ln w="12700">
                            <a:solidFill>
                              <a:srgbClr val="A6A6A6"/>
                            </a:solidFill>
                          </a:ln>
                        </wps:spPr>
                        <wps:txbx>
                          <w:txbxContent>
                            <w:p>
                              <w:pPr>
                                <w:spacing w:before="0" w:after="0" w:line="228" w:lineRule="auto"/>
                                <w:jc w:val="center"/>
                                <w:ind w:firstLine="0"/>
                              </w:pPr>
                              <w:r>
                                <w:rPr>
                                  <w:rFonts w:ascii="Times New Roman" w:hAnsi="Times New Roman" w:cs="Times New Roman"/>
                                  <w:color w:val="000000"/>
                                  <w:sz w:val="20"/>
                                  <w:szCs w:val="20"/>
                                </w:rPr>
                                <w:t xml:space="preserve">Regulyativ</w:t>
                              </w:r>
                            </w:p>
                            <w:p>
                              <w:pPr>
                                <w:spacing w:before="0" w:after="0" w:line="228" w:lineRule="auto"/>
                                <w:jc w:val="center"/>
                                <w:ind w:firstLine="0"/>
                              </w:pPr>
                              <w:r>
                                <w:rPr>
                                  <w:rFonts w:ascii="Times New Roman" w:hAnsi="Times New Roman" w:cs="Times New Roman"/>
                                  <w:color w:val="000000"/>
                                  <w:sz w:val="20"/>
                                  <w:szCs w:val="20"/>
                                </w:rPr>
                                <w:t xml:space="preserve">ko‘rsatkichlar</w:t>
                              </w:r>
                            </w:p>
                          </w:txbxContent>
                        </wps:txbx>
                        <wps:bodyPr rot="0" vert="horz" wrap="square" lIns="36000" tIns="18000" rIns="36000" bIns="18000" anchor="ctr" anchorCtr="0">
                          <a:noAutofit/>
                        </wps:bodyPr>
                      </wps:wsp>
                      <wps:wsp>
                        <wps:cNvPr id="16" name="Connector 16"/>
                        <wps:cNvCnPr/>
                        <wps:spPr>
                          <a:xfrm>
                            <a:off x="108000" y="1440000"/>
                            <a:ext cx="5868000" cy="0"/>
                          </a:xfrm>
                          <a:prstGeom prst="straightConnector1">
                            <a:avLst/>
                          </a:prstGeom>
                          <a:ln w="28575">
                            <a:solidFill>
                              <a:srgbClr val="C00000"/>
                            </a:solidFill>
                            <a:tailEnd type="triangle" w="med" len="med"/>
                          </a:ln>
                        </wps:spPr>
                        <wps:bodyPr/>
                      </wps:wsp>
                      <wps:wsp>
                        <wps:cNvPr id="17" name="Shape 17"/>
                        <wps:cNvSpPr/>
                        <wps:spPr>
                          <a:xfrm>
                            <a:off x="36000" y="1512000"/>
                            <a:ext cx="1512000" cy="324000"/>
                          </a:xfrm>
                          <a:prstGeom prst="roundRect">
                            <a:avLst>
                              <a:gd name="adj" fmla="val 10000"/>
                            </a:avLst>
                          </a:prstGeom>
                          <a:solidFill>
                            <a:srgbClr val="FCE4D6"/>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Tafovut: 2–3 barobar</w:t>
                              </w:r>
                            </w:p>
                          </w:txbxContent>
                        </wps:txbx>
                        <wps:bodyPr rot="0" vert="horz" wrap="square" lIns="36000" tIns="18000" rIns="36000" bIns="18000" anchor="ctr" anchorCtr="0">
                          <a:noAutofit/>
                        </wps:bodyPr>
                      </wps:wsp>
                      <wps:wsp>
                        <wps:cNvPr id="18" name="Shape 18"/>
                        <wps:cNvSpPr/>
                        <wps:spPr>
                          <a:xfrm>
                            <a:off x="2232000" y="1512000"/>
                            <a:ext cx="1512000" cy="324000"/>
                          </a:xfrm>
                          <a:prstGeom prst="roundRect">
                            <a:avLst>
                              <a:gd name="adj" fmla="val 10000"/>
                            </a:avLst>
                          </a:prstGeom>
                          <a:solidFill>
                            <a:srgbClr val="FCE4D6"/>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Tafovut: 10–20 foiz</w:t>
                              </w:r>
                            </w:p>
                          </w:txbxContent>
                        </wps:txbx>
                        <wps:bodyPr rot="0" vert="horz" wrap="square" lIns="36000" tIns="18000" rIns="36000" bIns="18000" anchor="ctr" anchorCtr="0">
                          <a:noAutofit/>
                        </wps:bodyPr>
                      </wps:wsp>
                      <wps:wsp>
                        <wps:cNvPr id="19" name="Shape 19"/>
                        <wps:cNvSpPr/>
                        <wps:spPr>
                          <a:xfrm>
                            <a:off x="4428000" y="1512000"/>
                            <a:ext cx="1548000" cy="324000"/>
                          </a:xfrm>
                          <a:prstGeom prst="roundRect">
                            <a:avLst>
                              <a:gd name="adj" fmla="val 10000"/>
                            </a:avLst>
                          </a:prstGeom>
                          <a:solidFill>
                            <a:srgbClr val="FCE4D6"/>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000000"/>
                                  <w:sz w:val="20"/>
                                  <w:szCs w:val="20"/>
                                </w:rPr>
                                <w:t xml:space="preserve">Tafovut: 2–3 foiz punkt</w:t>
                              </w:r>
                            </w:p>
                          </w:txbxContent>
                        </wps:txbx>
                        <wps:bodyPr rot="0" vert="horz" wrap="square" lIns="36000" tIns="18000" rIns="36000" bIns="18000" anchor="ctr" anchorCtr="0">
                          <a:noAutofit/>
                        </wps:bodyPr>
                      </wps:wsp>
                      <wps:wsp>
                        <wps:cNvPr id="20" name="Shape 20"/>
                        <wps:cNvSpPr/>
                        <wps:spPr>
                          <a:xfrm>
                            <a:off x="36000" y="1908000"/>
                            <a:ext cx="5940000" cy="216000"/>
                          </a:xfrm>
                          <a:prstGeom prst="roundRect">
                            <a:avLst>
                              <a:gd name="adj" fmla="val 10000"/>
                            </a:avLst>
                          </a:prstGeom>
                          <a:noFill/>
                          <a:ln>
                            <a:noFill/>
                          </a:ln>
                        </wps:spPr>
                        <wps:txbx>
                          <w:txbxContent>
                            <w:p>
                              <w:pPr>
                                <w:spacing w:before="0" w:after="0" w:line="228" w:lineRule="auto"/>
                                <w:jc w:val="center"/>
                                <w:ind w:firstLine="0"/>
                              </w:pPr>
                              <w:r>
                                <w:rPr>
                                  <w:rFonts w:ascii="Times New Roman" w:hAnsi="Times New Roman" w:cs="Times New Roman"/>
                                  <w:i/>
                                  <w:color w:val="000000"/>
                                  <w:sz w:val="20"/>
                                  <w:szCs w:val="20"/>
                                </w:rPr>
                                <w:t xml:space="preserve">Ta’sir zanjir bo‘ylab kuchsizlanib boradi: aktivlar sifati → daromadlilik → kapital → likvidlik</w:t>
                              </w:r>
                            </w:p>
                          </w:txbxContent>
                        </wps:txbx>
                        <wps:bodyPr rot="0" vert="horz" wrap="square" lIns="36000" tIns="18000" rIns="36000" bIns="18000" anchor="ctr" anchorCtr="0">
                          <a:noAutofit/>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2.3.1-rasm. Milliy hisobot va MHXS ko‘rsatkichlari o‘rtasidagi tafovutning shakllanish mexanizmi</w:t>
      </w:r>
      <w:r>
        <w:rPr>
          <w:rStyle w:val="FootnoteReference"/>
        </w:rPr>
        <w:footnoteReference w:id="326"/>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tafovut zanjirining boshlang‘ich bo‘g‘ini kreditlarni tasniflash bo‘lib, uning ta’siri moliyaviy barqarorlikning barcha asosiy bloklariga – aktivlar sifati, daromadlilik, kapital va likvidlikka yetib boradi. Bu zanjirning muhim xususiyati shundaki, uning har bir bo‘g‘inida ta’sir kuchsizlanib boradi: kreditlar tasnifidagi farq bir necha barobarni tashkil etsa, kapitaldagi farq o‘n foizlar atrofida, likvidlik me’yoridagi farq esa bir necha foiz punkt bilan o‘lchanadi. Muallif fikricha, aynan shu sababli faqat yakuniy kapital va likvidlik koeffitsiyentlariga tayanuvchi baholash hisobot standartidagi tafovutni deyarli sezmaydi, aktivlar sifatini ham qamrab oluvchi baholash esa uni yaqqol ko‘rsatadi.</w:t>
      </w:r>
    </w:p>
    <w:p>
      <w:pPr>
        <w:pStyle w:val="BodyText"/>
        <w:spacing w:line="360" w:lineRule="auto" w:before="0" w:after="0"/>
        <w:ind w:firstLine="709"/>
        <w:jc w:val="both"/>
      </w:pPr>
      <w:r>
        <w:rPr>
          <w:rFonts w:ascii="Times New Roman" w:hAnsi="Times New Roman" w:cs="Times New Roman" w:eastAsia="Times New Roman"/>
          <w:sz w:val="28"/>
        </w:rPr>
        <w:t xml:space="preserve">Tafovutning ko‘lamini aniqlash uchun tahlilda ikki bank – tizimli ahamiyatga ega «O‘zsanoatqurilishbank» ATB va ijtimoiy yo‘naltirilgan kreditlash bilan shug‘ullanuvchi «Mikrokreditbank» ATB tanlandi. Har ikki bankning 2021–2025-yillar yakunidagi Markaziy bankka taqdim etilgan prudensial hisobot shakllari</w:t>
      </w:r>
      <w:r>
        <w:rPr>
          <w:rStyle w:val="FootnoteReference"/>
        </w:rPr>
        <w:footnoteReference w:id="327"/>
      </w:r>
      <w:r>
        <w:rPr>
          <w:rStyle w:val="FootnoteReference"/>
        </w:rPr>
        <w:footnoteReference w:id="328"/>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xalqaro auditorlik tashkilotlari tomonidan tasdiqlangan MHXS bo‘yicha moliyaviy hisobotlari bilan solishtirildi. Solishtirish uchun ikki ko‘rsatkich qo‘llandi. Birinchisi – nisbiy tafovut koeffitsiyenti, ya’ni MHXS bo‘yicha ko‘rsatkichning milliy hisobotdagi ko‘rsatkichdan farqining milliy ko‘rsatkichga nisbati:</w:t>
      </w:r>
    </w:p>
    <w:p>
      <w:pPr>
        <w:pStyle w:val="BodyText"/>
        <w:spacing w:line="360" w:lineRule="auto" w:before="0" w:after="0"/>
        <w:ind w:firstLine="709"/>
        <w:jc w:val="both"/>
      </w:pPr>
      <w:r>
        <w:rPr>
          <w:iCs/>
          <w:rFonts w:ascii="Times New Roman" w:hAnsi="Times New Roman" w:cs="Times New Roman" w:eastAsia="Times New Roman"/>
          <w:i/>
          <w:sz w:val="28"/>
        </w:rPr>
        <w:t xml:space="preserve">K</w:t>
      </w:r>
      <w:r>
        <w:rPr>
          <w:rFonts w:ascii="Times New Roman" w:hAnsi="Times New Roman" w:cs="Times New Roman" w:eastAsia="Times New Roman"/>
          <w:sz w:val="28"/>
          <w:vertAlign w:val="subscript"/>
        </w:rPr>
        <w:t xml:space="preserve">taf</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100%,</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mos ravishda MHXS va milliy hisobot bo‘yicha ko‘rsatkich qiymati. Ikkinchisi – dissertatsiyada taklif etilayotgan yashirin kredit riski koeffitsiyenti bo‘lib, u MHXS 9 bo‘yicha 3-bosqich kreditlari ulushining milliy tasnifdagi muammoli, ya’ni qoniqarsiz, shubhali va umidsiz kreditlar ulushiga nisbati sifatida aniqlanadi:</w:t>
      </w:r>
    </w:p>
    <w:p>
      <w:pPr>
        <w:pStyle w:val="BodyText"/>
        <w:spacing w:line="360" w:lineRule="auto" w:before="0" w:after="0"/>
        <w:ind w:firstLine="709"/>
        <w:jc w:val="both"/>
      </w:pPr>
      <w:r>
        <w:rPr>
          <w:iCs/>
          <w:rFonts w:ascii="Times New Roman" w:hAnsi="Times New Roman" w:cs="Times New Roman" w:eastAsia="Times New Roman"/>
          <w:i/>
          <w:sz w:val="28"/>
        </w:rPr>
        <w:t xml:space="preserve">K</w:t>
      </w:r>
      <w:r>
        <w:rPr>
          <w:rFonts w:ascii="Times New Roman" w:hAnsi="Times New Roman" w:cs="Times New Roman" w:eastAsia="Times New Roman"/>
          <w:sz w:val="28"/>
          <w:vertAlign w:val="subscript"/>
        </w:rPr>
        <w:t xml:space="preserve">ykr</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 (</w:t>
      </w:r>
      <w:r>
        <w:rPr>
          <w:iCs/>
          <w:rFonts w:ascii="Times New Roman" w:hAnsi="Times New Roman" w:cs="Times New Roman" w:eastAsia="Times New Roman"/>
          <w:i/>
          <w:sz w:val="28"/>
        </w:rPr>
        <w:t xml:space="preserve">NPL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S3</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MHXS 9 bo‘yicha 3-bosqich kreditlari,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NPL</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milliy tasnif bo‘yicha muammoli kreditlar,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MHXS</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L</w:t>
      </w:r>
      <w:r>
        <w:rPr>
          <w:rFonts w:ascii="Times New Roman" w:hAnsi="Times New Roman" w:cs="Times New Roman" w:eastAsia="Times New Roman"/>
          <w:sz w:val="28"/>
          <w:vertAlign w:val="subscript"/>
        </w:rPr>
        <w:t xml:space="preserve">milliy</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ikki hisobot bo‘yicha jami kreditlar (brutto). Koeffitsiyent birga teng bo‘lsa, milliy tasnif kredit riskini MHXS bilan bir xil darajada aks ettiradi, birdan katta bo‘lsa, milliy hisobot kredit riskining bir qismini yashiradi. Shuni ta’kidlash lozimki, milliy hisobot alohida bank bo‘yicha, MHXS hisoboti esa bank guruhi bo‘yicha tuzilgan, biroq ikkala bankda ham sho‘ba korxonalar ulushi kichik bo‘lgani sababli ikki hisobot bo‘yicha jami aktivlar o‘rtasidagi farq 1–5 foizdan oshmaydi va tahlil xulosalariga sezilarli ta’sir qilmaydi.</w:t>
      </w:r>
    </w:p>
    <w:p>
      <w:pPr>
        <w:pStyle w:val="BodyText"/>
        <w:spacing w:line="360" w:lineRule="auto" w:before="0" w:after="0"/>
        <w:ind w:firstLine="709"/>
        <w:jc w:val="both"/>
      </w:pPr>
      <w:r>
        <w:rPr>
          <w:rFonts w:ascii="Times New Roman" w:hAnsi="Times New Roman" w:cs="Times New Roman" w:eastAsia="Times New Roman"/>
          <w:sz w:val="28"/>
        </w:rPr>
        <w:t xml:space="preserve">«O‘zsanoatqurilishbank» ATB bo‘yicha solishtirish natijalari 2.3.2-jadvalda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ning asosiy ko‘rsatkichlari: milliy hisobot va MHXS, 2021–2025-yillar</w:t>
      </w:r>
      <w:r>
        <w:rPr>
          <w:rStyle w:val="FootnoteReference"/>
        </w:rPr>
        <w:footnoteReference w:id="32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56 511,3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64 263,8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74 634,4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87 597,0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102 438,7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55 731,9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63 189,3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73 293,3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84 800,2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97 184,4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Xususiy kapital,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7 700,9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7 828,1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8 728,4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10 025,4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11 875,2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6 944,8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7 581,2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8 439,9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9 352,8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10 273,8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Tafovut,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foyda,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998,2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588,9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911,7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1 303,2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1 880,1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857,0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633,7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856,2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1 115,0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1 543,8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Tafovut,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ROE,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7,6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Birinchi darajali asosiy kapital monandligi,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11,86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12,08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10,21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 asosida qayta hisoblangan</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11,89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10,72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8,87</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 zaxiralari / kreditlar,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(milliy) / 3-bosqich (MHXS),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 / 6,2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 / 7,4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2,2 / 4,8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 / 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2,5 / 7,5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Substandart (milliy) / 2-bosqich (MHXS),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6,2 / 20,4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5,3 / 14,7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11,0 / 15,8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14,8 / 27,1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18,4 / 35,7</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milliy kredit zaxiralari – kreditlar bo‘yicha maxsus zaxiralar va standart kreditlar bo‘yicha zaxiralar yig‘indisi; 2022-yil uchun MHXS ma’lumotlari 2023-yil hisobotidagi qayta hisoblangan qiymatlar, 2024-yil uchun 2025-yil hisobotidagi qiyosiy ma’lumotlar olindi; MHXS asosidagi kapital monandligi rasmiy hisobotdagi risk bo‘yicha tortilgan aktivlar va chegirmalar asosida qayta hisoblandi.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tahlil davrining barcha yillarida MHXS bo‘yicha xususiy kapital milliy hisobotdagidan kam bo‘lgan, tafovut esa 2022–2023-yillardagi 3,2–3,3 foizdan 2025-yilda 13,5 foizgacha, ya’ni to‘rt barobar kengaygan. Kapitaldagi bu tafovut kapital monandligiga ham bevosita ta’sir qiladi: MHXS ma’lumotlari asosida qayta hisoblangan birinchi darajali asosiy kapital monandligi 2021-yildagi 11,89 foizdan 2025-yilda 8,87 foizgacha pasaygan, rasmiy hisobotda esa 2025-yilda 10,21 foizni tashkil etgan. Boshqacha aytganda, 8 foizlik minimal talabdan ortiqcha kapital zaxirasi rasmiy hisobot bo‘yicha 2,21 foiz punkt, MHXS bo‘yicha esa atigi 0,87 foiz punkt, ya’ni 2,5 barobar kichik. Sof foyda bo‘yicha tafovut bir yo‘nalishli emas: 2022-yilda MHXS bo‘yicha foyda milliy hisobotdagidan 7,6 foiz ko‘p, qolgan yillarda esa 6,1–17,9 foiz kam bo‘lgan. Besh yil davomida bank milliy hisobot bo‘yicha jami 5 682,1 mlrd so‘m, MHXS bo‘yicha esa 5 005,7 mlrd so‘m sof foyda olgan, boshqacha aytganda, milliy hisobot bank daromadliligini besh yillik yig‘indida 676,4 mlrd so‘mga yoki 13,5 foizga oshirib ko‘rsatgan (2.3.2-rasm).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4" name="2.3.2-rasm"/>
            <wp:cNvGraphicFramePr/>
            <a:graphic>
              <a:graphicData uri="http://schemas.openxmlformats.org/drawingml/2006/chart">
                <c:chart r:id="rId28"/>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2.3.2-rasm. «O‘zsanoatqurilishbank» ATB ning sof foydasi: milliy hisobot va MHXS, mlrd so‘m</w:t>
      </w:r>
      <w:r>
        <w:rPr>
          <w:rStyle w:val="FootnoteReference"/>
        </w:rPr>
        <w:footnoteReference w:id="330"/>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sof foydadagi tafovut 2023-yildan boshlab har yili kengayib borgan. Bunga ikki omil sabab bo‘lgan. Birinchi omil – kredit zaxiralari: bankning MHXS bo‘yicha foyda va zarar hisobotida kreditlar bo‘yicha kredit zararlari xarajati 2021-yildagi 420,9 mlrd so‘mdan 2024-yilda 1 481,5 mlrd so‘mgacha oshgan, 2025-yilda esa 1 116,4 mlrd so‘mni tashkil etgan</w:t>
      </w:r>
      <w:r>
        <w:rPr>
          <w:rStyle w:val="FootnoteReference"/>
        </w:rPr>
        <w:footnoteReference w:id="331"/>
      </w:r>
      <w:r>
        <w:rPr>
          <w:rStyle w:val="FootnoteReference"/>
        </w:rPr>
        <w:footnoteReference w:id="332"/>
      </w:r>
      <w:r>
        <w:rPr>
          <w:rFonts w:ascii="Times New Roman" w:hAnsi="Times New Roman" w:cs="Times New Roman" w:eastAsia="Times New Roman"/>
          <w:sz w:val="28"/>
        </w:rPr>
        <w:t xml:space="preserve">. Ikkinchi omil – milliy hisobotda umuman aks etmaydigan dastlabki tan olish va modifikatsiya natijalari: 2025-yilda bank bozor stavkasidan past stavkada berilgan kreditlarni dastlabki tan olishdan 420,7 mlrd so‘m, modifikatsiya qilingan va balansdan chiqarilgan moliyaviy aktivlardan yana 324,1 mlrd so‘m zarar ko‘rgan, ayni paytda imtiyozli shartlarda jalb qilingan qarz mablag‘larini dastlabki tan olishdan 260,8 mlrd so‘m foyda olgan</w:t>
      </w:r>
      <w:r>
        <w:rPr>
          <w:rStyle w:val="FootnoteReference"/>
        </w:rPr>
        <w:footnoteReference w:id="333"/>
      </w:r>
      <w:r>
        <w:rPr>
          <w:rFonts w:ascii="Times New Roman" w:hAnsi="Times New Roman" w:cs="Times New Roman" w:eastAsia="Times New Roman"/>
          <w:sz w:val="28"/>
        </w:rPr>
        <w:t xml:space="preserve">. Bu raqamlar davlat dasturlari doirasidagi imtiyozli operatsiyalarning haqiqiy iqtisodiy qiymati faqat MHXS hisobotida aks etishini ko‘rsatadi.</w:t>
      </w:r>
    </w:p>
    <w:p>
      <w:pPr>
        <w:pStyle w:val="BodyText"/>
        <w:spacing w:line="360" w:lineRule="auto" w:before="0" w:after="0"/>
        <w:ind w:firstLine="709"/>
        <w:jc w:val="both"/>
      </w:pPr>
      <w:r>
        <w:rPr>
          <w:rFonts w:ascii="Times New Roman" w:hAnsi="Times New Roman" w:cs="Times New Roman" w:eastAsia="Times New Roman"/>
          <w:sz w:val="28"/>
        </w:rPr>
        <w:t xml:space="preserve">Kredit zaxiralari bo‘yicha tafovut yanada sezilarli. Milliy hisobot bo‘yicha zaxiralarning kreditlarga nisbati 2,7–4,5 foiz oralig‘ida bo‘lgan bo‘lsa, MHXS bo‘yicha bu ko‘rsatkich 4,0–6,0 foizni tashkil etgan, ya’ni MHXS bo‘yicha zaxiralar mutlaq qiymatda milliy hisobotdagidan 1,3–2,2 barobar ko‘p bo‘lgan (2.3.3-rasm).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5" name="2.3.3-rasm"/>
            <wp:cNvGraphicFramePr/>
            <a:graphic>
              <a:graphicData uri="http://schemas.openxmlformats.org/drawingml/2006/chart">
                <c:chart r:id="rId2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2.3.3-rasm. «O‘zsanoatqurilishbank» ATB da kredit zaxiralarining jami kreditlarga nisbati: milliy hisobot va MHXS, %</w:t>
      </w:r>
      <w:r>
        <w:rPr>
          <w:rStyle w:val="FootnoteReference"/>
        </w:rPr>
        <w:footnoteReference w:id="334"/>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muhim qonuniyatni ochib beradi: ikki hisobot o‘rtasidagi zaxiralar tafovuti eng katta bo‘lgan 2022-yilda MHXS bo‘yicha zaxiralar milliy hisobotdagidan 2,2 barobar ko‘p bo‘lgan, aynan shu yili milliy hisobot bo‘yicha zaxiralar ulushi besh yillik davrdagi eng past – 2,7 foizgacha pasaygan. Demak, milliy tizim kredit riski oshgan yillarda zaxiralarni kamaytirgan, MHXS esa aksincha oshirgan. Bu milliy zaxira tizimining riskka sezgirligi pastligini, MHXS 9 ning esa kredit riskini o‘z vaqtida aks ettirishini ko‘rsatadi. Shu bilan birga, MHXS bo‘yicha 3-bosqich kreditlarining zaxira bilan qoplanishi 2021–2025-yillarda 71,7–82,6 foiz oralig‘ida barqaror saqlangan, milliy hisobotda esa jami zaxiralarning muammoli kreditlarga nisbati 94,5 foizdan 179,5 foizgacha tebrangan. Milliy ko‘rsatkichdagi bunday keskin o‘sish kredit sifati yaxshilangani emas, balki muammoli kreditlar sifatida tan olinadigan kreditlar doirasi torligi natijasidir.</w:t>
      </w:r>
    </w:p>
    <w:p>
      <w:pPr>
        <w:pStyle w:val="BodyText"/>
        <w:spacing w:line="360" w:lineRule="auto" w:before="0" w:after="0"/>
        <w:ind w:firstLine="709"/>
        <w:jc w:val="both"/>
      </w:pPr>
      <w:r>
        <w:rPr>
          <w:rFonts w:ascii="Times New Roman" w:hAnsi="Times New Roman" w:cs="Times New Roman" w:eastAsia="Times New Roman"/>
          <w:sz w:val="28"/>
        </w:rPr>
        <w:t xml:space="preserve">Ikki tasniflash tizimi o‘rtasidagi farqning mazmunini bankning 2025-yil uchun MHXS hisobotida oshkor qilingan kesishma jadval aniq ko‘rsatadi. Unda har bir MHXS 9 bosqichidagi kreditlar Markaziy bank tasnifi bo‘yicha qaysi toifaga kiritilgani ko‘rsatilgan</w:t>
      </w:r>
      <w:r>
        <w:rPr>
          <w:rStyle w:val="FootnoteReference"/>
        </w:rPr>
        <w:footnoteReference w:id="335"/>
      </w:r>
      <w:r>
        <w:rPr>
          <w:rFonts w:ascii="Times New Roman" w:hAnsi="Times New Roman" w:cs="Times New Roman" w:eastAsia="Times New Roman"/>
          <w:sz w:val="28"/>
        </w:rPr>
        <w:t xml:space="preserve">. Ushbu jadval ma’lumotlari asosida 3-bosqich kreditlarining milliy tasnif bo‘yicha tarkibi aniqlandi (2.3.4-rasm).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6" name="2.3.4-rasm"/>
            <wp:cNvGraphicFramePr/>
            <a:graphic>
              <a:graphicData uri="http://schemas.openxmlformats.org/drawingml/2006/chart">
                <c:chart r:id="rId3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2.3.4-rasm. «O‘zsanoatqurilishbank» ATB da MHXS 9 bo‘yicha 3-bosqich kreditlarining milliy tasnif toifalari bo‘yicha tarkibi, mlrd so‘m</w:t>
      </w:r>
      <w:r>
        <w:rPr>
          <w:rStyle w:val="FootnoteReference"/>
        </w:rPr>
        <w:footnoteReference w:id="336"/>
      </w:r>
    </w:p>
    <w:p>
      <w:pPr>
        <w:pStyle w:val="BodyText"/>
        <w:spacing w:line="360" w:lineRule="auto" w:before="0" w:after="0"/>
        <w:ind w:firstLine="709"/>
        <w:jc w:val="both"/>
      </w:pPr>
      <w:r>
        <w:rPr>
          <w:rFonts w:ascii="Times New Roman" w:hAnsi="Times New Roman" w:cs="Times New Roman" w:eastAsia="Times New Roman"/>
          <w:sz w:val="28"/>
        </w:rPr>
        <w:t xml:space="preserve">Rasm ma’lumotlari shuni ko‘rsatadiki, MHXS 9 bo‘yicha kredit qadrsizlangan deb tan olingan kreditlarning katta qismi milliy tasnifda muammoli hisoblanmaydi. 2025-yil yakunida 5 310,2 mlrd so‘mlik 3-bosqich kreditlarining 746,4 mlrd so‘mi, ya’ni 14,1 foizi milliy tasnifda «standart», 2 290,9 mlrd so‘mi, ya’ni 43,1 foizi esa «substandart» toifasiga kiritilgan. Shunday qilib, qadrsizlangan kreditlarning 57,2 foizi milliy hisobotdagi muammoli kreditlar ko‘rsatkichida umuman aks etmagan. 2024-yilda bu ulush 38,9 foizni tashkil etgan edi, ya’ni bir yil ichida ikki tasnif o‘rtasidagi nomuvofiqlik sezilarli kuchaygan. Bank bu farqni shunday izohlaydi: milliy tasnif asosan muddati o‘tgan kunlar soniga tayanadi, MHXS 9 esa qo‘shimcha ravishda restrukturizatsiya, 90 kundan ortiq muddati o‘tgan qarzdorlik tarixi kabi miqdoriy va sifat belgilarini hisobga oladi, bunday kreditlar esa belgilangan sinov muddati o‘tmaguncha 3-bosqichda qoladi</w:t>
      </w:r>
      <w:r>
        <w:rPr>
          <w:rStyle w:val="FootnoteReference"/>
        </w:rPr>
        <w:footnoteReference w:id="337"/>
      </w:r>
      <w:r>
        <w:rPr>
          <w:rFonts w:ascii="Times New Roman" w:hAnsi="Times New Roman" w:cs="Times New Roman" w:eastAsia="Times New Roman"/>
          <w:sz w:val="28"/>
        </w:rPr>
        <w:t xml:space="preserve">. 2-bosqich kreditlari bo‘yicha ham manzara o‘xshash: 2025-yilda kredit riski sezilarli oshgan 25 320,4 mlrd so‘mlik kreditlarning 51,2 foizi milliy tasnifda «standart» kreditlar hisoblangan.</w:t>
      </w:r>
    </w:p>
    <w:p>
      <w:pPr>
        <w:pStyle w:val="BodyText"/>
        <w:spacing w:line="360" w:lineRule="auto" w:before="0" w:after="0"/>
        <w:ind w:firstLine="709"/>
        <w:jc w:val="both"/>
      </w:pPr>
      <w:r>
        <w:rPr>
          <w:rFonts w:ascii="Times New Roman" w:hAnsi="Times New Roman" w:cs="Times New Roman" w:eastAsia="Times New Roman"/>
          <w:sz w:val="28"/>
        </w:rPr>
        <w:t xml:space="preserve">Bu ma’lumotlar yuqorida keltirilgan nazariy xulosani amaliy jihatdan tasdiqlaydi: milliy va MHXS ko‘rsatkichlari o‘rtasidagi tafovut hisob-kitob texnikasidagi farq emas, balki kredit riskini tan olish mezonlaridagi tub farqdir. Muddati o‘tgan kunlarga asoslangan tasnif qarz oluvchining to‘lov intizomini kuzatadi, ammo uning moliyaviy holati yomonlashganini, kredit restrukturizatsiya qilinganini yoki takroriy qiyinchiliklarni o‘z vaqtida sezmaydi. Shuning uchun yuqorida taklif etilgan yashirin kredit riski koeffitsiyenti milliy hisobot asosidagi baholashga kiritilishi lozim bo‘lgan tuzatishning miqdoriy o‘lchovi bo‘lib xizmat qilishi mumkin. Uning ikkala bank bo‘yicha dinamikasi 2.3.5-rasmda keltirildi.</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7" name="2.3.5-rasm"/>
            <wp:cNvGraphicFramePr/>
            <a:graphic>
              <a:graphicData uri="http://schemas.openxmlformats.org/drawingml/2006/chart">
                <c:chart r:id="rId3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2.3.5-rasm. «O‘zsanoatqurilishbank» ATB va «Mikrokreditbank» ATB da yashirin kredit riski koeffitsiyenti</w:t>
      </w:r>
      <w:r>
        <w:rPr>
          <w:rStyle w:val="FootnoteReference"/>
        </w:rPr>
        <w:footnoteReference w:id="338"/>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yashirin kredit riski koeffitsiyenti ikkala bankda ham tahlil davrining barcha yillarida birdan ancha yuqori bo‘lgan. «O‘zsanoatqurilishbank» ATB da u 2021-yildagi 1,65 dan 2025-yilda 2,96 gacha oshgan, ya’ni milliy hisobotdagi muammoli kreditlar ulushi MHXS bo‘yicha qadrsizlangan kreditlar ulushidan qariyb uch barobar kam bo‘lgan. «Mikrokreditbank» ATB da koeffitsiyent butun davr mobaynida 2,77–3,30 oralig‘ida yuqori darajada saqlangan, uning eng yuqori qiymati esa 2024-yilga to‘g‘ri kelgan</w:t>
      </w:r>
      <w:r>
        <w:rPr>
          <w:rStyle w:val="FootnoteReference"/>
        </w:rPr>
        <w:footnoteReference w:id="339"/>
      </w:r>
      <w:r>
        <w:rPr>
          <w:rFonts w:ascii="Times New Roman" w:hAnsi="Times New Roman" w:cs="Times New Roman" w:eastAsia="Times New Roman"/>
          <w:sz w:val="28"/>
        </w:rPr>
        <w:t xml:space="preserve">. Ikkala bank uchun ham koeffitsiyentning nisbatan barqarorligi muhim amaliy xulosaga olib keladi: milliy hisobot asosidagi muammoli kreditlar ko‘rsatkichi kredit riskini tasodifan emas, balki muntazam ravishda kamsitib ko‘rsatadi, demak, uni tegishli koeffitsiyent yordamida tuzatish metodologik jihatdan asoslidir.</w:t>
      </w:r>
    </w:p>
    <w:p>
      <w:pPr>
        <w:pStyle w:val="BodyText"/>
        <w:spacing w:line="360" w:lineRule="auto" w:before="0" w:after="0"/>
        <w:ind w:firstLine="709"/>
        <w:jc w:val="both"/>
      </w:pPr>
      <w:r>
        <w:rPr>
          <w:rFonts w:ascii="Times New Roman" w:hAnsi="Times New Roman" w:cs="Times New Roman" w:eastAsia="Times New Roman"/>
          <w:sz w:val="28"/>
        </w:rPr>
        <w:t xml:space="preserve">«Mikrokreditbank» ATB bo‘yicha solishtirish natijalari esa tafovutning yana bir jihatini – zararlarni tan olish vaqtidagi farqni ochib beradi (2.3.3-jadval).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2.3.3-jadval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«Mikrokreditbank» ATB ning asosiy ko‘rsatkichlari: milliy hisobot va MHXS, 2021–2025-yillar</w:t>
      </w:r>
      <w:r>
        <w:rPr>
          <w:rStyle w:val="FootnoteReference"/>
        </w:rPr>
        <w:footnoteReference w:id="34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1179"/>
        <w:gridCol w:w="1179"/>
        <w:gridCol w:w="1179"/>
        <w:gridCol w:w="1179"/>
        <w:gridCol w:w="1179"/>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17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Jami aktivlar,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13 483,4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16 782,5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19 061,5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23 542,5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30 728,8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12 802,3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16 521,3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18 244,1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23 851,4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30 969,3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Xususiy kapital,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2 321,1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3 643,9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3 933,6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3 550,6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5 739,2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2 291,6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3 650,9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3 578,1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4 101,3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6 270,8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Tafovut,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foyda (zarar), mlrd so‘m: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38,4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41,1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−1 703,8</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160,8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10,4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−471,2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−961,3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42,1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(milliy) / 3-bosqich (MHXS), %</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5,9 / 17,4</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4,8 / 13,5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6,0 / 16,6</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4,6 / 15,2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4,4 / 12,3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Birinchi darajali asosiy kapital monandligi, %: milliy</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13,22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20,03</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17,60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12,95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16,39</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MHXS asosida qayta hisoblangan</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13,59</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20,17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16,20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15,02</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18,24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Yashirin kredit riski koeffitsiyenti</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2,95</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2,81</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2,77</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3,30</w:t>
            </w:r>
          </w:p>
        </w:tc>
        <w:tc>
          <w:tcPr>
            <w:tcW w:type="dxa" w:w="1179"/>
          </w:tcPr>
          <w:p>
            <w:pPr>
              <w:pStyle w:val="Compact"/>
              <w:spacing w:line="240" w:lineRule="auto"/>
              <w:ind w:firstLine="0"/>
              <w:jc w:val="left"/>
            </w:pPr>
            <w:r>
              <w:rPr>
                <w:rFonts w:ascii="Times New Roman" w:hAnsi="Times New Roman" w:cs="Times New Roman" w:eastAsia="Times New Roman"/>
                <w:sz w:val="22"/>
              </w:rPr>
              <w:t xml:space="preserve">2,80</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«Mikrokreditbank» ATB da ikki hisobot o‘rtasidagi munosabat «O‘zsanoatqurilishbank» ATB dagidan farq qilishini ko‘rsatadi. Bu bankda besh yillik jami moliyaviy natija ikki hisobotda deyarli bir xil: milliy hisobot bo‘yicha 1 442,2 mlrd so‘m, MHXS bo‘yicha 1 374,9 mlrd so‘m zarar. Ammo zararning yillar bo‘yicha taqsimlanishi tubdan farq qiladi. MHXS bo‘yicha bank 2023-yildayoq 471,2 mlrd so‘m zarar ko‘rgan, bunga kredit zararlari bo‘yicha 470,4 mlrd so‘m zaxira ajratilishi sabab bo‘lgan</w:t>
      </w:r>
      <w:r>
        <w:rPr>
          <w:rStyle w:val="FootnoteReference"/>
        </w:rPr>
        <w:footnoteReference w:id="341"/>
      </w:r>
      <w:r>
        <w:rPr>
          <w:rFonts w:ascii="Times New Roman" w:hAnsi="Times New Roman" w:cs="Times New Roman" w:eastAsia="Times New Roman"/>
          <w:sz w:val="28"/>
        </w:rPr>
        <w:t xml:space="preserve">, milliy hisobotda esa shu yili 41,1 mlrd so‘m foyda ko‘rsatilgan. 2024-yilda esa milliy hisobotda 1 703,8 mlrd so‘m zarar bir yo‘la tan olingan, MHXS bo‘yicha zarar 961,3 mlrd so‘mni tashkil etgan (2.3.6-rasm).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8" name="2.3.6-rasm"/>
            <wp:cNvGraphicFramePr/>
            <a:graphic>
              <a:graphicData uri="http://schemas.openxmlformats.org/drawingml/2006/chart">
                <c:chart r:id="rId3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2.3.6-rasm. «Mikrokreditbank» ATB ning sof foydasi (zarari): milliy hisobot va MHXS, mlrd so‘m</w:t>
      </w:r>
      <w:r>
        <w:rPr>
          <w:rStyle w:val="FootnoteReference"/>
        </w:rPr>
        <w:footnoteReference w:id="342"/>
      </w:r>
    </w:p>
    <w:p>
      <w:pPr>
        <w:pStyle w:val="BodyText"/>
        <w:spacing w:line="360" w:lineRule="auto" w:before="0" w:after="0"/>
        <w:ind w:firstLine="709"/>
        <w:jc w:val="both"/>
      </w:pPr>
      <w:r>
        <w:rPr>
          <w:rFonts w:ascii="Times New Roman" w:hAnsi="Times New Roman" w:cs="Times New Roman" w:eastAsia="Times New Roman"/>
          <w:sz w:val="28"/>
        </w:rPr>
        <w:t xml:space="preserve">Rasm ma’lumotlari kutilgan kredit zararlari modelining asosiy afzalligini, ya’ni kredit riskini o‘z vaqtida tan olishini yaqqol ko‘rsatadi. MHXS bo‘yicha zarar 2023 va 2024-yillarga taqsimlangan, milliy hisobotda esa u bir yil kechikib va bir yo‘la tan olingan. Natijada 2023-yil yakunida milliy hisobot bo‘yicha xususiy kapital MHXS bo‘yicha kapitaldan 355,5 mlrd so‘mga ko‘p bo‘lgan, 2024-yilda esa, aksincha, 550,7 mlrd so‘mga kam bo‘lib qolgan. Shunga mos ravishda birinchi darajali asosiy kapital monandligi 2023-yilda rasmiy hisobot bo‘yicha 17,60 foiz, MHXS asosida esa 16,20 foiz, 2024-yilda esa mos ravishda 12,95 va 15,02 foizni tashkil etgan. Boshqacha aytganda, milliy hisobot asosidagi baholash 2023-yil yakunida bankning kapitali va daromadliligi bo‘yicha xavfsiz signal bergan, holbuki MHXS hisobotida muammo allaqachon namoyon bo‘lgan edi. Bu holat 1.2-paragrafda ko‘rib chiqilgan kutilgan kredit zararlari modelining prosiklik xususiyati to‘g‘risidagi xulosani boshqa tomondan ham to‘ldiradi: ertaroq tan olingan zarar kapitalga bosimni ertaroq yuzaga keltiradi, ammo nazorat organi va bank rahbariyatiga choralar ko‘rish uchun vaqt beradi.</w:t>
      </w:r>
    </w:p>
    <w:p>
      <w:pPr>
        <w:pStyle w:val="BodyText"/>
        <w:spacing w:line="360" w:lineRule="auto" w:before="0" w:after="0"/>
        <w:ind w:firstLine="709"/>
        <w:jc w:val="both"/>
      </w:pPr>
      <w:r>
        <w:rPr>
          <w:rFonts w:ascii="Times New Roman" w:hAnsi="Times New Roman" w:cs="Times New Roman" w:eastAsia="Times New Roman"/>
          <w:sz w:val="28"/>
        </w:rPr>
        <w:t xml:space="preserve">Ikki bank misolida olingan natijalarni umumlashtirish uchun «O‘zsanoatqurilishbank» ATB ning 2025-yil yakunidagi ko‘rsatkichlari moliyaviy barqarorlikning asosiy bloklari bo‘yicha guruhlandi va ularning har biri uchun milliy va xalqaro yondashuv o‘rtasidagi tafovut hisoblandi. Kapital monandligi bo‘yicha alohida izoh berish lozim. Bankning MHXS hisobotida e’lon qilingan kapital monandligi koeffitsiyentlari ham milliy buxgalteriya hisobi ma’lumotlari asosida hisoblangani qayd etilgan</w:t>
      </w:r>
      <w:r>
        <w:rPr>
          <w:rStyle w:val="FootnoteReference"/>
        </w:rPr>
        <w:footnoteReference w:id="343"/>
      </w:r>
      <w:r>
        <w:rPr>
          <w:rFonts w:ascii="Times New Roman" w:hAnsi="Times New Roman" w:cs="Times New Roman" w:eastAsia="Times New Roman"/>
          <w:sz w:val="28"/>
        </w:rPr>
        <w:t xml:space="preserve">, MHXS ma’lumotlariga asoslangan koeffitsiyentlar esa banklar tomonidan e’lon qilinmaydi. Shu sababli ular Markaziy bank metodikasi bo‘yicha muallif tomonidan qayta hisoblandi: birinchi darajali asosiy kapital MHXS bo‘yicha xususiy kapitaldan joriy yil sof foydasi va ozchilik ulushini ayirib, so‘ngra bankning rasmiy hisobot shaklidagi 257,4 mlrd so‘mlik chegirmalarni qo‘llash orqali aniqlandi; qo‘shimcha birinchi darajali kapital (3 615,3 mlrd so‘mlik muddatsiz obligatsiyalar) va ikkinchi darajali kapital rasmiy hisobotdagi qiymatda olinib, faqat joriy yil foydasidagi farqqa tuzatildi; risk bo‘yicha tortilgan aktivlar sifatida esa rasmiy hisobotdagi 95 179,7 mlrd so‘m qabul qilindi</w:t>
      </w:r>
      <w:r>
        <w:rPr>
          <w:rStyle w:val="FootnoteReference"/>
        </w:rPr>
        <w:footnoteReference w:id="344"/>
      </w:r>
      <w:r>
        <w:rPr>
          <w:rFonts w:ascii="Times New Roman" w:hAnsi="Times New Roman" w:cs="Times New Roman" w:eastAsia="Times New Roman"/>
          <w:sz w:val="28"/>
        </w:rPr>
        <w:t xml:space="preserve">. MHXS bo‘yicha zaxiralar ko‘pligi sababli risk bo‘yicha tortilgan aktivlar amalda biroz kichikroq bo‘lishi mumkin, biroq bu koeffitsiyentlarni 0,1 foiz punktdan ko‘p o‘zgartirmaydi. Sof barqaror moliyalashtirish me’yori esa ikki metodika – Markaziy bank va Bazel III metodikasi hamda ikki hisobot turi bo‘yicha to‘rt variantda hisoblandi</w:t>
      </w:r>
      <w:r>
        <w:rPr>
          <w:rStyle w:val="FootnoteReference"/>
        </w:rPr>
        <w:footnoteReference w:id="345"/>
      </w:r>
      <w:r>
        <w:rPr>
          <w:rStyle w:val="FootnoteReference"/>
        </w:rPr>
        <w:footnoteReference w:id="346"/>
      </w:r>
      <w:r>
        <w:rPr>
          <w:rFonts w:ascii="Times New Roman" w:hAnsi="Times New Roman" w:cs="Times New Roman" w:eastAsia="Times New Roman"/>
          <w:sz w:val="28"/>
        </w:rPr>
        <w:t xml:space="preserve">. Likvidlikni qoplash koeffitsiyenti uchun esa milliy amaliyotda yuqori likvid aktivlarga kiritiladigan, ammo Bazel III da bunday aktiv hisoblanmaydigan boshqa banklardagi mablag‘lar alohida ajratildi</w:t>
      </w:r>
      <w:r>
        <w:rPr>
          <w:rStyle w:val="FootnoteReference"/>
        </w:rPr>
        <w:footnoteReference w:id="347"/>
      </w:r>
      <w:r>
        <w:rPr>
          <w:rFonts w:ascii="Times New Roman" w:hAnsi="Times New Roman" w:cs="Times New Roman" w:eastAsia="Times New Roman"/>
          <w:sz w:val="28"/>
        </w:rPr>
        <w:t xml:space="preserve">. Hisob-kitob natijalari 2.3.4-jadvalda keltirildi.</w:t>
      </w:r>
    </w:p>
    <w:p>
      <w:pPr>
        <w:pStyle w:val="BodyText"/>
        <w:keepNext/>
        <w:spacing w:line="360" w:lineRule="auto" w:before="120" w:after="0"/>
        <w:ind w:firstLine="0"/>
        <w:jc w:val="right"/>
      </w:pPr>
      <w:r>
        <w:rPr>
          <w:rFonts w:ascii="Times New Roman" w:hAnsi="Times New Roman" w:cs="Times New Roman" w:eastAsia="Times New Roman"/>
          <w:i/>
          <w:sz w:val="28"/>
        </w:rPr>
        <w:t xml:space="preserve">2.3.4-jadval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moliyaviy barqarorlik ko‘rsatkichlarining milliy va xalqaro yondashuv bo‘yicha tafovuti, 2025-yil yakuni</w:t>
      </w:r>
      <w:r>
        <w:rPr>
          <w:rStyle w:val="FootnoteReference"/>
        </w:rPr>
        <w:footnoteReference w:id="34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2835"/>
        <w:gridCol w:w="1587"/>
        <w:gridCol w:w="1587"/>
        <w:gridCol w:w="1814"/>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Blok</w:t>
            </w:r>
          </w:p>
        </w:tc>
        <w:tc>
          <w:tcPr>
            <w:tcW w:type="dxa" w:w="283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Milliy hisobot va metodika</w:t>
            </w:r>
          </w:p>
        </w:tc>
        <w:tc>
          <w:tcPr>
            <w:tcW w:type="dxa" w:w="158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MHXS va Bazel III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Tafovut</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Muammoli kreditlar (3-bosqich) ulushi,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2,53</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7,48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+4,95 p.p. (2,96 barobar)</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Substandart kreditlar (2-bosqich) ulushi,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18,44</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35,66</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+17,22 p.p. (1,93 barobar)</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Kredit zaxiralari, mlrd so‘m</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2 947,5</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4 250,9</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+44,2%</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Daromadlilik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Sof foyda, mlrd so‘m</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1 880,1</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1 543,8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−17,9%</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Daromadlilik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17,2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15,7</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−1,5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Xususiy kapital, mlrd so‘m</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11 875,2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10 273,8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−13,5%</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Birinchi darajali asosiy kapital monandligi,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10,21</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8,87</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−1,34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Birinchi darajali kapital monandligi,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14,01</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12,66</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−1,35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Kapital</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17,02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15,32</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−1,70 p.p.</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Likvidlik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Sof barqaror moliyalashtirish me’yori,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122,2</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124,8</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+2,6 p.p. (metodika +5,4; hisobot −2,8)</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Likvidlik</w:t>
            </w:r>
          </w:p>
        </w:tc>
        <w:tc>
          <w:tcPr>
            <w:tcW w:type="dxa" w:w="2835"/>
          </w:tcPr>
          <w:p>
            <w:pPr>
              <w:pStyle w:val="Compact"/>
              <w:spacing w:line="240" w:lineRule="auto"/>
              <w:ind w:firstLine="0"/>
              <w:jc w:val="left"/>
            </w:pPr>
            <w:r>
              <w:rPr>
                <w:rFonts w:ascii="Times New Roman" w:hAnsi="Times New Roman" w:cs="Times New Roman" w:eastAsia="Times New Roman"/>
                <w:sz w:val="22"/>
              </w:rPr>
              <w:t xml:space="preserve">Banklardagi mablag‘larning yuqori likvid aktivlardagi ulushi, %</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30,9</w:t>
            </w:r>
          </w:p>
        </w:tc>
        <w:tc>
          <w:tcPr>
            <w:tcW w:type="dxa" w:w="1587"/>
          </w:tcPr>
          <w:p>
            <w:pPr>
              <w:pStyle w:val="Compact"/>
              <w:spacing w:line="240" w:lineRule="auto"/>
              <w:ind w:firstLine="0"/>
              <w:jc w:val="left"/>
            </w:pPr>
            <w:r>
              <w:rPr>
                <w:rFonts w:ascii="Times New Roman" w:hAnsi="Times New Roman" w:cs="Times New Roman" w:eastAsia="Times New Roman"/>
                <w:sz w:val="22"/>
              </w:rPr>
              <w:t xml:space="preserve">0</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Bazel III bo‘yicha yuqori likvid aktiv emas</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ikki yondashuv o‘rtasidagi tafovut moliyaviy barqarorlik bloklari bo‘yicha bir tekis taqsimlanmaganini ko‘rsatadi. Eng katta tafovut aktivlar sifati blokida bo‘lib, muammoli kreditlar ulushi xalqaro yondashuv bo‘yicha qariyb uch barobar, kredit riski oshgan kreditlar ulushi esa ikki barobar yuqori. Daromadlilik va kapital bloklarida tafovut 13–18 foiz atrofida bo‘lib, MHXS ma’lumotlari asosida qayta hisoblangan birinchi darajali asosiy kapital monandligi 8,87 foizgacha pasayib, 8 foizlik minimal talabga yaqinlashadi. Likvidlik blokida esa umumiy tafovut kichik, chunki metodika va hisobot standarti ta’siri qarama-qarshi yo‘nalishda bo‘lib, bir-birini qisman qoplaydi: Bazel III koeffitsiyentlari me’yorni 5,4 foiz punktga oshiradi, MHXS tuzatishlari esa 2,8 foiz punktga pasaytiradi. Ammo likvidlikni qoplash koeffitsiyenti tarkibida xalqaro standart bo‘yicha yuqori likvid aktiv hisoblanmaydigan mablag‘lar ulushi 30,9 foizni tashkil etadi, demak, bu blokda ham yashirin risk mavjud. Tafovutning nisbiy ko‘lamini taqqoslash uchun asosiy ko‘rsatkichlar bo‘yicha nisbiy tafovut koeffitsiyenti hisoblandi (2.3.7-rasm).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39" name="2.3.7-rasm"/>
            <wp:cNvGraphicFramePr/>
            <a:graphic>
              <a:graphicData uri="http://schemas.openxmlformats.org/drawingml/2006/chart">
                <c:chart r:id="rId3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2.3.7-rasm. «O‘zsanoatqurilishbank» ATB ko‘rsatkichlarining milliy va xalqaro yondashuv bo‘yicha nisbiy tafovuti, 2025-yil, %</w:t>
      </w:r>
      <w:r>
        <w:rPr>
          <w:rStyle w:val="FootnoteReference"/>
        </w:rPr>
        <w:footnoteReference w:id="349"/>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nisbiy tafovut koeffitsiyenti muammoli kreditlar ulushi bo‘yicha +195,7 foizni, kredit zaxiralari bo‘yicha +44,2 foizni tashkil etgan bo‘lsa, birinchi darajali asosiy kapital monandligi, xususiy kapital va sof foyda bo‘yicha −13,1 dan −17,9 foizgacha, jami aktivlar bo‘yicha −5,1 foizni, sof barqaror moliyalashtirish me’yori bo‘yicha esa bor-yo‘g‘i +2,1 foizni tashkil etgan. Shunday qilib, tafovut 2.3.1-rasmda ko‘rsatilgan zanjir bo‘ylab kamayib boradi va bu nazariy xulosani real bank ma’lumotlari to‘liq tasdiqlaydi. Muallif fikricha, bu natija integral baholash metodikasini ishlab chiqish uchun ikki muhim talabni belgilaydi. Birinchidan, metodikada aktivlar sifati bloki xalqaro standartlar, ya’ni MHXS 9 ning bosqichlar tasnifi asosida baholanishi, milliy ko‘rsatkichlar qo‘llanganda esa ular yashirin kredit riski koeffitsiyenti yordamida tuzatilishi lozim. Ikkinchidan, kapital blokida milliy hisobot bo‘yicha regulyativ kapital bilan bir qatorda MHXS bo‘yicha xususiy kapitalga asoslangan tuzatilgan kapital monandligi ham hisobga olinishi kerak.</w:t>
      </w:r>
    </w:p>
    <w:p>
      <w:pPr>
        <w:pStyle w:val="BodyText"/>
        <w:spacing w:line="360" w:lineRule="auto" w:before="0" w:after="0"/>
        <w:ind w:firstLine="709"/>
        <w:jc w:val="both"/>
      </w:pPr>
      <w:r>
        <w:rPr>
          <w:rFonts w:ascii="Times New Roman" w:hAnsi="Times New Roman" w:cs="Times New Roman" w:eastAsia="Times New Roman"/>
          <w:sz w:val="28"/>
        </w:rPr>
        <w:t xml:space="preserve">Tahlil natijalari amaldagi islohotlar yo‘nalishiga ham mos keladi. Xalqaro valyuta jamg‘armasi va Jahon bankining moliya sektorini baholash dasturi doirasida Markaziy bankning aktivlarni tasniflash va zaxiralash qoidalarini MHXS 9 ga yaqinlashtirish, muammoli kreditlarning ta’rifini xalqaro amaliyotga moslashtirish tavsiya etilgan</w:t>
      </w:r>
      <w:r>
        <w:rPr>
          <w:rStyle w:val="FootnoteReference"/>
        </w:rPr>
        <w:footnoteReference w:id="350"/>
      </w:r>
      <w:r>
        <w:rPr>
          <w:rFonts w:ascii="Times New Roman" w:hAnsi="Times New Roman" w:cs="Times New Roman" w:eastAsia="Times New Roman"/>
          <w:sz w:val="28"/>
        </w:rPr>
        <w:t xml:space="preserve">, Markaziy bank tomonidan qabul qilingan «yo‘l xaritasi»da esa aktivlar tasnifi va zaxiralarni MHXS 9 ga moslashtirish ishlari belgilangan</w:t>
      </w:r>
      <w:r>
        <w:rPr>
          <w:rStyle w:val="FootnoteReference"/>
        </w:rPr>
        <w:footnoteReference w:id="351"/>
      </w:r>
      <w:r>
        <w:rPr>
          <w:rFonts w:ascii="Times New Roman" w:hAnsi="Times New Roman" w:cs="Times New Roman" w:eastAsia="Times New Roman"/>
          <w:sz w:val="28"/>
        </w:rPr>
        <w:t xml:space="preserve">. Biroq «yo‘l xaritasi» amalga oshirilgunga qadar, shuningdek, keyinchalik ham tarixiy ma’lumotlarni solishtirish uchun ikki hisobot o‘rtasidagi tafovutni o‘lchash va hisobga olish vositasi zarur. Bunday vosita sifatida tadqiqotda quyidagi uch tuzatish koeffitsiyenti taklif etiladi: aktivlar sifati bloki uchun yashirin kredit riski koeffitsiyenti; kapital bloki uchun MHXS va milliy hisobot bo‘yicha xususiy kapital nisbati; daromadlilik bloki uchun ko‘p yillik jami sof foyda nisbati. Bu koeffitsiyentlarni har yili bankning auditdan o‘tgan MHXS hisoboti e’lon qilingandan so‘ng yangilab borish va oraliq davrlarda milliy hisobot ko‘rsatkichlariga qo‘llash mumkin. Shu bilan birga, banklarning MHXS hisobotlarida «O‘zsanoatqurilishbank» ATB 2025-yil hisobotida oshkor qilgan bosqichlar va milliy toifalar kesishma jadvalini barcha banklar uchun majburiy oshkor qilinadigan ma’lumotlar tarkibiga kiritish ikki tasnif o‘rtasidagi tafovutni nazorat qilish va ochiq ma’lumotlar asosida baholashni amalga oshirish imkonini beradi.</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ko‘rsatkichlarining milliy va MHXS hisobotlari bo‘yicha qiyosiy tahlili asosida xulosa qilish mumkinki, O‘zbekiston banklarida ikki hisobot o‘rtasidagi tafovut muntazam xususiyatga ega bo‘lib, uning asosiy manbai kreditlarni tasniflash va zaxira shakllantirish qoidalaridagi farqdir. «O‘zsanoatqurilishbank» ATB da MHXS bo‘yicha kapital milliy hisobotdagidan 3,2–13,5 foiz kam, besh yillik jami sof foyda 11,9 foiz kam bo‘lib, qadrsizlangan kreditlarning 57,2 foizi milliy tasnifda muammoli hisoblanmaydi. «Mikrokreditbank» ATB misolida esa milliy hisobot zararni bir yil kechikib tan olgani aniqlandi. Yashirin kredit riski koeffitsiyenti ikkala bankda ham 1,65–3,30 oralig‘ida bo‘lib, milliy muammoli kreditlar ko‘rsatkichi kredit riskini muntazam kamsitib ko‘rsatishini tasdiqlaydi. Tafovut aktivlar sifati blokida eng katta, kapital va daromadlilik bloklarida sezilarli, likvidlik blokida esa nisbatan kichik. Bu o‘z navbatida, dissertatsiyaning keyingi bobida taklif etiladigan integral baholash metodikasida aktivlar sifatini MHXS 9 asosida baholash, milliy ko‘rsatkichlarni esa taklif etilgan tuzatish koeffitsiyentlari yordamida xalqaro standartlarga moslashtirish zaruratini asoslaydi.</w:t>
      </w:r>
    </w:p>
    <w:bookmarkEnd w:id="12"/>
    <w:bookmarkStart w:id="13" w:name="ii-bob-boyicha-xulosalar"/>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II bob bo‘yicha xulosalar</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ikkinchi bobida O‘zbekiston bank tizimida moliyaviy barqarorlikni baholash amaliyotining xalqaro standartlarga muvofiqligi tahlil qilindi va quyidagi xulosalar shakllantirildi.</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O‘zbekistonda banklar moliyaviy barqarorligini baholash prudensial me’yorlar, risklarga asoslangan nazorat va makroprudensial monitoring orqali amalga oshiriladi. 2025-yilda kapital monandligiga qo‘yiladigan talablar to‘g‘risidagi yangi nizomning qabul qilinishi va Bazel III kapital buferlarining joriy etilishi bilan me’yoriy baza sezilarli darajada yangilandi. Biroq xalqaro standartlarga muvofiqlik asosan miqdoriy talablar bo‘yicha ta’minlangan, kapital sifati, aktivlar tasnifi, oshkoralik va erta ogohlantirish kabi mazmuniy elementlar hali shakllanish bosqichida.</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Amaldagi baholash tizimida bankning barqarorligini ochiq ma’lumotlar asosida, yagona integral ko‘rsatkich orqali va istiqbolli element bilan baholaydigan vosita mavjud emas.</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2021–2025-yillarda bank tizimi jadal o‘sib, davlat banklarining aktivlardagi ulushi 81,5 foizdan 63,5 foizgacha kamaydi, biroq ular tizimda ustunligicha qolmoqda. Regulyativ kapital monandligi 17,4–18,3 foiz, likvidlikni qoplash koeffitsiyenti va sof barqaror moliyalashtirish me’yori Bazel III talablaridan ancha yuqori. Shu bilan birga, salbiy stress-ssenariy kapitalning katta qismi jiddiy makroiqtisodiy shok sharoitida yo‘qolishi mumkinligini ko‘rsatdi, demak, bir sanadagi kapital ko‘rsatkichiga tayanuvchi baholash yetarli emas.</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Aktivlar sifati bank tizimining eng zaif bo‘g‘ini hisoblanadi. Rasmiy muammoli kreditlar ulushi 2021-yildagi 5,2 foizdan 2025-yilda 3 foizgacha pasaygan bo‘lsa-da, substandart va muammoli kreditlarning birgalikdagi ulushi 2023-yilda 19,5 foizga, 2024-yilda 21 foizga yetgan. «O‘zsanoatqurilishbank» ATB da substandart kreditlar ulushi 2021–2025-yillarda 6,2 foizdan 18,4 foizgacha, ya’ni qariyb uch barobar oshgan, bu esa kredit riskining yashirin to‘planishidan dalolat beradi.</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Bank darajasidagi tahlil davlat banklarida kapital yetarliligining yuqori ko‘rsatkichlari har doim ham bankning o‘z daromadi natijasi emasligini ko‘rsatdi. «Mikrokreditbank» ATB da 2021–2023-yillarda kapital rentabelligi 0,7–1,9 foiz bilan inflyatsiyadan ancha past bo‘lgan, 2024-yilda esa bank yashirin kredit riskining bir yo‘la tan olinishi natijasida 1 703,8 mlrd so‘m zarar ko‘rgan va kapital monandligi davlat tomonidan qayta kapitallashtirish hisobiga tiklangan.</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Milliy prudensial hisobot va MHXS bo‘yicha hisobot o‘rtasidagi tafovut muntazam xususiyatga ega bo‘lib, uning asosiy manbai kreditlarni tasniflash va zaxira shakllantirish qoidalaridagi farqdir. «O‘zsanoatqurilishbank» ATB da MHXS bo‘yicha xususiy kapital milliy hisobotdagidan 3,2–13,5 foiz, besh yillik jami sof foyda 11,9 foiz kam bo‘lib, kredit zaxiralari 1,3–2,2 barobar ko‘p. 2025-yil yakunida MHXS 9 bo‘yicha qadrsizlangan kreditlarning 57,2 foizi milliy tasnifda «standart» yoki «substandart» toifasida aks etgan. «Mikrokreditbank» ATB misolida esa besh yillik jami zarar ikki hisobotda deyarli bir xil bo‘lsa-da, milliy hisobot uni MHXS ga nisbatan bir yil kechikib tan olgani aniqlandi.</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Milliy hisobotdagi muammoli kreditlar ko‘rsatkichining kredit riskini kamsitib ko‘rsatish darajasini o‘lchash uchun yashirin kredit riski koeffitsiyenti, ya’ni MHXS 9 bo‘yicha 3-bosqich kreditlari ulushining milliy tasnifdagi muammoli kreditlar ulushiga nisbati taklif etildi. Koeffitsiyent «O‘zsanoatqurilishbank» ATB da 1,65–2,96, «Mikrokreditbank» ATB da 2,77–3,30 oralig‘ida bo‘lib, uning nisbiy barqarorligi milliy ko‘rsatkichlarni tuzatish koeffitsiyenti yordamida xalqaro standartlarga moslashtirishning metodologik asosliligini tasdiqlaydi.</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Milliy va xalqaro yondashuv o‘rtasidagi tafovut moliyaviy barqarorlik bloklari bo‘yicha bir tekis taqsimlanmagan: u aktivlar sifati blokida eng katta (muammoli kreditlar ulushi bo‘yicha qariyb uch barobar), daromadlilik va kapital bloklarida sezilarli (13–18 foiz, birinchi darajali asosiy kapital monandligi MHXS ma’lumotlari asosida qayta hisoblanganda 10,21 foizdan 8,87 foizgacha pasayadi), likvidlik blokida esa nisbatan kichik. Sof barqaror moliyalashtirish me’yorida metodika (+5,4 foiz punkt) va MHXS tuzatishlari (−2,8 foiz punkt) qarama-qarshi yo‘nalishda ta’sir ko‘rsatadi.</w:t>
      </w:r>
    </w:p>
    <w:p>
      <w:pPr>
        <w:numPr>
          <w:ilvl w:val="0"/>
          <w:numId w:val="12"/>
        </w:numPr>
        <w:spacing w:line="360" w:lineRule="auto" w:before="0" w:after="0"/>
        <w:ind w:firstLine="709"/>
        <w:jc w:val="both"/>
      </w:pPr>
      <w:r>
        <w:rPr>
          <w:rFonts w:ascii="Times New Roman" w:hAnsi="Times New Roman" w:cs="Times New Roman" w:eastAsia="Times New Roman"/>
          <w:sz w:val="28"/>
        </w:rPr>
        <w:t xml:space="preserve">Tahlil natijalari integral baholash metodikasini ishlab chiqish uchun quyidagi talablarni belgilaydi: aktivlar sifati bloki MHXS 9 ning bosqichlar tasnifi asosida baholanishi, milliy ko‘rsatkichlar qo‘llanganda esa ular yashirin kredit riski koeffitsiyenti bilan tuzatilishi; kapital blokida regulyativ kapital bilan bir qatorda MHXS bo‘yicha xususiy kapitalga asoslangan tuzatilgan kapital monandligi hisobga olinishi; likvidlik blokida koeffitsiyentlar Bazel III metodikasi bo‘yicha qayta hisoblanishi; davlat ko‘magiga bog‘liqlik alohida ko‘rsatkich sifatida baholanishi. Shuningdek, banklarning MHXS hisobotlarida MHXS 9 bosqichlari va Markaziy bank tasnifi toifalari kesishma jadvalini majburiy oshkor qilinadigan ma’lumotlar tarkibiga kiritish taklif etiladi.</w:t>
      </w:r>
    </w:p>
    <w:p>
      <w:pPr>
        <w:pStyle w:val="FirstParagraph"/>
        <w:spacing w:line="360" w:lineRule="auto" w:before="0" w:after="0"/>
        <w:ind w:firstLine="709"/>
        <w:jc w:val="both"/>
      </w:pPr>
      <w:r>
        <w:rPr>
          <w:rFonts w:ascii="Times New Roman" w:hAnsi="Times New Roman" w:cs="Times New Roman" w:eastAsia="Times New Roman"/>
          <w:sz w:val="28"/>
        </w:rPr>
        <w:t xml:space="preserve">Umuman olganda, rasmiy ko‘rsatkichlar bo‘yicha qoniqarli manzara ortida xalqaro standartlar bo‘yicha aniqlanadigan sezilarli risklar mavjud. Bu turli yo‘nalishdagi signallarni yagona bahoga keltiradigan, aktivlar sifatini xalqaro standartlar asosida hisobga oladigan va milliy hamda MHXS hisobotlari o‘rtasidagi tafovutni tuzatadigan integral baholash metodikasini ishlab chiqish zaruratini asoslaydi. Bunday metodika dissertatsiyaning uchinchi bobida taklif etiladi.</w:t>
      </w:r>
    </w:p>
    <w:bookmarkEnd w:id="13"/>
    <w:p>
      <w:pPr>
        <w:pStyle w:val="Heading1"/>
        <w:pageBreakBefore/>
        <w:jc w:val="center"/>
      </w:pPr>
      <w:r>
        <w:t>III BOB. XALQARO STANDARTLARGA ASOSLANGAN INTEGRAL BAHOLASH METODIKASI VA UNING EKONOMETRIK ASOSLANISHI</w:t>
      </w:r>
    </w:p>
    <w:bookmarkStart w:id="14" w:name="X1b5accc681c3101e34ae1424a5e2c752f5d3c99"/>
    <w:p>
      <w:pPr>
        <w:pStyle w:val="Heading2"/>
        <w:keepNext/>
        <w:spacing w:line="360" w:lineRule="auto" w:before="240" w:after="120"/>
        <w:ind w:firstLine="0"/>
        <w:jc w:val="center"/>
      </w:pPr>
      <w:r>
        <w:rPr>
          <w:rFonts w:ascii="Times New Roman" w:hAnsi="Times New Roman" w:cs="Times New Roman" w:eastAsia="Times New Roman"/>
          <w:b/>
          <w:i w:val="0"/>
          <w:sz w:val="28"/>
        </w:rPr>
        <w:t xml:space="preserve">3.1-§. Moliyaviy barqarorlikni integral indeks asosida baholashning takomillashtirilgan metodikasi</w:t>
      </w:r>
    </w:p>
    <w:p>
      <w:pPr>
        <w:pStyle w:val="FirstParagraph"/>
        <w:spacing w:line="360" w:lineRule="auto" w:before="0" w:after="0"/>
        <w:ind w:firstLine="709"/>
        <w:jc w:val="both"/>
      </w:pPr>
      <w:r>
        <w:rPr>
          <w:rFonts w:ascii="Times New Roman" w:hAnsi="Times New Roman" w:cs="Times New Roman" w:eastAsia="Times New Roman"/>
          <w:sz w:val="28"/>
        </w:rPr>
        <w:t xml:space="preserve">Dissertatsiyaning birinchi bobida tijorat banklari moliyaviy barqarorligini baholash metodikasi Bazel III mezonlariga bog‘langan, aktivlar sifatini MHXS 9 tamoyillari asosida baholaydigan va xalqaro taqqoslanadigan ko‘rsatkichlarga tayanadigan integral yondashuvga asoslanishi lozimligi nazariy jihatdan asoslandi. Ikkinchi bobda esa O‘zbekistonning amaldagi baholash tizimi bu talablarga to‘liq javob bermasligi va buning amaliy oqibatlari aniqlandi. Ushbu paragrafda ikki bob natijalari asosida muallif tomonidan ishlab chiqilgan moliyaviy barqarorlikning integral indeksi (keyingi o‘rinlarda – MBII) va uni hisoblash metodikasi taklif etiladi. Integral ko‘rsatkichga bo‘lgan ehtiyojni O.I. Lavrushin tahriri ostidagi monografiya mualliflari ham qayd etib, bank tizimi barqarorligini tavsiflovchi ko‘rsatkichlar mezoniy qiymatlarga va yagona integral ko‘rsatkichga ega bo‘lishi kerakligini ta’kidlagan</w:t>
      </w:r>
      <w:r>
        <w:rPr>
          <w:rStyle w:val="FootnoteReference"/>
        </w:rPr>
        <w:footnoteReference w:id="352"/>
      </w:r>
      <w:r>
        <w:rPr>
          <w:rFonts w:ascii="Times New Roman" w:hAnsi="Times New Roman" w:cs="Times New Roman" w:eastAsia="Times New Roman"/>
          <w:sz w:val="28"/>
        </w:rPr>
        <w:t xml:space="preserve">. Biroq O‘zbekistonda bank faoliyatini tahlil qilishga bag‘ishlangan asosiy darsliklar va monografiyalarda moliyaviy barqarorlik ko‘rsatkichlari alohida-alohida tahlil qilinib, ularni yagona bahoga keltiruvchi metodika taklif etilmagan</w:t>
      </w:r>
      <w:r>
        <w:rPr>
          <w:rStyle w:val="FootnoteReference"/>
        </w:rPr>
        <w:footnoteReference w:id="353"/>
      </w:r>
      <w:r>
        <w:rPr>
          <w:rStyle w:val="FootnoteReference"/>
        </w:rPr>
        <w:footnoteReference w:id="354"/>
      </w:r>
      <w:r>
        <w:rPr>
          <w:rFonts w:ascii="Times New Roman" w:hAnsi="Times New Roman" w:cs="Times New Roman" w:eastAsia="Times New Roman"/>
          <w:sz w:val="28"/>
        </w:rPr>
        <w:t xml:space="preserve">. T.M. Karaliyev va I.F. Sayfiddinov esa respublikamizda qo‘llangan CAMEL tizimining kamchiliklari sifatida tengdosh banklar bilan qiyosiy baholashning yo‘qligini va omillar uchun solishtirma vaznlar belgilanmaganini ko‘rsatgan</w:t>
      </w:r>
      <w:r>
        <w:rPr>
          <w:rStyle w:val="FootnoteReference"/>
        </w:rPr>
        <w:footnoteReference w:id="35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Metodikaga qo‘yiladigan talablarni aniqlash uchun ikkinchi bobda aniqlangan har bir muammo uning yechimi bo‘lishi lozim bo‘lgan metodika elementi bilan solishtirildi (3.1.1-jadval).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Amaldagi baholash tizimi muammolari va ularni hal etuvchi metodika elementlari</w:t>
      </w:r>
      <w:r>
        <w:rPr>
          <w:rStyle w:val="FootnoteReference"/>
        </w:rPr>
        <w:footnoteReference w:id="356"/>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061"/>
        <w:gridCol w:w="2948"/>
        <w:gridCol w:w="3288"/>
      </w:tblGrid>
      <w:tr>
        <w:trPr>
          <w:tblHeader w:val="true"/>
          <w:cantSplit/>
          <w:tblHeader/>
        </w:trPr>
        <w:tc>
          <w:tcPr>
            <w:tcW w:type="dxa" w:w="30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Aniqlangan muammo</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Dalil (II bob)</w:t>
            </w:r>
          </w:p>
        </w:tc>
        <w:tc>
          <w:tcPr>
            <w:tcW w:type="dxa" w:w="328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Metodika elementi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Ko‘rsatkichlar turli yo‘nalishda signal beradi, yagona baho yo‘q</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2.2-§: kapital va likvidlik yuqori, aktivlar sifati zaif</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Bloklar baholarini vaznlab birlashtiruvchi integral indeks</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Milliy muammoli kreditlar ko‘rsatkichi kredit riskini kamsitadi</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2.3-§: yashirin kredit riski koeffitsiyenti 1,65–3,30</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Aktivlar sifati MHXS 9 bosqichlari bo‘yicha baholanadi, milliy ma’lumotlar tuzatiladi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Kapital MHXS bo‘yicha kam, tafovut ortib bormoqda</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2.3-§: CET1 10,21% o‘rniga 8,87%</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Kapital bloki MHXS asosida qayta hisoblangan koeffitsiyentlarni qamraydi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Likvidlik me’yorlari Bazel III dan soddalashtirilgan</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2.3-§: NSFR metodika farqi 5,4 foiz punkt, LCR da banklardagi mablag‘lar 30,9%</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Likvidlik bloki Bazel III metodikasi bo‘yicha hisoblanadi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Chegaralar faqat «bajarildi – bajarilmadi» shaklida</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2.1-§: normativlar faqat bajarilgan yoki bajarilmagani bo‘yicha nazorat qilinadi</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Har bir ko‘rsatkich uchun to‘rt darajali chegaralar va uzluksiz ball</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Dollarlashuv yuqori, valyuta riski baholanmaydi</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2.2-§: xorijiy valyutadagi kreditlar ulushi 38–49%</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Valyuta riskiga sezgirlik bloki</w:t>
            </w:r>
          </w:p>
        </w:tc>
      </w:tr>
      <w:tr>
        <w:trPr>
          <w:cantSplit/>
        </w:trPr>
        <w:tc>
          <w:tcPr>
            <w:tcW w:type="dxa" w:w="3061"/>
          </w:tcPr>
          <w:p>
            <w:pPr>
              <w:pStyle w:val="Compact"/>
              <w:spacing w:line="240" w:lineRule="auto"/>
              <w:ind w:firstLine="0"/>
              <w:jc w:val="left"/>
            </w:pPr>
            <w:r>
              <w:rPr>
                <w:rFonts w:ascii="Times New Roman" w:hAnsi="Times New Roman" w:cs="Times New Roman" w:eastAsia="Times New Roman"/>
                <w:sz w:val="22"/>
              </w:rPr>
              <w:t xml:space="preserve">Davlat banklarida kapital davlat ko‘magiga bog‘liq</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2.2-§: «Mikrokreditbank» ATB qayta kapitallashtirilgan</w:t>
            </w:r>
          </w:p>
        </w:tc>
        <w:tc>
          <w:tcPr>
            <w:tcW w:type="dxa" w:w="3288"/>
          </w:tcPr>
          <w:p>
            <w:pPr>
              <w:pStyle w:val="Compact"/>
              <w:spacing w:line="240" w:lineRule="auto"/>
              <w:ind w:firstLine="0"/>
              <w:jc w:val="left"/>
            </w:pPr>
            <w:r>
              <w:rPr>
                <w:rFonts w:ascii="Times New Roman" w:hAnsi="Times New Roman" w:cs="Times New Roman" w:eastAsia="Times New Roman"/>
                <w:sz w:val="22"/>
              </w:rPr>
              <w:t xml:space="preserve">Indeksni davlat ko‘magisiz hisoblash imkoniyati (3.2-§)</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metodika uchta asosiy vazifani hal etishi lozim: birinchidan, turli yo‘nalishdagi signallarni yagona bahoga keltirish; ikkinchidan, ko‘rsatkichlarni xalqaro standartlar asosida hisoblash yoki milliy ma’lumotlarni ularga moslashtirish; uchinchidan, chegaraviy qiymatlarni binar emas, balki darajali tarzda belgilab, bankning me’yordan qanchalik uzoq yoki yaqin turganini aks ettirish. Bu vazifalar metodikaning hisoblash algoritmini belgilaydi (3.1.1-rasm).</w:t>
      </w:r>
    </w:p>
    <w:p xmlns:a="http://schemas.openxmlformats.org/drawingml/2006/main">
      <w:pPr>
        <w:pStyle w:val="BodyText"/>
        <w:keepNext/>
        <w:spacing w:line="240" w:lineRule="auto" w:before="0" w:after="0"/>
        <w:ind w:firstLine="0"/>
        <w:jc w:val="center"/>
      </w:pPr>
      <w:r>
        <w:rPr>
          <w:noProof/>
        </w:rPr>
        <mc:AlternateContent>
          <mc:Choice Requires="wpg">
            <w:drawing>
              <wp:inline distT="0" distB="0" distL="0" distR="0">
                <wp:extent cx="5940000" cy="1944000"/>
                <wp:effectExtent l="0" t="0" r="0" b="0"/>
                <wp:docPr id="40" name="3.1.1-rasm"/>
                <wp:cNvGraphicFramePr/>
                <a:graphic>
                  <a:graphicData uri="http://schemas.microsoft.com/office/word/2010/wordprocessingGroup">
                    <wpg:wgp>
                      <wpg:cNvGrpSpPr/>
                      <wpg:grpSpPr>
                        <a:xfrm>
                          <a:off x="0" y="0"/>
                          <a:ext cx="5940000" cy="1944000"/>
                          <a:chOff x="0" y="0"/>
                          <a:chExt cx="5940000" cy="1944000"/>
                        </a:xfrm>
                      </wpg:grpSpPr>
                      <wps:wsp>
                        <wps:cNvPr id="2" name="Shape 2"/>
                        <wps:cNvSpPr/>
                        <wps:spPr>
                          <a:xfrm>
                            <a:off x="36000" y="72000"/>
                            <a:ext cx="1296000" cy="720000"/>
                          </a:xfrm>
                          <a:prstGeom prst="roundRect">
                            <a:avLst>
                              <a:gd name="adj" fmla="val 10000"/>
                            </a:avLst>
                          </a:prstGeom>
                          <a:solidFill>
                            <a:srgbClr val="1F4E79"/>
                          </a:solidFill>
                          <a:ln w="12700">
                            <a:solidFill>
                              <a:srgbClr val="1F4E79"/>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1. Ma’lumotlar:</w:t>
                              </w:r>
                            </w:p>
                            <w:p>
                              <w:pPr>
                                <w:spacing w:before="0" w:after="0" w:line="228" w:lineRule="auto"/>
                                <w:jc w:val="center"/>
                                <w:ind w:firstLine="0"/>
                              </w:pPr>
                              <w:r>
                                <w:rPr>
                                  <w:rFonts w:ascii="Times New Roman" w:hAnsi="Times New Roman" w:cs="Times New Roman"/>
                                  <w:b/>
                                  <w:color w:val="FFFFFF"/>
                                  <w:sz w:val="20"/>
                                  <w:szCs w:val="20"/>
                                </w:rPr>
                                <w:t xml:space="preserve">milliy hisobot /</w:t>
                              </w:r>
                            </w:p>
                            <w:p>
                              <w:pPr>
                                <w:spacing w:before="0" w:after="0" w:line="228" w:lineRule="auto"/>
                                <w:jc w:val="center"/>
                                <w:ind w:firstLine="0"/>
                              </w:pPr>
                              <w:r>
                                <w:rPr>
                                  <w:rFonts w:ascii="Times New Roman" w:hAnsi="Times New Roman" w:cs="Times New Roman"/>
                                  <w:b/>
                                  <w:color w:val="FFFFFF"/>
                                  <w:sz w:val="20"/>
                                  <w:szCs w:val="20"/>
                                </w:rPr>
                                <w:t xml:space="preserve">MHXS hisoboti</w:t>
                              </w:r>
                            </w:p>
                          </w:txbxContent>
                        </wps:txbx>
                        <wps:bodyPr rot="0" vert="horz" wrap="square" lIns="36000" tIns="18000" rIns="36000" bIns="18000" anchor="ctr" anchorCtr="0">
                          <a:noAutofit/>
                        </wps:bodyPr>
                      </wps:wsp>
                      <wps:wsp>
                        <wps:cNvPr id="3" name="Shape 3"/>
                        <wps:cNvSpPr/>
                        <wps:spPr>
                          <a:xfrm>
                            <a:off x="1548000" y="72000"/>
                            <a:ext cx="1296000" cy="720000"/>
                          </a:xfrm>
                          <a:prstGeom prst="roundRect">
                            <a:avLst>
                              <a:gd name="adj" fmla="val 10000"/>
                            </a:avLst>
                          </a:prstGeom>
                          <a:solidFill>
                            <a:srgbClr val="EB6834"/>
                          </a:solidFill>
                          <a:ln w="12700">
                            <a:solidFill>
                              <a:srgbClr val="EB6834"/>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2. MHXS yo‘q bo‘lsa:</w:t>
                              </w:r>
                            </w:p>
                            <w:p>
                              <w:pPr>
                                <w:spacing w:before="0" w:after="0" w:line="228" w:lineRule="auto"/>
                                <w:jc w:val="center"/>
                                <w:ind w:firstLine="0"/>
                              </w:pPr>
                              <w:r>
                                <w:rPr>
                                  <w:rFonts w:ascii="Times New Roman" w:hAnsi="Times New Roman" w:cs="Times New Roman"/>
                                  <w:b/>
                                  <w:color w:val="FFFFFF"/>
                                  <w:sz w:val="20"/>
                                  <w:szCs w:val="20"/>
                                </w:rPr>
                                <w:t xml:space="preserve">tuzatish</w:t>
                              </w:r>
                            </w:p>
                            <w:p>
                              <w:pPr>
                                <w:spacing w:before="0" w:after="0" w:line="228" w:lineRule="auto"/>
                                <w:jc w:val="center"/>
                                <w:ind w:firstLine="0"/>
                              </w:pPr>
                              <w:r>
                                <w:rPr>
                                  <w:rFonts w:ascii="Times New Roman" w:hAnsi="Times New Roman" w:cs="Times New Roman"/>
                                  <w:b/>
                                  <w:color w:val="FFFFFF"/>
                                  <w:sz w:val="20"/>
                                  <w:szCs w:val="20"/>
                                </w:rPr>
                                <w:t xml:space="preserve">koeffitsiyentlari</w:t>
                              </w:r>
                            </w:p>
                          </w:txbxContent>
                        </wps:txbx>
                        <wps:bodyPr rot="0" vert="horz" wrap="square" lIns="36000" tIns="18000" rIns="36000" bIns="18000" anchor="ctr" anchorCtr="0">
                          <a:noAutofit/>
                        </wps:bodyPr>
                      </wps:wsp>
                      <wps:wsp>
                        <wps:cNvPr id="4" name="Shape 4"/>
                        <wps:cNvSpPr/>
                        <wps:spPr>
                          <a:xfrm>
                            <a:off x="3060000" y="72000"/>
                            <a:ext cx="1296000" cy="72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3. 14 ta ko‘rsatkichni</w:t>
                              </w:r>
                            </w:p>
                            <w:p>
                              <w:pPr>
                                <w:spacing w:before="0" w:after="0" w:line="228" w:lineRule="auto"/>
                                <w:jc w:val="center"/>
                                <w:ind w:firstLine="0"/>
                              </w:pPr>
                              <w:r>
                                <w:rPr>
                                  <w:rFonts w:ascii="Times New Roman" w:hAnsi="Times New Roman" w:cs="Times New Roman"/>
                                  <w:b/>
                                  <w:color w:val="FFFFFF"/>
                                  <w:sz w:val="20"/>
                                  <w:szCs w:val="20"/>
                                </w:rPr>
                                <w:t xml:space="preserve">hisoblash</w:t>
                              </w:r>
                            </w:p>
                          </w:txbxContent>
                        </wps:txbx>
                        <wps:bodyPr rot="0" vert="horz" wrap="square" lIns="36000" tIns="18000" rIns="36000" bIns="18000" anchor="ctr" anchorCtr="0">
                          <a:noAutofit/>
                        </wps:bodyPr>
                      </wps:wsp>
                      <wps:wsp>
                        <wps:cNvPr id="5" name="Shape 5"/>
                        <wps:cNvSpPr/>
                        <wps:spPr>
                          <a:xfrm>
                            <a:off x="4572000" y="72000"/>
                            <a:ext cx="1296000" cy="720000"/>
                          </a:xfrm>
                          <a:prstGeom prst="roundRect">
                            <a:avLst>
                              <a:gd name="adj" fmla="val 10000"/>
                            </a:avLst>
                          </a:prstGeom>
                          <a:solidFill>
                            <a:srgbClr val="2A78D6"/>
                          </a:solidFill>
                          <a:ln w="12700">
                            <a:solidFill>
                              <a:srgbClr val="2A78D6"/>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4. Uzluksiz</w:t>
                              </w:r>
                            </w:p>
                            <w:p>
                              <w:pPr>
                                <w:spacing w:before="0" w:after="0" w:line="228" w:lineRule="auto"/>
                                <w:jc w:val="center"/>
                                <w:ind w:firstLine="0"/>
                              </w:pPr>
                              <w:r>
                                <w:rPr>
                                  <w:rFonts w:ascii="Times New Roman" w:hAnsi="Times New Roman" w:cs="Times New Roman"/>
                                  <w:b/>
                                  <w:color w:val="FFFFFF"/>
                                  <w:sz w:val="20"/>
                                  <w:szCs w:val="20"/>
                                </w:rPr>
                                <w:t xml:space="preserve">shkalada ballash</w:t>
                              </w:r>
                            </w:p>
                            <w:p>
                              <w:pPr>
                                <w:spacing w:before="0" w:after="0" w:line="228" w:lineRule="auto"/>
                                <w:jc w:val="center"/>
                                <w:ind w:firstLine="0"/>
                              </w:pPr>
                              <w:r>
                                <w:rPr>
                                  <w:rFonts w:ascii="Times New Roman" w:hAnsi="Times New Roman" w:cs="Times New Roman"/>
                                  <w:b/>
                                  <w:color w:val="FFFFFF"/>
                                  <w:sz w:val="20"/>
                                  <w:szCs w:val="20"/>
                                </w:rPr>
                                <w:t xml:space="preserve">(1–4)</w:t>
                              </w:r>
                            </w:p>
                          </w:txbxContent>
                        </wps:txbx>
                        <wps:bodyPr rot="0" vert="horz" wrap="square" lIns="36000" tIns="18000" rIns="36000" bIns="18000" anchor="ctr" anchorCtr="0">
                          <a:noAutofit/>
                        </wps:bodyPr>
                      </wps:wsp>
                      <wps:wsp>
                        <wps:cNvPr id="6" name="Shape 6"/>
                        <wps:cNvSpPr/>
                        <wps:spPr>
                          <a:xfrm>
                            <a:off x="4572000" y="1152000"/>
                            <a:ext cx="1296000" cy="72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5. Bloklar</w:t>
                              </w:r>
                            </w:p>
                            <w:p>
                              <w:pPr>
                                <w:spacing w:before="0" w:after="0" w:line="228" w:lineRule="auto"/>
                                <w:jc w:val="center"/>
                                <w:ind w:firstLine="0"/>
                              </w:pPr>
                              <w:r>
                                <w:rPr>
                                  <w:rFonts w:ascii="Times New Roman" w:hAnsi="Times New Roman" w:cs="Times New Roman"/>
                                  <w:b/>
                                  <w:color w:val="FFFFFF"/>
                                  <w:sz w:val="20"/>
                                  <w:szCs w:val="20"/>
                                </w:rPr>
                                <w:t xml:space="preserve">ballari</w:t>
                              </w:r>
                            </w:p>
                          </w:txbxContent>
                        </wps:txbx>
                        <wps:bodyPr rot="0" vert="horz" wrap="square" lIns="36000" tIns="18000" rIns="36000" bIns="18000" anchor="ctr" anchorCtr="0">
                          <a:noAutofit/>
                        </wps:bodyPr>
                      </wps:wsp>
                      <wps:wsp>
                        <wps:cNvPr id="7" name="Shape 7"/>
                        <wps:cNvSpPr/>
                        <wps:spPr>
                          <a:xfrm>
                            <a:off x="3060000" y="1152000"/>
                            <a:ext cx="1296000" cy="720000"/>
                          </a:xfrm>
                          <a:prstGeom prst="roundRect">
                            <a:avLst>
                              <a:gd name="adj" fmla="val 10000"/>
                            </a:avLst>
                          </a:prstGeom>
                          <a:solidFill>
                            <a:srgbClr val="70AD47"/>
                          </a:solidFill>
                          <a:ln w="12700">
                            <a:solidFill>
                              <a:srgbClr val="70AD47"/>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6. Vaznlash:</w:t>
                              </w:r>
                            </w:p>
                            <w:p>
                              <w:pPr>
                                <w:spacing w:before="0" w:after="0" w:line="228" w:lineRule="auto"/>
                                <w:jc w:val="center"/>
                                <w:ind w:firstLine="0"/>
                              </w:pPr>
                              <w:r>
                                <w:rPr>
                                  <w:rFonts w:ascii="Times New Roman" w:hAnsi="Times New Roman" w:cs="Times New Roman"/>
                                  <w:b/>
                                  <w:color w:val="FFFFFF"/>
                                  <w:sz w:val="20"/>
                                  <w:szCs w:val="20"/>
                                </w:rPr>
                                <w:t xml:space="preserve">0,25; 0,30; 0,20;</w:t>
                              </w:r>
                            </w:p>
                            <w:p>
                              <w:pPr>
                                <w:spacing w:before="0" w:after="0" w:line="228" w:lineRule="auto"/>
                                <w:jc w:val="center"/>
                                <w:ind w:firstLine="0"/>
                              </w:pPr>
                              <w:r>
                                <w:rPr>
                                  <w:rFonts w:ascii="Times New Roman" w:hAnsi="Times New Roman" w:cs="Times New Roman"/>
                                  <w:b/>
                                  <w:color w:val="FFFFFF"/>
                                  <w:sz w:val="20"/>
                                  <w:szCs w:val="20"/>
                                </w:rPr>
                                <w:t xml:space="preserve">0,15; 0,10</w:t>
                              </w:r>
                            </w:p>
                          </w:txbxContent>
                        </wps:txbx>
                        <wps:bodyPr rot="0" vert="horz" wrap="square" lIns="36000" tIns="18000" rIns="36000" bIns="18000" anchor="ctr" anchorCtr="0">
                          <a:noAutofit/>
                        </wps:bodyPr>
                      </wps:wsp>
                      <wps:wsp>
                        <wps:cNvPr id="8" name="Shape 8"/>
                        <wps:cNvSpPr/>
                        <wps:spPr>
                          <a:xfrm>
                            <a:off x="1548000" y="1152000"/>
                            <a:ext cx="1296000" cy="720000"/>
                          </a:xfrm>
                          <a:prstGeom prst="roundRect">
                            <a:avLst>
                              <a:gd name="adj" fmla="val 10000"/>
                            </a:avLst>
                          </a:prstGeom>
                          <a:solidFill>
                            <a:srgbClr val="7030A0"/>
                          </a:solidFill>
                          <a:ln w="12700">
                            <a:solidFill>
                              <a:srgbClr val="7030A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7. MBII va</w:t>
                              </w:r>
                            </w:p>
                            <w:p>
                              <w:pPr>
                                <w:spacing w:before="0" w:after="0" w:line="228" w:lineRule="auto"/>
                                <w:jc w:val="center"/>
                                <w:ind w:firstLine="0"/>
                              </w:pPr>
                              <w:r>
                                <w:rPr>
                                  <w:rFonts w:ascii="Times New Roman" w:hAnsi="Times New Roman" w:cs="Times New Roman"/>
                                  <w:b/>
                                  <w:color w:val="FFFFFF"/>
                                  <w:sz w:val="20"/>
                                  <w:szCs w:val="20"/>
                                </w:rPr>
                                <w:t xml:space="preserve">barqarorlik</w:t>
                              </w:r>
                            </w:p>
                            <w:p>
                              <w:pPr>
                                <w:spacing w:before="0" w:after="0" w:line="228" w:lineRule="auto"/>
                                <w:jc w:val="center"/>
                                <w:ind w:firstLine="0"/>
                              </w:pPr>
                              <w:r>
                                <w:rPr>
                                  <w:rFonts w:ascii="Times New Roman" w:hAnsi="Times New Roman" w:cs="Times New Roman"/>
                                  <w:b/>
                                  <w:color w:val="FFFFFF"/>
                                  <w:sz w:val="20"/>
                                  <w:szCs w:val="20"/>
                                </w:rPr>
                                <w:t xml:space="preserve">sinfi</w:t>
                              </w:r>
                            </w:p>
                          </w:txbxContent>
                        </wps:txbx>
                        <wps:bodyPr rot="0" vert="horz" wrap="square" lIns="36000" tIns="18000" rIns="36000" bIns="18000" anchor="ctr" anchorCtr="0">
                          <a:noAutofit/>
                        </wps:bodyPr>
                      </wps:wsp>
                      <wps:wsp>
                        <wps:cNvPr id="9" name="Shape 9"/>
                        <wps:cNvSpPr/>
                        <wps:spPr>
                          <a:xfrm>
                            <a:off x="36000" y="1152000"/>
                            <a:ext cx="1296000" cy="720000"/>
                          </a:xfrm>
                          <a:prstGeom prst="roundRect">
                            <a:avLst>
                              <a:gd name="adj" fmla="val 10000"/>
                            </a:avLst>
                          </a:prstGeom>
                          <a:solidFill>
                            <a:srgbClr val="C00000"/>
                          </a:solidFill>
                          <a:ln w="12700">
                            <a:solidFill>
                              <a:srgbClr val="C00000"/>
                            </a:solidFill>
                          </a:ln>
                        </wps:spPr>
                        <wps:txbx>
                          <w:txbxContent>
                            <w:p>
                              <w:pPr>
                                <w:spacing w:before="0" w:after="0" w:line="228" w:lineRule="auto"/>
                                <w:jc w:val="center"/>
                                <w:ind w:firstLine="0"/>
                              </w:pPr>
                              <w:r>
                                <w:rPr>
                                  <w:rFonts w:ascii="Times New Roman" w:hAnsi="Times New Roman" w:cs="Times New Roman"/>
                                  <w:b/>
                                  <w:color w:val="FFFFFF"/>
                                  <w:sz w:val="20"/>
                                  <w:szCs w:val="20"/>
                                </w:rPr>
                                <w:t xml:space="preserve">8. Nazorat choralari,</w:t>
                              </w:r>
                            </w:p>
                            <w:p>
                              <w:pPr>
                                <w:spacing w:before="0" w:after="0" w:line="228" w:lineRule="auto"/>
                                <w:jc w:val="center"/>
                                <w:ind w:firstLine="0"/>
                              </w:pPr>
                              <w:r>
                                <w:rPr>
                                  <w:rFonts w:ascii="Times New Roman" w:hAnsi="Times New Roman" w:cs="Times New Roman"/>
                                  <w:b/>
                                  <w:color w:val="FFFFFF"/>
                                  <w:sz w:val="20"/>
                                  <w:szCs w:val="20"/>
                                </w:rPr>
                                <w:t xml:space="preserve">ΔMBII, erta</w:t>
                              </w:r>
                            </w:p>
                            <w:p>
                              <w:pPr>
                                <w:spacing w:before="0" w:after="0" w:line="228" w:lineRule="auto"/>
                                <w:jc w:val="center"/>
                                <w:ind w:firstLine="0"/>
                              </w:pPr>
                              <w:r>
                                <w:rPr>
                                  <w:rFonts w:ascii="Times New Roman" w:hAnsi="Times New Roman" w:cs="Times New Roman"/>
                                  <w:b/>
                                  <w:color w:val="FFFFFF"/>
                                  <w:sz w:val="20"/>
                                  <w:szCs w:val="20"/>
                                </w:rPr>
                                <w:t xml:space="preserve">ogohlantirish</w:t>
                              </w:r>
                            </w:p>
                          </w:txbxContent>
                        </wps:txbx>
                        <wps:bodyPr rot="0" vert="horz" wrap="square" lIns="36000" tIns="18000" rIns="36000" bIns="18000" anchor="ctr" anchorCtr="0">
                          <a:noAutofit/>
                        </wps:bodyPr>
                      </wps:wsp>
                      <wps:wsp>
                        <wps:cNvPr id="10" name="Connector 10"/>
                        <wps:cNvCnPr/>
                        <wps:spPr>
                          <a:xfrm>
                            <a:off x="1339200" y="432000"/>
                            <a:ext cx="201600" cy="0"/>
                          </a:xfrm>
                          <a:prstGeom prst="straightConnector1">
                            <a:avLst/>
                          </a:prstGeom>
                          <a:ln w="19050">
                            <a:solidFill>
                              <a:srgbClr val="404040"/>
                            </a:solidFill>
                            <a:tailEnd type="triangle" w="med" len="med"/>
                          </a:ln>
                        </wps:spPr>
                        <wps:bodyPr/>
                      </wps:wsp>
                      <wps:wsp>
                        <wps:cNvPr id="11" name="Connector 11"/>
                        <wps:cNvCnPr/>
                        <wps:spPr>
                          <a:xfrm>
                            <a:off x="2851200" y="432000"/>
                            <a:ext cx="201600" cy="0"/>
                          </a:xfrm>
                          <a:prstGeom prst="straightConnector1">
                            <a:avLst/>
                          </a:prstGeom>
                          <a:ln w="19050">
                            <a:solidFill>
                              <a:srgbClr val="404040"/>
                            </a:solidFill>
                            <a:tailEnd type="triangle" w="med" len="med"/>
                          </a:ln>
                        </wps:spPr>
                        <wps:bodyPr/>
                      </wps:wsp>
                      <wps:wsp>
                        <wps:cNvPr id="12" name="Connector 12"/>
                        <wps:cNvCnPr/>
                        <wps:spPr>
                          <a:xfrm>
                            <a:off x="4363200" y="432000"/>
                            <a:ext cx="201600" cy="0"/>
                          </a:xfrm>
                          <a:prstGeom prst="straightConnector1">
                            <a:avLst/>
                          </a:prstGeom>
                          <a:ln w="19050">
                            <a:solidFill>
                              <a:srgbClr val="404040"/>
                            </a:solidFill>
                            <a:tailEnd type="triangle" w="med" len="med"/>
                          </a:ln>
                        </wps:spPr>
                        <wps:bodyPr/>
                      </wps:wsp>
                      <wps:wsp>
                        <wps:cNvPr id="13" name="Connector 13"/>
                        <wps:cNvCnPr/>
                        <wps:spPr>
                          <a:xfrm>
                            <a:off x="5220000" y="799200"/>
                            <a:ext cx="0" cy="345600"/>
                          </a:xfrm>
                          <a:prstGeom prst="straightConnector1">
                            <a:avLst/>
                          </a:prstGeom>
                          <a:ln w="19050">
                            <a:solidFill>
                              <a:srgbClr val="404040"/>
                            </a:solidFill>
                            <a:tailEnd type="triangle" w="med" len="med"/>
                          </a:ln>
                        </wps:spPr>
                        <wps:bodyPr/>
                      </wps:wsp>
                      <wps:wsp>
                        <wps:cNvPr id="14" name="Connector 14"/>
                        <wps:cNvCnPr/>
                        <wps:spPr>
                          <a:xfrm flipH="1">
                            <a:off x="4363200" y="1512000"/>
                            <a:ext cx="201600" cy="0"/>
                          </a:xfrm>
                          <a:prstGeom prst="straightConnector1">
                            <a:avLst/>
                          </a:prstGeom>
                          <a:ln w="19050">
                            <a:solidFill>
                              <a:srgbClr val="404040"/>
                            </a:solidFill>
                            <a:tailEnd type="triangle" w="med" len="med"/>
                          </a:ln>
                        </wps:spPr>
                        <wps:bodyPr/>
                      </wps:wsp>
                      <wps:wsp>
                        <wps:cNvPr id="15" name="Connector 15"/>
                        <wps:cNvCnPr/>
                        <wps:spPr>
                          <a:xfrm flipH="1">
                            <a:off x="2851200" y="1512000"/>
                            <a:ext cx="201600" cy="0"/>
                          </a:xfrm>
                          <a:prstGeom prst="straightConnector1">
                            <a:avLst/>
                          </a:prstGeom>
                          <a:ln w="19050">
                            <a:solidFill>
                              <a:srgbClr val="404040"/>
                            </a:solidFill>
                            <a:tailEnd type="triangle" w="med" len="med"/>
                          </a:ln>
                        </wps:spPr>
                        <wps:bodyPr/>
                      </wps:wsp>
                      <wps:wsp>
                        <wps:cNvPr id="16" name="Connector 16"/>
                        <wps:cNvCnPr/>
                        <wps:spPr>
                          <a:xfrm flipH="1">
                            <a:off x="1339200" y="1512000"/>
                            <a:ext cx="201600" cy="0"/>
                          </a:xfrm>
                          <a:prstGeom prst="straightConnector1">
                            <a:avLst/>
                          </a:prstGeom>
                          <a:ln w="19050">
                            <a:solidFill>
                              <a:srgbClr val="404040"/>
                            </a:solidFill>
                            <a:tailEnd type="triangle" w="med" len="med"/>
                          </a:ln>
                        </wps:spPr>
                        <wps:bodyPr/>
                      </wps:wsp>
                    </wpg:wgp>
                  </a:graphicData>
                </a:graphic>
              </wp:inline>
            </w:drawing>
          </mc:Choice>
          <mc:Fallback/>
        </mc:AlternateContent>
      </w:r>
    </w:p>
    <w:p>
      <w:pPr>
        <w:pStyle w:val="BodyText"/>
        <w:spacing w:line="240" w:lineRule="auto" w:before="120" w:after="240"/>
        <w:ind w:firstLine="0"/>
        <w:jc w:val="center"/>
      </w:pPr>
      <w:r>
        <w:rPr>
          <w:rFonts w:ascii="Times New Roman" w:hAnsi="Times New Roman" w:cs="Times New Roman" w:eastAsia="Times New Roman"/>
          <w:b/>
          <w:sz w:val="28"/>
        </w:rPr>
        <w:t xml:space="preserve">3.1.1-rasm. Moliyaviy barqarorlikning integral indeksini hisoblash algoritmi</w:t>
      </w:r>
      <w:r>
        <w:rPr>
          <w:rStyle w:val="FootnoteReference"/>
        </w:rPr>
        <w:footnoteReference w:id="357"/>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algoritm sakkiz bosqichdan iborat bo‘lib, uning o‘ziga xos jihati ikkinchi bosqichda namoyon bo‘ladi: agar bankning joriy davr uchun MHXS hisoboti mavjud bo‘lsa, aktivlar sifati va kapital ko‘rsatkichlari to‘g‘ridan-to‘g‘ri MHXS ma’lumotlaridan hisoblanadi, mavjud bo‘lmasa, ya’ni oylik va choraklik baholashda, milliy hisobot ma’lumotlari 2.3-paragrafda taklif etilgan tuzatish koeffitsiyentlari yordamida xalqaro standartlarga moslashtiriladi. Natijada indeksning ikki shakli hosil bo‘ladi: milliy hisobot ma’lumotlari asosidagi MBII-milliy va MHXS hamda Bazel III metodikasi asosidagi MBII-MHXS. Ular o‘rtasidagi farq, ya’ni ΔMBII, milliy hisobot asosidagi baholash bankning moliyaviy barqarorligini qanchalik oshirib yoki kamsitib ko‘rsatishini o‘lchaydi.</w:t>
      </w:r>
    </w:p>
    <w:p>
      <w:pPr>
        <w:pStyle w:val="BodyText"/>
        <w:spacing w:line="360" w:lineRule="auto" w:before="0" w:after="0"/>
        <w:ind w:firstLine="709"/>
        <w:jc w:val="both"/>
      </w:pPr>
      <w:r>
        <w:rPr>
          <w:rFonts w:ascii="Times New Roman" w:hAnsi="Times New Roman" w:cs="Times New Roman" w:eastAsia="Times New Roman"/>
          <w:sz w:val="28"/>
        </w:rPr>
        <w:t xml:space="preserve">Ko‘rsatkichlarni tanlashda to‘rt mezonga amal qilindi. Birinchisi – xalqaro standartga bog‘liqlik: har bir ko‘rsatkich Bazel III, MHXS 9 yoki Xalqaro valyuta jamg‘armasining moliyaviy barqarorlik ko‘rsatkichlari ro‘yxatida mavjud bo‘lishi kerak</w:t>
      </w:r>
      <w:r>
        <w:rPr>
          <w:rStyle w:val="FootnoteReference"/>
        </w:rPr>
        <w:footnoteReference w:id="358"/>
      </w:r>
      <w:r>
        <w:rPr>
          <w:rFonts w:ascii="Times New Roman" w:hAnsi="Times New Roman" w:cs="Times New Roman" w:eastAsia="Times New Roman"/>
          <w:sz w:val="28"/>
        </w:rPr>
        <w:t xml:space="preserve">. Ikkinchisi – ochiq ma’lumotlar asosida hisoblanish imkoniyati: ko‘rsatkich banklar e’lon qiladigan hisobotlardan hisoblanishi lozim. Uchinchisi – takrorlanmaslik: A.M. Karminskiy ta’kidlaganidek, reyting modeliga bir xil mazmundagi ko‘rsatkichlarni kiritish ularning vaznini sun’iy oshiradi</w:t>
      </w:r>
      <w:r>
        <w:rPr>
          <w:rStyle w:val="FootnoteReference"/>
        </w:rPr>
        <w:footnoteReference w:id="359"/>
      </w:r>
      <w:r>
        <w:rPr>
          <w:rFonts w:ascii="Times New Roman" w:hAnsi="Times New Roman" w:cs="Times New Roman" w:eastAsia="Times New Roman"/>
          <w:sz w:val="28"/>
        </w:rPr>
        <w:t xml:space="preserve">. To‘rtinchisi – iqtisodiy talqin qilinishi: ko‘rsatkich qiymatining o‘sishi barqarorlikni oshirishi yoki pasaytirishi aniq bo‘lishi kerak. Ushbu mezonlar asosida 1.2-paragrafda asoslangan besh blok bo‘yicha 14 ta ko‘rsatkich tanlandi (3.1.2-jadval).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barqarorlikning integral indeksi ko‘rsatkichlari va ularning chegaraviy qiymatlari</w:t>
      </w:r>
      <w:r>
        <w:rPr>
          <w:rStyle w:val="FootnoteReference"/>
        </w:rPr>
        <w:footnoteReference w:id="36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515"/>
        <w:gridCol w:w="1360"/>
        <w:gridCol w:w="1105"/>
        <w:gridCol w:w="1105"/>
        <w:gridCol w:w="1105"/>
        <w:gridCol w:w="1105"/>
      </w:tblGrid>
      <w:tr>
        <w:trPr>
          <w:tblHeader w:val="true"/>
          <w:cantSplit/>
          <w:tblHeader/>
        </w:trPr>
        <w:tc>
          <w:tcPr>
            <w:tcW w:type="dxa" w:w="351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Blok va ko‘rsatkich</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Standart</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 ball</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 ball</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3 ball</w:t>
            </w:r>
          </w:p>
        </w:tc>
        <w:tc>
          <w:tcPr>
            <w:tcW w:type="dxa" w:w="1106"/>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4 ball</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Kapital yetarliligi</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K1. Birinchi darajali asosiy kapital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4,5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7,0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10,5</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K2. Regulyativ kapital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8,0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13,0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15,5</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K3. Leverage,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4,0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6,0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8,0</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Aktivlar sifati</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A1. 3-bosqich kreditlari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MHXS 9,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A2. 2-bosqich kreditlari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MHXS 9</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25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A3. Zaxira bilan qoplanmagan muammoli kreditlar / kapital,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30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20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0</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Likvidlik</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L1. Likvidlikni qoplash koeffitsiyenti,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90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120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L2. Sof barqaror moliyalashtirish me’yori,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Bazel III, 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90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120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L3. Kreditlar / mijozlar depozitlari,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150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80</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Daromadlilik</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D1. Aktivlar rentabelligi (ROA),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0,7</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1,4</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D2. Kapital rentabelligi (ROE),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10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15</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D3. Xarajatlar / daromadlar,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100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80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60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45</w:t>
            </w:r>
          </w:p>
        </w:tc>
      </w:tr>
      <w:tr>
        <w:trPr>
          <w:cantSplit/>
        </w:trPr>
        <w:tc>
          <w:tcPr>
            <w:tcW w:type="dxa" w:w="3515"/>
            <w:shd w:val="clear" w:color="auto" w:fill="F2F2F2"/>
          </w:tcPr>
          <w:p>
            <w:pPr>
              <w:pStyle w:val="Compact"/>
              <w:spacing w:line="240" w:lineRule="auto"/>
              <w:ind w:firstLine="0"/>
              <w:jc w:val="left"/>
            </w:pPr>
            <w:r>
              <w:rPr>
                <w:iCs/>
                <w:rFonts w:ascii="Times New Roman" w:hAnsi="Times New Roman" w:cs="Times New Roman" w:eastAsia="Times New Roman"/>
                <w:i/>
                <w:sz w:val="22"/>
              </w:rPr>
              <w:t xml:space="preserve">Valyuta riskiga sezgirlik</w:t>
            </w:r>
          </w:p>
        </w:tc>
        <w:tc>
          <w:tcPr>
            <w:tcW w:type="dxa" w:w="1361"/>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c>
          <w:tcPr>
            <w:tcW w:type="dxa" w:w="1106"/>
            <w:shd w:val="clear" w:color="auto" w:fill="F2F2F2"/>
          </w:tcPr>
          <w:p>
            <w:pPr>
              <w:pStyle w:val="Compact"/>
              <w:spacing w:line="240" w:lineRule="auto"/>
              <w:ind w:firstLine="0"/>
              <w:jc w:val="center"/>
            </w:pP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V1. Xorijiy valyutadagi kreditlar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65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35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20</w:t>
            </w:r>
          </w:p>
        </w:tc>
      </w:tr>
      <w:tr>
        <w:trPr>
          <w:cantSplit/>
        </w:trPr>
        <w:tc>
          <w:tcPr>
            <w:tcW w:type="dxa" w:w="3515"/>
          </w:tcPr>
          <w:p>
            <w:pPr>
              <w:pStyle w:val="Compact"/>
              <w:spacing w:line="240" w:lineRule="auto"/>
              <w:ind w:firstLine="0"/>
              <w:jc w:val="left"/>
            </w:pPr>
            <w:r>
              <w:rPr>
                <w:rFonts w:ascii="Times New Roman" w:hAnsi="Times New Roman" w:cs="Times New Roman" w:eastAsia="Times New Roman"/>
                <w:sz w:val="22"/>
              </w:rPr>
              <w:t xml:space="preserve">V2. Xorijiy valyutadagi majburiyatlar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XVJ</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70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55</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40</w:t>
            </w:r>
          </w:p>
        </w:tc>
        <w:tc>
          <w:tcPr>
            <w:tcW w:type="dxa" w:w="1106"/>
          </w:tcPr>
          <w:p>
            <w:pPr>
              <w:pStyle w:val="Compact"/>
              <w:spacing w:line="240" w:lineRule="auto"/>
              <w:ind w:firstLine="0"/>
              <w:jc w:val="center"/>
            </w:pPr>
            <w:r>
              <w:rPr>
                <w:rFonts w:ascii="Times New Roman" w:hAnsi="Times New Roman" w:cs="Times New Roman" w:eastAsia="Times New Roman"/>
                <w:sz w:val="22"/>
              </w:rPr>
              <w:t xml:space="preserve">≤ 25</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oraliq qiymatlar uchun ball chiziqli interpolyatsiya orqali aniqlanadi; 4 ball – eng yuqori barqarorlik.</w:t>
      </w:r>
    </w:p>
    <w:p>
      <w:pPr>
        <w:pStyle w:val="BodyText"/>
        <w:spacing w:line="360" w:lineRule="auto" w:before="0" w:after="0"/>
        <w:ind w:firstLine="709"/>
        <w:jc w:val="both"/>
      </w:pPr>
      <w:r>
        <w:rPr>
          <w:rFonts w:ascii="Times New Roman" w:hAnsi="Times New Roman" w:cs="Times New Roman" w:eastAsia="Times New Roman"/>
          <w:sz w:val="28"/>
        </w:rPr>
        <w:t xml:space="preserve">Jadvalda keltirilgan chegaralarni belgilashda «me’yoriy talab – ball chegarasi» tamoyili qo‘llandi. Bu tamoyil Rossiya Banki metodikasida ham asosiy hisoblanadi: unda kapital monandligi normativi bo‘yicha ball chegaralari aynan normativning minimal qiymati va undan yuqori bir necha darajalar sifatida belgilangan</w:t>
      </w:r>
      <w:r>
        <w:rPr>
          <w:rStyle w:val="FootnoteReference"/>
        </w:rPr>
        <w:footnoteReference w:id="361"/>
      </w:r>
      <w:r>
        <w:rPr>
          <w:rFonts w:ascii="Times New Roman" w:hAnsi="Times New Roman" w:cs="Times New Roman" w:eastAsia="Times New Roman"/>
          <w:sz w:val="28"/>
        </w:rPr>
        <w:t xml:space="preserve">. Shu bilan birga, Rossiya Banki shkalasida 1 ball eng yaxshi, 4 ball esa eng yomon holatni bildiradi, taklif etilayotgan metodikada esa ball ortishi barqarorlik oshishini anglatadi, bu indeksni intuitiv talqin qilishni osonlashtiradi. Kapital blokida birinchi darajali asosiy kapital uchun 1 ball chegarasi sifatida Bazel III dagi 4,5 foizlik minimal talab, 2 ball chegarasi sifatida unga 2,5 foizlik kapitalni saqlash buferi qo‘shilgan 7 foiz, 3 ball chegarasi sifatida milliy minimal talab – 8 foiz</w:t>
      </w:r>
      <w:r>
        <w:rPr>
          <w:rStyle w:val="FootnoteReference"/>
        </w:rPr>
        <w:footnoteReference w:id="362"/>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olindi, 4 ball chegarasi esa tizimli ahamiyatga ega bank uchun qo‘shimcha talab va kontrsiklik bufer bilan birga Bazel III bo‘yicha talab qilinishi mumkin bo‘lgan 10,5 foiz darajasida belgilandi</w:t>
      </w:r>
      <w:r>
        <w:rPr>
          <w:rStyle w:val="FootnoteReference"/>
        </w:rPr>
        <w:footnoteReference w:id="363"/>
      </w:r>
      <w:r>
        <w:rPr>
          <w:rStyle w:val="FootnoteReference"/>
        </w:rPr>
        <w:footnoteReference w:id="364"/>
      </w:r>
      <w:r>
        <w:rPr>
          <w:rFonts w:ascii="Times New Roman" w:hAnsi="Times New Roman" w:cs="Times New Roman" w:eastAsia="Times New Roman"/>
          <w:sz w:val="28"/>
        </w:rPr>
        <w:t xml:space="preserve">. Regulyativ kapital uchun ham xuddi shu mantiq qo‘llandi: 8 foiz – Bazel III minimumi, 10,5 foiz – bufer bilan, 13 foiz – milliy talab, 15,5 foiz – milliy talab va bufer. Leverage uchun chegaralar Bazel III dagi 3 foiz, AQSh nazorat amaliyotidagi 4 foiz</w:t>
      </w:r>
      <w:r>
        <w:rPr>
          <w:rStyle w:val="FootnoteReference"/>
        </w:rPr>
        <w:footnoteReference w:id="365"/>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 milliy talabdagi 6 foiz asosida belgilandi.</w:t>
      </w:r>
    </w:p>
    <w:p>
      <w:pPr>
        <w:pStyle w:val="BodyText"/>
        <w:spacing w:line="360" w:lineRule="auto" w:before="0" w:after="0"/>
        <w:ind w:firstLine="709"/>
        <w:jc w:val="both"/>
      </w:pPr>
      <w:r>
        <w:rPr>
          <w:rFonts w:ascii="Times New Roman" w:hAnsi="Times New Roman" w:cs="Times New Roman" w:eastAsia="Times New Roman"/>
          <w:sz w:val="28"/>
        </w:rPr>
        <w:t xml:space="preserve">Aktivlar sifati blokida 3-bosqich kreditlari ulushi uchun 5 foiz chegarasi erta ogohlantirish signali sifatida keng qo‘llanadigan muammoli kreditlar darajasiga</w:t>
      </w:r>
      <w:r>
        <w:rPr>
          <w:rStyle w:val="FootnoteReference"/>
        </w:rPr>
        <w:footnoteReference w:id="366"/>
      </w:r>
      <w:r>
        <w:rPr>
          <w:rFonts w:ascii="Times New Roman" w:hAnsi="Times New Roman" w:cs="Times New Roman" w:eastAsia="Times New Roman"/>
          <w:sz w:val="28"/>
        </w:rPr>
        <w:t xml:space="preserve">, 10 foiz esa O.I. Lavrushin tahriri ostidagi monografiyada salbiy vaziyat darakchisi sifatida ko‘rsatilgan qiymatga mos keladi</w:t>
      </w:r>
      <w:r>
        <w:rPr>
          <w:rStyle w:val="FootnoteReference"/>
        </w:rPr>
        <w:footnoteReference w:id="367"/>
      </w:r>
      <w:r>
        <w:rPr>
          <w:rFonts w:ascii="Times New Roman" w:hAnsi="Times New Roman" w:cs="Times New Roman" w:eastAsia="Times New Roman"/>
          <w:sz w:val="28"/>
        </w:rPr>
        <w:t xml:space="preserve">. 2-bosqich kreditlari ulushi uchun milliy amaliyotda tayyor mezon yo‘qligi sababli chegaralar ikkinchi bobda aniqlangan qiymatlar oralig‘i asosida belgilandi. Zaxira bilan qoplanmagan muammoli kreditlarning kapitalga nisbati Xalqaro valyuta jamg‘armasining asosiy ko‘rsatkichlaridan biri bo‘lib, u kapitalning qancha qismi kutilmagan kredit zararlari bilan yemirilishi mumkinligini ko‘rsatadi</w:t>
      </w:r>
      <w:r>
        <w:rPr>
          <w:rStyle w:val="FootnoteReference"/>
        </w:rPr>
        <w:footnoteReference w:id="368"/>
      </w:r>
      <w:r>
        <w:rPr>
          <w:rFonts w:ascii="Times New Roman" w:hAnsi="Times New Roman" w:cs="Times New Roman" w:eastAsia="Times New Roman"/>
          <w:sz w:val="28"/>
        </w:rPr>
        <w:t xml:space="preserve">. Likvidlik blokida likvidlikni qoplash koeffitsiyenti va sof barqaror moliyalashtirish me’yori uchun 2 ball chegarasi sifatida Bazel III dagi 100 foizlik talab olindi</w:t>
      </w:r>
      <w:r>
        <w:rPr>
          <w:rStyle w:val="FootnoteReference"/>
        </w:rPr>
        <w:footnoteReference w:id="369"/>
      </w:r>
      <w:r>
        <w:rPr>
          <w:rStyle w:val="FootnoteReference"/>
        </w:rPr>
        <w:footnoteReference w:id="370"/>
      </w:r>
      <w:r>
        <w:rPr>
          <w:rFonts w:ascii="Times New Roman" w:hAnsi="Times New Roman" w:cs="Times New Roman" w:eastAsia="Times New Roman"/>
          <w:sz w:val="28"/>
        </w:rPr>
        <w:t xml:space="preserve">, kreditlarning depozitlarga nisbati uchun esa likvidlik nizomida muammo belgisi deb ko‘rsatilgan 80 foiz</w:t>
      </w:r>
      <w:r>
        <w:rPr>
          <w:rStyle w:val="FootnoteReference"/>
        </w:rPr>
        <w:footnoteReference w:id="371"/>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va xalqaro amaliyotdagi kritik daraja – 100 foiz</w:t>
      </w:r>
      <w:r>
        <w:rPr>
          <w:rStyle w:val="FootnoteReference"/>
        </w:rPr>
        <w:footnoteReference w:id="372"/>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asos qilib olindi. Daromadlilik blokida aktivlar rentabelligi chegaralari Rossiya Banki shkalasidan (0; 0,7; 1,4 foiz) olindi</w:t>
      </w:r>
      <w:r>
        <w:rPr>
          <w:rStyle w:val="FootnoteReference"/>
        </w:rPr>
        <w:footnoteReference w:id="373"/>
      </w:r>
      <w:r>
        <w:rPr>
          <w:rFonts w:ascii="Times New Roman" w:hAnsi="Times New Roman" w:cs="Times New Roman" w:eastAsia="Times New Roman"/>
          <w:sz w:val="28"/>
        </w:rPr>
        <w:t xml:space="preserve">, kapital rentabelligi chegaralari esa O‘zbekistondagi yuqori inflyatsiyani hisobga olgan holda oshirildi, chunki inflyatsiyadan past bo‘lgan rentabellik kapitalning real qiymati kamayayotganini bildiradi. Xarajatlarning daromadlarga nisbati uchun 60 foizlik chegara ham Rossiya Banki amaliyotidan olingan</w:t>
      </w:r>
      <w:r>
        <w:rPr>
          <w:rStyle w:val="FootnoteReference"/>
        </w:rPr>
        <w:footnoteReference w:id="374"/>
      </w:r>
      <w:r>
        <w:rPr>
          <w:rFonts w:ascii="Times New Roman" w:hAnsi="Times New Roman" w:cs="Times New Roman" w:eastAsia="Times New Roman"/>
          <w:sz w:val="28"/>
        </w:rPr>
        <w:t xml:space="preserve">. Valyuta riskiga sezgirlik bloki esa dollarlashuv darajasi yuqori bo‘lgan mamlakatlar uchun zarur bo‘lib, L. Izzi va hammualliflarning bank reyting modelida rivojlanayotgan mamlakatlar banklari uchun xorijiy valyutadagi likvidlikka sifat omillari ichida eng katta vazn berilgani ham buni tasdiqlaydi</w:t>
      </w:r>
      <w:r>
        <w:rPr>
          <w:rStyle w:val="FootnoteReference"/>
        </w:rPr>
        <w:footnoteReference w:id="375"/>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Ko‘rsatkichlarni ballga aylantirishda an’anaviy pog‘onali shkala o‘rniga chiziqli interpolyatsiyaga asoslangan uzluksiz shkala taklif etiladi. Pog‘onali shkalada, masalan, birinchi darajali asosiy kapital monandligi 10,4 va 8,1 foiz bo‘lgan ikki bank bir xil – 3 ball oladi, holbuki ularning barqarorligi sezilarli farq qiladi. Uzluksiz shkalada esa ball quyidagi formula bo‘yicha aniqlanadi:</w:t>
      </w:r>
    </w:p>
    <w:p>
      <w:pPr>
        <w:pStyle w:val="BodyText"/>
        <w:spacing w:line="360" w:lineRule="auto" w:before="0" w:after="0"/>
        <w:ind w:firstLine="709"/>
        <w:jc w:val="both"/>
      </w:pP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k+1</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agar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&lt;</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k+1</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 agar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1</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4, agar</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4</w:t>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i</w:t>
      </w:r>
      <w:r>
        <w:rPr>
          <w:rFonts w:ascii="Times New Roman" w:hAnsi="Times New Roman" w:cs="Times New Roman" w:eastAsia="Times New Roman"/>
          <w:sz w:val="28"/>
        </w:rPr>
        <w:t xml:space="preserve">-ko‘rsatkichning bali,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x</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uning qiymati,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a</w:t>
      </w:r>
      <w:r>
        <w:rPr>
          <w:rFonts w:ascii="Times New Roman" w:hAnsi="Times New Roman" w:cs="Times New Roman" w:eastAsia="Times New Roman"/>
          <w:sz w:val="28"/>
          <w:vertAlign w:val="subscript"/>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ballga mos chegaraviy qiymat (</w:t>
      </w:r>
      <w:r>
        <w:rPr>
          <w:iCs/>
          <w:rFonts w:ascii="Times New Roman" w:hAnsi="Times New Roman" w:cs="Times New Roman" w:eastAsia="Times New Roman"/>
          <w:i/>
          <w:sz w:val="28"/>
        </w:rPr>
        <w:t xml:space="preserve">k</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 2, 3). Qiymati qanchalik kam bo‘lsa, shunchalik yaxshi bo‘lgan ko‘rsatkichlar uchun formula teskari yo‘nalishda qo‘llanadi. Bunday yondashuvning afzalligini birinchi darajali asosiy kapital monandligi misolida ko‘rish mumkin (3.1.2-rasm).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1" name="3.1.2-rasm"/>
            <wp:cNvGraphicFramePr/>
            <a:graphic>
              <a:graphicData uri="http://schemas.openxmlformats.org/drawingml/2006/chart">
                <c:chart r:id="rId34"/>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3.1.2-rasm. Birinchi darajali asosiy kapital monandligini ballga aylantirish funksiyasi</w:t>
      </w:r>
      <w:r>
        <w:rPr>
          <w:rStyle w:val="FootnoteReference"/>
        </w:rPr>
        <w:footnoteReference w:id="376"/>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taklif etilayotgan funksiya chegaraviy qiymatlarda pog‘onali shkala bilan bir xil natija beradi, ammo ular oralig‘ida bankning keyingi chegaragacha qancha masofa qolganini aks ettiradi. Bu xususiyat ayniqsa dinamik tahlilda muhim: pog‘onali shkalada kapital monandligining asta-sekin pasayishi chegara kesib o‘tilgunga qadar umuman sezilmaydi, uzluksiz shkalada esa har bir pasayish indeksda aks etadi va erta ogohlantirish imkonini beradi. A.M. Karminskiy ham reyting modellarida ballarni taqsimot funksiyasi asosida uzluksiz shkalada berish modelning sezgirligini oshirishini ko‘rsatgan</w:t>
      </w:r>
      <w:r>
        <w:rPr>
          <w:rStyle w:val="FootnoteReference"/>
        </w:rPr>
        <w:footnoteReference w:id="377"/>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Bloklar ichida ko‘rsatkichlarga teng vazn beriladi, blok bali esa uning ko‘rsatkichlari ballarining o‘rtacha arifmetigi sifatida aniqlanadi. Integral indeks esa bloklar ballarining vaznli yig‘indisi sifatida hisoblanadi:</w:t>
      </w:r>
    </w:p>
    <w:p>
      <w:pPr>
        <w:pStyle w:val="BodyText"/>
        <w:spacing w:line="360" w:lineRule="auto" w:before="0" w:after="0"/>
        <w:ind w:firstLine="709"/>
        <w:jc w:val="both"/>
      </w:pPr>
      <w:r>
        <w:rPr>
          <w:rFonts w:ascii="Times New Roman" w:hAnsi="Times New Roman" w:cs="Times New Roman" w:eastAsia="Times New Roman"/>
          <w:sz w:val="28"/>
        </w:rPr>
        <w:t xml:space="preserve">MBII = Σ</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w</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B</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B</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 /</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n</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 Σ</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s</w:t>
      </w:r>
      <w:r>
        <w:rPr>
          <w:rFonts w:ascii="Times New Roman" w:hAnsi="Times New Roman" w:cs="Times New Roman" w:eastAsia="Times New Roman"/>
          <w:sz w:val="28"/>
          <w:vertAlign w:val="subscript"/>
        </w:rPr>
        <w:t xml:space="preserve">ij</w:t>
      </w:r>
      <w:r>
        <w:rPr>
          <w:rFonts w:ascii="Times New Roman" w:hAnsi="Times New Roman" w:cs="Times New Roman" w:eastAsia="Times New Roman"/>
          <w:sz w:val="28"/>
        </w:rPr>
        <w:t xml:space="preserve">, Σ</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w</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1,</w:t>
      </w:r>
    </w:p>
    <w:p>
      <w:pPr>
        <w:pStyle w:val="BodyText"/>
        <w:spacing w:line="360" w:lineRule="auto" w:before="0" w:after="0"/>
        <w:ind w:firstLine="709"/>
        <w:jc w:val="both"/>
      </w:pPr>
      <w:r>
        <w:rPr>
          <w:rFonts w:ascii="Times New Roman" w:hAnsi="Times New Roman" w:cs="Times New Roman" w:eastAsia="Times New Roman"/>
          <w:sz w:val="28"/>
        </w:rPr>
        <w:t xml:space="preserve">bu yerda</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B</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j</w:t>
      </w:r>
      <w:r>
        <w:rPr>
          <w:rFonts w:ascii="Times New Roman" w:hAnsi="Times New Roman" w:cs="Times New Roman" w:eastAsia="Times New Roman"/>
          <w:sz w:val="28"/>
        </w:rPr>
        <w:t xml:space="preserve">-blok bali,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w</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uning vazni,</w:t>
      </w:r>
      <w:r>
        <w:rPr>
          <w:rFonts w:ascii="Times New Roman" w:hAnsi="Times New Roman" w:cs="Times New Roman" w:eastAsia="Times New Roman"/>
          <w:sz w:val="28"/>
        </w:rPr>
        <w:t xml:space="preserve"> </w:t>
      </w:r>
      <w:r>
        <w:rPr>
          <w:iCs/>
          <w:rFonts w:ascii="Times New Roman" w:hAnsi="Times New Roman" w:cs="Times New Roman" w:eastAsia="Times New Roman"/>
          <w:i/>
          <w:sz w:val="28"/>
        </w:rPr>
        <w:t xml:space="preserve">n</w:t>
      </w:r>
      <w:r>
        <w:rPr>
          <w:rFonts w:ascii="Times New Roman" w:hAnsi="Times New Roman" w:cs="Times New Roman" w:eastAsia="Times New Roman"/>
          <w:sz w:val="28"/>
          <w:vertAlign w:val="subscript"/>
        </w:rPr>
        <w:t xml:space="preserve">j</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blokdagi ko‘rsatkichlar soni. Vaznlarni aniqlash metodikaning eng munozarali masalasi hisoblanadi. O.I. Lavrushin va I.D. Mamonova vazn koeffitsiyentlarini belgilash reyting baholashning eng munozarali va subyektiv jihati ekanini tan olib, ammo boshqa yo‘l yo‘qligini ta’kidlaydi</w:t>
      </w:r>
      <w:r>
        <w:rPr>
          <w:rStyle w:val="FootnoteReference"/>
        </w:rPr>
        <w:footnoteReference w:id="378"/>
      </w:r>
      <w:r>
        <w:rPr>
          <w:rFonts w:ascii="Times New Roman" w:hAnsi="Times New Roman" w:cs="Times New Roman" w:eastAsia="Times New Roman"/>
          <w:sz w:val="28"/>
        </w:rPr>
        <w:t xml:space="preserve">. Rossiyadagi reyting metodikalarini tahlil qilgan mualliflar ham vaznlar ko‘pincha asoslanmagan ekspert yo‘li bilan belgilanishini qayd etgan</w:t>
      </w:r>
      <w:r>
        <w:rPr>
          <w:rStyle w:val="FootnoteReference"/>
        </w:rPr>
        <w:footnoteReference w:id="379"/>
      </w:r>
      <w:r>
        <w:rPr>
          <w:rFonts w:ascii="Times New Roman" w:hAnsi="Times New Roman" w:cs="Times New Roman" w:eastAsia="Times New Roman"/>
          <w:sz w:val="28"/>
        </w:rPr>
        <w:t xml:space="preserve">. Shu sababli taklif etilayotgan vaznlar uch manba asosida asoslandi va muqobil variantlar bilan solishtirildi (3.1.3-jadval).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barqarorlikning integral indeksi bloklari vaznlari va ularning asoslanishi</w:t>
      </w:r>
      <w:r>
        <w:rPr>
          <w:rStyle w:val="FootnoteReference"/>
        </w:rPr>
        <w:footnoteReference w:id="38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814"/>
        <w:gridCol w:w="1247"/>
        <w:gridCol w:w="1134"/>
        <w:gridCol w:w="1360"/>
        <w:gridCol w:w="3742"/>
      </w:tblGrid>
      <w:tr>
        <w:trPr>
          <w:tblHeader w:val="true"/>
          <w:cantSplit/>
          <w:tblHeader/>
        </w:trPr>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Blok</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Taklif etilayotgan vazn</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Teng vaznlar</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 nisbati (O‘zbekiston)</w:t>
            </w:r>
          </w:p>
        </w:tc>
        <w:tc>
          <w:tcPr>
            <w:tcW w:type="dxa" w:w="374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Asoslash</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Kapital yetarliligi</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0,25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0,23</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Bazel III ning asosiy talabi, zararlarni qoplovchi oxirgi bufer</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0,30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0,37</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II bobda eng zaif bo‘g‘in, milliy va MHXS tafovuti eng katta</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Likvidlik</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0,15</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Bazel III ning ikki me’yori, tashqi moliyalashtirishga tayanish</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Daromadlilik</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0,25</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Kapitalni ichki manbadan to‘ldirish imkoniyati</w:t>
            </w:r>
          </w:p>
        </w:tc>
      </w:tr>
      <w:tr>
        <w:trPr>
          <w:cantSplit/>
        </w:trPr>
        <w:tc>
          <w:tcPr>
            <w:tcW w:type="dxa" w:w="1814"/>
          </w:tcPr>
          <w:p>
            <w:pPr>
              <w:pStyle w:val="Compact"/>
              <w:spacing w:line="240" w:lineRule="auto"/>
              <w:ind w:firstLine="0"/>
              <w:jc w:val="left"/>
            </w:pPr>
            <w:r>
              <w:rPr>
                <w:rFonts w:ascii="Times New Roman" w:hAnsi="Times New Roman" w:cs="Times New Roman" w:eastAsia="Times New Roman"/>
                <w:sz w:val="22"/>
              </w:rPr>
              <w:t xml:space="preserve">Valyuta riskiga sezgirlik</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0,10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3742"/>
          </w:tcPr>
          <w:p>
            <w:pPr>
              <w:pStyle w:val="Compact"/>
              <w:spacing w:line="240" w:lineRule="auto"/>
              <w:ind w:firstLine="0"/>
              <w:jc w:val="center"/>
            </w:pPr>
            <w:r>
              <w:rPr>
                <w:rFonts w:ascii="Times New Roman" w:hAnsi="Times New Roman" w:cs="Times New Roman" w:eastAsia="Times New Roman"/>
                <w:sz w:val="22"/>
              </w:rPr>
              <w:t xml:space="preserve">Dollarlashuv yuqori, ammo pasayish tendensiyasida</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taklif etilayotgan vaznlar O‘zbekistonda CAMEL tizimi uchun T.M. Karaliyev va I.F. Sayfiddinov keltirgan nisbatga</w:t>
      </w:r>
      <w:r>
        <w:rPr>
          <w:rStyle w:val="FootnoteReference"/>
        </w:rPr>
        <w:footnoteReference w:id="381"/>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yaqin, biroq ikki jihatda farq qiladi. Birinchidan, aktivlar sifatining vazni 0,37 dan 0,30 ga kamaytirildi, chunki taklif etilayotgan metodikada aktivlar sifati MHXS 9 bo‘yicha baholanadi va kredit riski allaqachon to‘liqroq aks ettiriladi, bundan tashqari, kredit riski kapital bloki orqali ham qisman hisobga olinadi. Ikkinchidan, valyuta riskiga sezgirlik bloki uchun 0,10 vazn ajratildi, bu esa Xalqaro valyuta jamg‘armasining ko‘rsatkichlar tarkibida sof ochiq valyuta pozitsiyasi alohida o‘rin egallashiga va O‘zbekistonda dollarlashuv darajasi yuqoriligiga mos keladi. Vaznlarning muqobil variantlari esa keyinroq sezgirlik tahlilida qo‘llanadi. Vaznlarni tanlashning muqobil, ya’ni statistik usuli – L. Izzi va hammualliflar taklif etgan logit-regressiya koeffitsiyentlarini normallashtirish orqali vazn aniqlash</w:t>
      </w:r>
      <w:r>
        <w:rPr>
          <w:rStyle w:val="FootnoteReference"/>
        </w:rPr>
        <w:footnoteReference w:id="382"/>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bank defoltlari bo‘yicha yetarli tarixiy ma’lumot talab qiladi, shu sababli u dissertatsiyaning to‘rtinchi bobida erta ogohlantirish tizimini ishlab chiqishda qo‘llanadi.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qiymati 1 dan 4 gacha bo‘lgan oraliqda bo‘ladi. Uni talqin qilish uchun oraliq to‘rt teng qismga bo‘linib, har biriga moliyaviy barqarorlik sinfi va unga mos nazorat choralari belgilandi (3.1.4-jadval).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 sinflari va ularga mos choralar</w:t>
      </w:r>
      <w:r>
        <w:rPr>
          <w:rStyle w:val="FootnoteReference"/>
        </w:rPr>
        <w:footnoteReference w:id="38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474"/>
        <w:gridCol w:w="1247"/>
        <w:gridCol w:w="2948"/>
        <w:gridCol w:w="3628"/>
      </w:tblGrid>
      <w:tr>
        <w:trPr>
          <w:tblHeader w:val="true"/>
          <w:cantSplit/>
          <w:tblHeader/>
        </w:trPr>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Sinf</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MBII qiymati</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Tavsifi</w:t>
            </w:r>
          </w:p>
        </w:tc>
        <w:tc>
          <w:tcPr>
            <w:tcW w:type="dxa" w:w="36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Tavsiya etiladigan choralar</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 – barqaror</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3,25–4,00</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Barcha bloklar xalqaro mezonlardan yuqori, zaxira yetarli</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Odatdagi nazorat</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II – qoniqarli</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2,50–3,24</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Ayrim bloklarda zaiflik, ammo me’yorlar bajariladi</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Zaif bloklar bo‘yicha monitoringni kuchaytirish, bank tomonidan tiklanish rejasini yangilash</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III – zaif</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1,75–2,49</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Bir nechta blokda me’yorga yaqin yoki undan past qiymatlar</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Choraklik maqsadli tekshiruv, dividendlarni cheklash, kapitalni oshirish rejasi</w:t>
            </w:r>
          </w:p>
        </w:tc>
      </w:tr>
      <w:tr>
        <w:trPr>
          <w:cantSplit/>
        </w:trPr>
        <w:tc>
          <w:tcPr>
            <w:tcW w:type="dxa" w:w="1474"/>
          </w:tcPr>
          <w:p>
            <w:pPr>
              <w:pStyle w:val="Compact"/>
              <w:spacing w:line="240" w:lineRule="auto"/>
              <w:ind w:firstLine="0"/>
              <w:jc w:val="left"/>
            </w:pPr>
            <w:r>
              <w:rPr>
                <w:rFonts w:ascii="Times New Roman" w:hAnsi="Times New Roman" w:cs="Times New Roman" w:eastAsia="Times New Roman"/>
                <w:sz w:val="22"/>
              </w:rPr>
              <w:t xml:space="preserve">IV – nobarqaror</w:t>
            </w:r>
          </w:p>
        </w:tc>
        <w:tc>
          <w:tcPr>
            <w:tcW w:type="dxa" w:w="1247"/>
          </w:tcPr>
          <w:p>
            <w:pPr>
              <w:pStyle w:val="Compact"/>
              <w:spacing w:line="240" w:lineRule="auto"/>
              <w:ind w:firstLine="0"/>
              <w:jc w:val="left"/>
            </w:pPr>
            <w:r>
              <w:rPr>
                <w:rFonts w:ascii="Times New Roman" w:hAnsi="Times New Roman" w:cs="Times New Roman" w:eastAsia="Times New Roman"/>
                <w:sz w:val="22"/>
              </w:rPr>
              <w:t xml:space="preserve">1,00–1,74</w:t>
            </w:r>
          </w:p>
        </w:tc>
        <w:tc>
          <w:tcPr>
            <w:tcW w:type="dxa" w:w="2948"/>
          </w:tcPr>
          <w:p>
            <w:pPr>
              <w:pStyle w:val="Compact"/>
              <w:spacing w:line="240" w:lineRule="auto"/>
              <w:ind w:firstLine="0"/>
              <w:jc w:val="left"/>
            </w:pPr>
            <w:r>
              <w:rPr>
                <w:rFonts w:ascii="Times New Roman" w:hAnsi="Times New Roman" w:cs="Times New Roman" w:eastAsia="Times New Roman"/>
                <w:sz w:val="22"/>
              </w:rPr>
              <w:t xml:space="preserve">Ko‘pchilik bloklarda me’yorlar buzilgan</w:t>
            </w:r>
          </w:p>
        </w:tc>
        <w:tc>
          <w:tcPr>
            <w:tcW w:type="dxa" w:w="3628"/>
          </w:tcPr>
          <w:p>
            <w:pPr>
              <w:pStyle w:val="Compact"/>
              <w:spacing w:line="240" w:lineRule="auto"/>
              <w:ind w:firstLine="0"/>
              <w:jc w:val="left"/>
            </w:pPr>
            <w:r>
              <w:rPr>
                <w:rFonts w:ascii="Times New Roman" w:hAnsi="Times New Roman" w:cs="Times New Roman" w:eastAsia="Times New Roman"/>
                <w:sz w:val="22"/>
              </w:rPr>
              <w:t xml:space="preserve">Majburiy sog‘lomlashtirish choralari, faoliyatni cheklash</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sinflar shkalasi AQShdagi «tezkor tuzatish choralari» tizimi mantig‘iga asoslangan bo‘lib, unda har bir kapital darajasiga nazorat organining qat’iy belgilangan choralari mos keladi</w:t>
      </w:r>
      <w:r>
        <w:rPr>
          <w:rStyle w:val="FootnoteReference"/>
        </w:rPr>
        <w:footnoteReference w:id="384"/>
      </w:r>
      <w:r>
        <w:rPr>
          <w:rFonts w:ascii="Times New Roman" w:hAnsi="Times New Roman" w:cs="Times New Roman" w:eastAsia="Times New Roman"/>
          <w:sz w:val="28"/>
        </w:rPr>
        <w:t xml:space="preserve">. Shu bilan birga, sinflarning chegaralari integral indeks bo‘yicha belgilangan, ya’ni nazorat choralari faqat kapital emas, balki barcha bloklarning holatiga bog‘lanadi. 1.3-paragrafda ko‘rsatilganidek, baholash natijalarini nazorat choralari bilan bevosita bog‘lash xorijiy tajribaning eng samarali elementlaridan biri hisoblanadi.</w:t>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metodikaning amaliy qo‘llanilishini tekshirish uchun u ikkinchi bobda tahlil qilingan ikki bankning 2025-yil yakunidagi ma’lumotlariga qo‘llandi. Hisob-kitob ikki variantda – milliy hisobot va Markaziy bank metodikasi asosida hamda MHXS va Bazel III metodikasi asosida bajarildi (3.1.5-jadval).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3.1.5-jadval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«O‘zsanoatqurilishbank» ATB va «Mikrokreditbank» ATB ko‘rsatkichlari va ballari, 2025-yil yakuni</w:t>
      </w:r>
      <w:r>
        <w:rPr>
          <w:rStyle w:val="FootnoteReference"/>
        </w:rPr>
        <w:footnoteReference w:id="38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175"/>
        <w:gridCol w:w="1530"/>
        <w:gridCol w:w="1530"/>
        <w:gridCol w:w="1530"/>
        <w:gridCol w:w="1530"/>
      </w:tblGrid>
      <w:tr>
        <w:trPr>
          <w:tblHeader w:val="true"/>
          <w:cantSplit/>
          <w:tblHeader/>
        </w:trPr>
        <w:tc>
          <w:tcPr>
            <w:tcW w:type="dxa" w:w="3175"/>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SQB: milliy</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SQB: MHXS</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MKB: milliy</w:t>
            </w:r>
          </w:p>
        </w:tc>
        <w:tc>
          <w:tcPr>
            <w:tcW w:type="dxa" w:w="153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MKB: MHXS</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K1. CET1 monandligi,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10,21 (3,88)</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8,87 (3,35)</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16,39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18,24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K2. Regulyativ kapital monandligi,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17,02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15,32 (3,93)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18,46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19,96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K3. Leverage,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12,25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11,07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16,82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18,72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A1. Muammoli / 3-bosqich kreditlar,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2,53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7,48 (2,50)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4,41 (3,29)</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12,34 (1,53)</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A2. Substandart / 2-bosqich kreditlar,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18,44 (2,66)</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35,66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9,00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25,30 (1,97)</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A3. Qoplanmagan muammoli kreditlar / kapital,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−8,1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7,3 (3,27)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10,3 (2,97)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26,4 (1,36)</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L1. LCR,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222,9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154,0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231,9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231,9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L2. NSFR,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122,2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124,8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113,0 (3,30)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113,0 (3,30)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L3. Kreditlar / depozitlar,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206,5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221,0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208,5 (1,00)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324,4 (1,00)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D1. ROA,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1,98 (3,97)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1,70 (3,50)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0,59 (1,84)</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0,15 (1,21)</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D2. ROE,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17,2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15,7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3,5 (1,70)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0,8 (1,16)</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D3. Xarajatlar / daromadlar,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36,5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41,9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65,5 (2,73)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88,0 (1,60)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V1. Xorijiy valyutadagi kreditlar,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60,1 (1,33)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60,1 (1,33)</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 (4,00)</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18,4 (4,00)</w:t>
            </w:r>
          </w:p>
        </w:tc>
      </w:tr>
      <w:tr>
        <w:trPr>
          <w:cantSplit/>
        </w:trPr>
        <w:tc>
          <w:tcPr>
            <w:tcW w:type="dxa" w:w="3175"/>
          </w:tcPr>
          <w:p>
            <w:pPr>
              <w:pStyle w:val="Compact"/>
              <w:spacing w:line="240" w:lineRule="auto"/>
              <w:ind w:firstLine="0"/>
              <w:jc w:val="left"/>
            </w:pPr>
            <w:r>
              <w:rPr>
                <w:rFonts w:ascii="Times New Roman" w:hAnsi="Times New Roman" w:cs="Times New Roman" w:eastAsia="Times New Roman"/>
                <w:sz w:val="22"/>
              </w:rPr>
              <w:t xml:space="preserve">V2. Xorijiy valyutadagi majburiyatlar, %</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60,9 (1,61)</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60,9 (1,61)</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31,4 (3,57)</w:t>
            </w:r>
          </w:p>
        </w:tc>
        <w:tc>
          <w:tcPr>
            <w:tcW w:type="dxa" w:w="1531"/>
          </w:tcPr>
          <w:p>
            <w:pPr>
              <w:pStyle w:val="Compact"/>
              <w:spacing w:line="240" w:lineRule="auto"/>
              <w:ind w:firstLine="0"/>
              <w:jc w:val="center"/>
            </w:pPr>
            <w:r>
              <w:rPr>
                <w:rFonts w:ascii="Times New Roman" w:hAnsi="Times New Roman" w:cs="Times New Roman" w:eastAsia="Times New Roman"/>
                <w:sz w:val="22"/>
              </w:rPr>
              <w:t xml:space="preserve">31,4 (3,57)</w:t>
            </w:r>
          </w:p>
        </w:tc>
      </w:tr>
      <w:tr>
        <w:trPr>
          <w:cantSplit/>
        </w:trPr>
        <w:tc>
          <w:tcPr>
            <w:tcW w:type="dxa" w:w="3175"/>
          </w:tcPr>
          <w:p>
            <w:pPr>
              <w:pStyle w:val="Compact"/>
              <w:spacing w:line="240" w:lineRule="auto"/>
              <w:ind w:firstLine="0"/>
              <w:jc w:val="left"/>
            </w:pPr>
            <w:r>
              <w:rPr>
                <w:bCs/>
                <w:rFonts w:ascii="Times New Roman" w:hAnsi="Times New Roman" w:cs="Times New Roman" w:eastAsia="Times New Roman"/>
                <w:b/>
                <w:sz w:val="22"/>
              </w:rPr>
              <w:t xml:space="preserve">MBII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3,40</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2,94</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3,27</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2,62</w:t>
            </w:r>
          </w:p>
        </w:tc>
      </w:tr>
      <w:tr>
        <w:trPr>
          <w:cantSplit/>
        </w:trPr>
        <w:tc>
          <w:tcPr>
            <w:tcW w:type="dxa" w:w="3175"/>
          </w:tcPr>
          <w:p>
            <w:pPr>
              <w:pStyle w:val="Compact"/>
              <w:spacing w:line="240" w:lineRule="auto"/>
              <w:ind w:firstLine="0"/>
              <w:jc w:val="left"/>
            </w:pPr>
            <w:r>
              <w:rPr>
                <w:bCs/>
                <w:rFonts w:ascii="Times New Roman" w:hAnsi="Times New Roman" w:cs="Times New Roman" w:eastAsia="Times New Roman"/>
                <w:b/>
                <w:sz w:val="22"/>
              </w:rPr>
              <w:t xml:space="preserve">Sinf</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w:t>
            </w:r>
          </w:p>
        </w:tc>
        <w:tc>
          <w:tcPr>
            <w:tcW w:type="dxa" w:w="1531"/>
          </w:tcPr>
          <w:p>
            <w:pPr>
              <w:pStyle w:val="Compact"/>
              <w:spacing w:line="240" w:lineRule="auto"/>
              <w:ind w:firstLine="0"/>
              <w:jc w:val="center"/>
            </w:pPr>
            <w:r>
              <w:rPr>
                <w:bCs/>
                <w:rFonts w:ascii="Times New Roman" w:hAnsi="Times New Roman" w:cs="Times New Roman" w:eastAsia="Times New Roman"/>
                <w:b/>
                <w:sz w:val="22"/>
              </w:rPr>
              <w:t xml:space="preserve">II</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qavs ichida – ball. MHXS variantida LCR banklardagi mablag‘lar yuqori likvid aktivlardan chiqarilgan holda (SQB), NSFR Bazel III metodikasi va MHXS tuzatishlari bilan hisoblandi; «Mikrokreditbank» ATB uchun likvidlik me’yorlarini qayta hisoblashga ma’lumot yetarli bo‘lmagani sababli rasmiy qiymatlar olindi; valyuta tarkibi ikki variantda bir xil qabul qilindi.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metodikaning asosiy afzalligini yaqqol ko‘rsatadi. Milliy hisobot ma’lumotlari bo‘yicha ikkala bank ham I sinfga, ya’ni barqaror banklar qatoriga kiradi: «O‘zsanoatqurilishbank» ATB ning indeksi 3,40 ni, «Mikrokreditbank» ATB niki esa 3,27 ni tashkil etadi. MHXS va Bazel III asosida esa ikkala bank ham II sinfga tushadi: indeks mos ravishda 2,94 va 2,62 ga teng. Boshqacha aytganda, ΔMBII «O‘zsanoatqurilishbank» ATB uchun −0,46 ni, «Mikrokreditbank» ATB uchun esa −0,65 ni tashkil etadi va bu farq barqarorlik sinfini o‘zgartirish uchun yetarli. Indeksning pasayishiga qaysi bloklar sabab bo‘lganini aniqlash uchun bloklar ballari solishtirildi (3.1.3-rasm).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2" name="3.1.3-rasm"/>
            <wp:cNvGraphicFramePr/>
            <a:graphic>
              <a:graphicData uri="http://schemas.openxmlformats.org/drawingml/2006/chart">
                <c:chart r:id="rId35"/>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3.1.3-rasm. «O‘zsanoatqurilishbank» ATB va «Mikrokreditbank» ATB da integral indeks bloklari ballari: milliy hisobot va MHXS, 2025-yil</w:t>
      </w:r>
      <w:r>
        <w:rPr>
          <w:rStyle w:val="FootnoteReference"/>
        </w:rPr>
        <w:footnoteReference w:id="386"/>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ikkala bankda ham indeks pasayishining asosiy sababi aktivlar sifati blokidir: «O‘zsanoatqurilishbank» ATB da bu blok bali 3,55 dan 2,26 ga, «Mikrokreditbank» ATB da esa 3,42 dan 1,62 ga tushgan. Aktivlar sifati blokining vazni 0,30 bo‘lgani sababli bu o‘zgarish indeksni mos ravishda 0,39 va 0,54 ballga pasaytiradi, ya’ni ΔMBII ning 83–84 foizi aynan shu blokka to‘g‘ri keladi. Bu natija 2.3-paragrafda aniqlangan qonuniyatni indeks darajasida tasdiqlaydi: milliy va MHXS hisobotlari o‘rtasidagi tafovut eng avvalo aktivlar sifati orqali barqarorlik bahosiga ta’sir qiladi. Ikkinchi o‘rinda daromadlilik bloki turadi: «Mikrokreditbank» ATB da uning bali 2,09 dan 1,33 ga pasaygan, chunki MHXS bo‘yicha bankning 2025-yildagi sof foydasi milliy hisobotdagidan qariyb to‘rt barobar kam. Kapital bloki esa «O‘zsanoatqurilishbank» ATB da biroz pasaygan, «Mikrokreditbank» ATB da esa maksimal darajada qolgan.</w:t>
      </w:r>
    </w:p>
    <w:p>
      <w:pPr>
        <w:pStyle w:val="BodyText"/>
        <w:spacing w:line="360" w:lineRule="auto" w:before="0" w:after="0"/>
        <w:ind w:firstLine="709"/>
        <w:jc w:val="both"/>
      </w:pPr>
      <w:r>
        <w:rPr>
          <w:rFonts w:ascii="Times New Roman" w:hAnsi="Times New Roman" w:cs="Times New Roman" w:eastAsia="Times New Roman"/>
          <w:sz w:val="28"/>
        </w:rPr>
        <w:t xml:space="preserve">Shu bilan birga, bloklar ballari ikki bankning risk profili tubdan farq qilishini ham ko‘rsatadi. «O‘zsanoatqurilishbank» ATB kapital, likvidlik va daromadlilik bo‘yicha yuqori ball olgan, ammo uning zaif bo‘g‘inlari – aktivlar sifati va valyuta riskiga sezgirlik: kreditlarning 60,1 foizi xorijiy valyutada berilgan. «Mikrokreditbank» ATB da esa kapital va valyuta bloklari kuchli, ammo aktivlar sifati va daromadlilik zaif. Ikkala bank uchun umumiy zaiflik – kreditlarning depozitlarga nisbati 200 foizdan yuqoriligi bo‘lib, bu ularning kreditlarni asosan tashqi qarz va davlat resurslari hisobiga moliyalashtirishini aks ettiradi. Integral indeks bunday turli profillarni yagona shkalada solishtirish imkonini beradi, bloklar ballari esa har bir bank uchun aniq nazorat yo‘nalishini ko‘rsatadi.</w:t>
      </w:r>
    </w:p>
    <w:p>
      <w:pPr>
        <w:pStyle w:val="BodyText"/>
        <w:spacing w:line="360" w:lineRule="auto" w:before="0" w:after="0"/>
        <w:ind w:firstLine="709"/>
        <w:jc w:val="both"/>
      </w:pPr>
      <w:r>
        <w:rPr>
          <w:rFonts w:ascii="Times New Roman" w:hAnsi="Times New Roman" w:cs="Times New Roman" w:eastAsia="Times New Roman"/>
          <w:sz w:val="28"/>
        </w:rPr>
        <w:t xml:space="preserve">Metodika natijalarining ishonchliligini tekshirish uchun indeks uch xil vaznlar tizimi bo‘yicha qayta hisoblandi: taklif etilayotgan vaznlar, teng vaznlar va O‘zbekistonda CAMEL tizimi uchun keltirilgan nisbat (3.1.4-rasm).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3" name="3.1.4-rasm"/>
            <wp:cNvGraphicFramePr/>
            <a:graphic>
              <a:graphicData uri="http://schemas.openxmlformats.org/drawingml/2006/chart">
                <c:chart r:id="rId36"/>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3.1.4-rasm. Moliyaviy barqarorlikning integral indeksi qiymatlarining vaznlar tizimiga sezgirligi, 2025-yil</w:t>
      </w:r>
      <w:r>
        <w:rPr>
          <w:rStyle w:val="FootnoteReference"/>
        </w:rPr>
        <w:footnoteReference w:id="387"/>
      </w:r>
    </w:p>
    <w:p>
      <w:pPr>
        <w:pStyle w:val="BodyText"/>
        <w:spacing w:line="360" w:lineRule="auto" w:before="0" w:after="0"/>
        <w:ind w:firstLine="709"/>
        <w:jc w:val="both"/>
      </w:pPr>
      <w:r>
        <w:rPr>
          <w:rFonts w:ascii="Times New Roman" w:hAnsi="Times New Roman" w:cs="Times New Roman" w:eastAsia="Times New Roman"/>
          <w:sz w:val="28"/>
        </w:rPr>
        <w:t xml:space="preserve">Rasm ma’lumotlari muhim xulosaga olib keladi. MHXS asosidagi indeks bo‘yicha banklarning tartibi uchala vaznlar tizimida ham o‘zgarmaydi: «O‘zsanoatqurilishbank» ATB har doim «Mikrokreditbank» ATB dan yuqori, taklif etilgan va teng vaznlarda ikkala bank ham II sinfda qoladi, CAMEL nisbati qo‘llanganda esa «Mikrokreditbank» ATB daromadlilik blokining vazni kattaligi sababli III sinfga tushadi. Milliy hisobot asosidagi indeksda esa teng vaznlar qo‘llanganda banklar tartibi o‘zgaradi: «Mikrokreditbank» ATB ning indeksi 3,21 ni, «O‘zsanoatqurilishbank» ATB niki 3,19 ni tashkil etadi. Demak, MHXS asosidagi indeks vaznlar tanloviga kamroq sezgir, ya’ni barqarorroq natija beradi. Buning sababi shundaki, milliy ma’lumotlarda aktivlar sifati muammolari yashiringani uchun bloklar ballari bir-biriga yaqin bo‘lib qoladi va natija vaznlarga ko‘proq bog‘liq bo‘ladi, MHXS ma’lumotlarida esa bloklar o‘rtasidagi haqiqiy farqlar aniq namoyon bo‘ladi.</w:t>
      </w:r>
    </w:p>
    <w:p>
      <w:pPr>
        <w:pStyle w:val="BodyText"/>
        <w:spacing w:line="360" w:lineRule="auto" w:before="0" w:after="0"/>
        <w:ind w:firstLine="709"/>
        <w:jc w:val="both"/>
      </w:pPr>
      <w:r>
        <w:rPr>
          <w:rFonts w:ascii="Times New Roman" w:hAnsi="Times New Roman" w:cs="Times New Roman" w:eastAsia="Times New Roman"/>
          <w:sz w:val="28"/>
        </w:rPr>
        <w:t xml:space="preserve">Taklif etilayotgan metodikaning mavjud yondashuvlardan farqini aniqlash uchun u xalqaro va xorijiy amaliyotda keng qo‘llanadigan metodikalar bilan solishtirildi (3.1.6-jadval).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3.1.6-jadval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Moliyaviy barqarorlikning integral indeksi va mavjud baholash metodikalarining qiyosiy tavsifi</w:t>
      </w:r>
      <w:r>
        <w:rPr>
          <w:rStyle w:val="FootnoteReference"/>
        </w:rPr>
        <w:footnoteReference w:id="38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701"/>
        <w:gridCol w:w="1814"/>
        <w:gridCol w:w="1927"/>
        <w:gridCol w:w="1814"/>
        <w:gridCol w:w="2041"/>
      </w:tblGrid>
      <w:tr>
        <w:trPr>
          <w:tblHeader w:val="true"/>
          <w:cantSplit/>
          <w:tblHeader/>
        </w:trPr>
        <w:tc>
          <w:tcPr>
            <w:tcW w:type="dxa" w:w="170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Belgi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CAMELS (AQSh)</w:t>
            </w:r>
          </w:p>
        </w:tc>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Rossiya Banki metodikasi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XVJ barqarorlik ko‘rsatkichlari</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Taklif etilayotgan MBII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Natija</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1–5 ballik kompozit reyting</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Bloklar bo‘yicha ball, guruhlarga ajratish</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Ko‘rsatkichlar to‘plami, yagona baho yo‘q</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1–4 oraliqdagi uzluksiz indeks va 4 sinf</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Ochiqlik</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Nazorat siri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Metodika ochiq, natija yopiq</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Ochiq</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Metodika va ma’lumotlar ochiq</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Xalqaro standartlarga bog‘liqlik</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Qisman</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Milliy normativlarga bog‘langan</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XVJ standarti</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Bazel III, MHXS 9, XVJ</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Aktivlar sifati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Nazoratchi bahosi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Milliy tasnif</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Milliy ta’rif</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MHXS 9 bosqichlari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Hisobot standarti farqi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Hisobga olinmaydi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Hisobga olinmaydi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Hisobga olinmaydi</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ΔMBII va tuzatish koeffitsiyentlari</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Ball shkalasi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Pog‘onali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Pog‘onali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Uzluksiz (chiziqli interpolyatsiya)</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Valyuta riski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Bozor riski doirasida</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Alohida blok yo‘q</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Sof ochiq pozitsiya</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Alohida blok</w:t>
            </w:r>
          </w:p>
        </w:tc>
      </w:tr>
      <w:tr>
        <w:trPr>
          <w:cantSplit/>
        </w:trPr>
        <w:tc>
          <w:tcPr>
            <w:tcW w:type="dxa" w:w="1701"/>
          </w:tcPr>
          <w:p>
            <w:pPr>
              <w:pStyle w:val="Compact"/>
              <w:spacing w:line="240" w:lineRule="auto"/>
              <w:ind w:firstLine="0"/>
              <w:jc w:val="left"/>
            </w:pPr>
            <w:r>
              <w:rPr>
                <w:rFonts w:ascii="Times New Roman" w:hAnsi="Times New Roman" w:cs="Times New Roman" w:eastAsia="Times New Roman"/>
                <w:sz w:val="22"/>
              </w:rPr>
              <w:t xml:space="preserve">Nazorat choralari bilan bog‘liqlik</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Bevosita</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Bevosita</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Yo‘q</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Sinflar bo‘yicha choralar</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taklif etilayotgan metodika mavjud yondashuvlarning afzalliklarini birlashtiradi: CAMELS va Rossiya Banki metodikasidan blokli tuzilma va baholashni nazorat choralari bilan bog‘lash, Xalqaro valyuta jamg‘armasi ko‘rsatkichlaridan ochiqlik va xalqaro taqqoslanuvchanlik, Bazel III dan esa chegaraviy qiymatlar olingan. Shu bilan birga, uning uchta o‘ziga xos jihati mavjud: aktivlar sifatini MHXS 9 bosqichlari asosida baholash, milliy va MHXS hisobotlari o‘rtasidagi tafovutni ΔMBII orqali o‘lchash va ko‘rsatkichlarni uzluksiz shkalada ballash. Metodikaning cheklovlarini ham qayd etish lozim: chegaraviy qiymatlar va vaznlar qisman ekspert yo‘li bilan belgilangan, boshqaruv sifati bloki ochiq ma’lumotlar asosida baholanmaydi, likvidlik me’yorlarini Bazel III metodikasi bo‘yicha to‘liq qayta hisoblash esa banklarning batafsil hisobot shakllarini talab qiladi. Bu cheklovlar indeksning bashorat kuchini tekshirish orqali dissertatsiyaning to‘rtinchi bobida qisman bartaraf etiladi.</w:t>
      </w:r>
    </w:p>
    <w:p>
      <w:pPr>
        <w:pStyle w:val="BodyText"/>
        <w:spacing w:line="360" w:lineRule="auto" w:before="0" w:after="0"/>
        <w:ind w:firstLine="709"/>
        <w:jc w:val="both"/>
      </w:pPr>
      <w:r>
        <w:rPr>
          <w:rFonts w:ascii="Times New Roman" w:hAnsi="Times New Roman" w:cs="Times New Roman" w:eastAsia="Times New Roman"/>
          <w:sz w:val="28"/>
        </w:rPr>
        <w:t xml:space="preserve">Moliyaviy barqarorlikni integral indeks asosida baholashning takomillashtirilgan metodikasini ishlab chiqish natijasida xulosa qilish mumkinki, taklif etilayotgan moliyaviy barqarorlikning integral indeksi kapital yetarliligi, aktivlar sifati, likvidlik, daromadlilik va valyuta riskiga sezgirlik bloklari bo‘yicha Bazel III, MHXS 9 va Xalqaro valyuta jamg‘armasi standartlariga bog‘langan 14 ta ko‘rsatkichni yagona bahoga keltiradi. Ko‘rsatkichlarning chegaraviy qiymatlari «me’yoriy talab – ball chegarasi» tamoyili asosida belgilanib, ular uzluksiz shkalada ballanadi, bloklar esa 0,25; 0,30; 0,20; 0,15 va 0,10 vaznlar bilan birlashtiriladi. Metodikani ikki bankka qo‘llash milliy hisobot asosida I sinfga kiradigan ikkala bank ham MHXS va Bazel III asosida II sinfga tushishini, ΔMBII ning 80 foizdan ortig‘i esa aktivlar sifati blokiga to‘g‘ri kelishini ko‘rsatdi. Sezgirlik tahlili esa MHXS asosidagi indeks vaznlar tanloviga kamroq bog‘liq ekanini tasdiqladi. Bu o‘z navbatida, metodikani bank tizimidagi barcha banklarga qo‘llash va ularni moliyaviy barqarorlik darajasi bo‘yicha reyting baholash imkonini beradi, bu esa keyingi paragrafda amalga oshiriladi.</w:t>
      </w:r>
    </w:p>
    <w:bookmarkEnd w:id="14"/>
    <w:bookmarkStart w:id="15" w:name="Xedf75e61584998612e27357f6db1c0de4e5c383"/>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3.2-§. Tijorat banklari moliyaviy barqarorligini integral indeks asosida reyting baholash</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paragrafda taklif etilgan moliyaviy barqarorlikning integral indeksi (MBII) metodikasining amaliy ahamiyati uni bir nechta bankka bir xil qoidalar bo‘yicha qo‘llab, natijalarni solishtirish orqali namoyon bo‘ladi. Reyting baholash bank faoliyatini tahlil qilishning keng tarqalgan shakli bo‘lib, A.M. Karminskiy ta’kidlaganidek, uning asosiy vazifasi turli banklarning moliyaviy holatini yagona shkalada taqqoslash va ularni risk darajasi bo‘yicha guruhlarga ajratishdan iborat</w:t>
      </w:r>
      <w:r>
        <w:rPr>
          <w:rStyle w:val="FootnoteReference"/>
        </w:rPr>
        <w:footnoteReference w:id="389"/>
      </w:r>
      <w:r>
        <w:rPr>
          <w:rFonts w:ascii="Times New Roman" w:hAnsi="Times New Roman" w:cs="Times New Roman" w:eastAsia="Times New Roman"/>
          <w:sz w:val="28"/>
        </w:rPr>
        <w:t xml:space="preserve">. Biroq O‘zbekistonda banklar reytingini e’lon qiluvchi tashkilotlar asosan banklarning hajm ko‘rsatkichlari va milliy hisobot ma’lumotlariga tayanadi, xalqaro reyting agentliklari esa davlat banklarini davlatning qo‘llab-quvvatlash ehtimolini hisobga olgan holda baholaydi, natijada bankning o‘z moliyaviy barqarorligi alohida ko‘rinmaydi</w:t>
      </w:r>
      <w:r>
        <w:rPr>
          <w:rStyle w:val="FootnoteReference"/>
        </w:rPr>
        <w:footnoteReference w:id="390"/>
      </w:r>
      <w:r>
        <w:rPr>
          <w:rStyle w:val="FootnoteReference"/>
        </w:rPr>
        <w:footnoteReference w:id="391"/>
      </w:r>
      <w:r>
        <w:rPr>
          <w:rFonts w:ascii="Times New Roman" w:hAnsi="Times New Roman" w:cs="Times New Roman" w:eastAsia="Times New Roman"/>
          <w:sz w:val="28"/>
        </w:rPr>
        <w:t xml:space="preserve">. Shu sababli ushbu paragrafda integral indeks ochiq ma’lumotlar, ya’ni banklarning auditdan o‘tgan MHXS bo‘yicha moliyaviy hisobotlari asosida hisoblanib, banklar reytingi tuziladi, milliy va MHXS hisobotlari bo‘yicha indekslar o‘rtasidagi farq hamda davlat ko‘magining baholashga ta’siri aniqlanadi.</w:t>
      </w:r>
    </w:p>
    <w:p>
      <w:pPr>
        <w:pStyle w:val="BodyText"/>
        <w:spacing w:line="360" w:lineRule="auto" w:before="0" w:after="0"/>
        <w:ind w:firstLine="709"/>
        <w:jc w:val="both"/>
      </w:pPr>
      <w:r>
        <w:rPr>
          <w:rFonts w:ascii="Times New Roman" w:hAnsi="Times New Roman" w:cs="Times New Roman" w:eastAsia="Times New Roman"/>
          <w:sz w:val="28"/>
        </w:rPr>
        <w:t xml:space="preserve">Tahlil uchun bank tizimining katta qismini tashkil etuvchi va ochiq e’lon qilingan MHXS hisobotlarida barcha zarur ma’lumotlar mavjud bo‘lgan beshta bank tanlandi: «O‘zsanoatqurilishbank» ATB, «Mikrokreditbank» ATB, «Biznesni rivojlantirish banki» ATB, «Xalq banki» ATB va «Ipoteka-bank» ATB. Ularning 2025-yil yakunidagi jami aktivlari 272,1 trln so‘mni, ya’ni bank tizimi aktivlarining 29,4 foizini tashkil etadi</w:t>
      </w:r>
      <w:r>
        <w:rPr>
          <w:rStyle w:val="FootnoteReference"/>
        </w:rPr>
        <w:footnoteReference w:id="392"/>
      </w:r>
      <w:r>
        <w:rPr>
          <w:rFonts w:ascii="Times New Roman" w:hAnsi="Times New Roman" w:cs="Times New Roman" w:eastAsia="Times New Roman"/>
          <w:sz w:val="28"/>
        </w:rPr>
        <w:t xml:space="preserve">. Har bir yil ko‘rsatkichlari keyingi yil hisobotidagi qayta hisoblangan qiyosiy ma’lumotlardan olindi: 2024 va 2025-yillar uchun 2025-yil hisobotidan, 2023-yil uchun 2024-yil hisobotidan va hokazo</w:t>
      </w:r>
      <w:r>
        <w:rPr>
          <w:rStyle w:val="FootnoteReference"/>
        </w:rPr>
        <w:footnoteReference w:id="393"/>
      </w:r>
      <w:r>
        <w:rPr>
          <w:rStyle w:val="FootnoteReference"/>
        </w:rPr>
        <w:footnoteReference w:id="394"/>
      </w:r>
      <w:r>
        <w:rPr>
          <w:rStyle w:val="FootnoteReference"/>
        </w:rPr>
        <w:footnoteReference w:id="395"/>
      </w:r>
      <w:r>
        <w:rPr>
          <w:rStyle w:val="FootnoteReference"/>
        </w:rPr>
        <w:footnoteReference w:id="396"/>
      </w:r>
      <w:r>
        <w:rPr>
          <w:rStyle w:val="FootnoteReference"/>
        </w:rPr>
        <w:footnoteReference w:id="397"/>
      </w:r>
      <w:r>
        <w:rPr>
          <w:rFonts w:ascii="Times New Roman" w:hAnsi="Times New Roman" w:cs="Times New Roman" w:eastAsia="Times New Roman"/>
          <w:sz w:val="28"/>
        </w:rPr>
        <w:t xml:space="preserve">. Bu yondashuv hisob siyosati o‘zgarishi va xatolarni tuzatish natijasidagi qayta hisoblashlarni hisobga olish imkonini beradi: masalan, «Xalq banki» ATB ning 2021-yil uchun xususiy kapitali keyingi yil hisobotida 4 565,1 mlrd so‘mdan 3 231,4 mlrd so‘mga, «Ipoteka-bank» ATB ning 2022-yil uchun sof foydasi esa 1 334,3 mlrd so‘mdan 947,1 mlrd so‘mga qayta hisoblangan</w:t>
      </w:r>
      <w:r>
        <w:rPr>
          <w:rStyle w:val="FootnoteReference"/>
        </w:rPr>
        <w:footnoteReference w:id="398"/>
      </w:r>
      <w:r>
        <w:rPr>
          <w:rStyle w:val="FootnoteReference"/>
        </w:rPr>
        <w:footnoteReference w:id="399"/>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Banklarning MHXS hisobotlarida 3.1-paragrafdagi 14 ta ko‘rsatkichning ayrimlari oshkor qilinmaydi. Xususan, likvidlikni qoplash koeffitsiyenti va sof barqaror moliyalashtirish me’yori tahlil qilingan hisobotlarning birortasida e’lon qilinmagan. Shu sababli ochiq ma’lumotlar asosidagi reyting uchun metodika quyidagicha moslashtirildi (3.2.1-jadval).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Integral indeksni ochiq ma’lumotlar asosida hisoblashda ko‘rsatkichlarning moslashtirilishi</w:t>
      </w:r>
      <w:r>
        <w:rPr>
          <w:rStyle w:val="FootnoteReference"/>
        </w:rPr>
        <w:footnoteReference w:id="40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3061"/>
        <w:gridCol w:w="2041"/>
        <w:gridCol w:w="2268"/>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 (3.1-§)</w:t>
            </w:r>
          </w:p>
        </w:tc>
        <w:tc>
          <w:tcPr>
            <w:tcW w:type="dxa" w:w="30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Ochiq ma’lumotlar varianti</w:t>
            </w:r>
          </w:p>
        </w:tc>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Manba</w:t>
            </w:r>
          </w:p>
        </w:tc>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Asoslash</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K1. CET1 monandligi</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(MHXS bo‘yicha kapital − ozchilik ulushi − joriy yil foydasi) / risk bo‘yicha tortilgan aktivlar</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MHXS hisoboti: balans, kapitalni boshqarish izohi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Joriy foyda milliy qoidada asosiy kapitalga kirmaydi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K2. Regulyativ kapital monandligi</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Hisobotda oshkor qilingan qiymat (Markaziy bank metodikasi)</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Kapitalni boshqarish izohi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MHXS asosidagi qiymat e’lon qilinmaydi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K3. Leverage</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Xususiy kapital / jami aktivlar (MHXS)</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Balans</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Yaqinlashtirilgan ko‘rsatkich</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L1. LCR, L2. NSFR</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Yuqori likvid aktivlarning jami aktivlardagi ulushi (chegaralar: 5; 10; 15; 20%)</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Banklar ko‘rsatkichlari bazasi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Markaziy bank talabi – kamida 10%, XVJ asosiy ko‘rsatkichi</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Qolgan 10 ta ko‘rsatkich</w:t>
            </w:r>
          </w:p>
        </w:tc>
        <w:tc>
          <w:tcPr>
            <w:tcW w:type="dxa" w:w="3061"/>
          </w:tcPr>
          <w:p>
            <w:pPr>
              <w:pStyle w:val="Compact"/>
              <w:spacing w:line="240" w:lineRule="auto"/>
              <w:ind w:firstLine="0"/>
              <w:jc w:val="left"/>
            </w:pPr>
            <w:r>
              <w:rPr>
                <w:rFonts w:ascii="Times New Roman" w:hAnsi="Times New Roman" w:cs="Times New Roman" w:eastAsia="Times New Roman"/>
                <w:sz w:val="22"/>
              </w:rPr>
              <w:t xml:space="preserve">O‘zgarishsiz, MHXS ma’lumotlari bo‘yicha</w:t>
            </w:r>
          </w:p>
        </w:tc>
        <w:tc>
          <w:tcPr>
            <w:tcW w:type="dxa" w:w="2041"/>
          </w:tcPr>
          <w:p>
            <w:pPr>
              <w:pStyle w:val="Compact"/>
              <w:spacing w:line="240" w:lineRule="auto"/>
              <w:ind w:firstLine="0"/>
              <w:jc w:val="left"/>
            </w:pPr>
            <w:r>
              <w:rPr>
                <w:rFonts w:ascii="Times New Roman" w:hAnsi="Times New Roman" w:cs="Times New Roman" w:eastAsia="Times New Roman"/>
                <w:sz w:val="22"/>
              </w:rPr>
              <w:t xml:space="preserve">Bosqichlar, zaxiralar, valyuta riski izohlari</w:t>
            </w:r>
          </w:p>
        </w:tc>
        <w:tc>
          <w:tcPr>
            <w:tcW w:type="dxa" w:w="2268"/>
          </w:tcPr>
          <w:p>
            <w:pPr>
              <w:pStyle w:val="Compact"/>
              <w:spacing w:line="240" w:lineRule="auto"/>
              <w:ind w:firstLine="0"/>
              <w:jc w:val="left"/>
            </w:pPr>
            <w:r>
              <w:rPr>
                <w:rFonts w:ascii="Times New Roman" w:hAnsi="Times New Roman" w:cs="Times New Roman" w:eastAsia="Times New Roman"/>
                <w:sz w:val="22"/>
              </w:rPr>
              <w:t xml:space="preserve">–</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moslashtirish asosan kapital va likvidlik bloklariga tegishli bo‘lib, ular ochiq ma’lumotlarda mavjud bo‘lgan eng yaqin ko‘rsatkichlar bilan almashtirildi. Yuqori likvid aktivlarning jami aktivlardagi ulushi Xalqaro valyuta jamg‘armasining asosiy ko‘rsatkichlaridan biri bo‘lib</w:t>
      </w:r>
      <w:r>
        <w:rPr>
          <w:rStyle w:val="FootnoteReference"/>
        </w:rPr>
        <w:footnoteReference w:id="401"/>
      </w:r>
      <w:r>
        <w:rPr>
          <w:rFonts w:ascii="Times New Roman" w:hAnsi="Times New Roman" w:cs="Times New Roman" w:eastAsia="Times New Roman"/>
          <w:sz w:val="28"/>
        </w:rPr>
        <w:t xml:space="preserve">, Markaziy bank ham uning minimal darajasini 10 foiz qilib belgilagan</w:t>
      </w:r>
      <w:r>
        <w:rPr>
          <w:rStyle w:val="FootnoteReference"/>
        </w:rPr>
        <w:footnoteReference w:id="402"/>
      </w:r>
      <w:r>
        <w:rPr>
          <w:rFonts w:ascii="Times New Roman" w:hAnsi="Times New Roman" w:cs="Times New Roman" w:eastAsia="Times New Roman"/>
          <w:sz w:val="28"/>
        </w:rPr>
        <w:t xml:space="preserve">. Shuni ta’kidlash lozimki, bu moslashtirish natijasida «O‘zsanoatqurilishbank» ATB uchun 2025-yildagi indeks 3.1-paragrafdagi 2,94 o‘rniga 2,83 ni tashkil etadi, ya’ni farq 0,11 ballni tashkil etib, barqarorlik sinfini o‘zgartirmaydi. Yuqori likvid aktivlar ulushi esa «SNS» reyting agentligi tomonidan shakllantirilgan banklar ko‘rsatkichlari bazasidan olindi</w:t>
      </w:r>
      <w:r>
        <w:rPr>
          <w:rStyle w:val="FootnoteReference"/>
        </w:rPr>
        <w:footnoteReference w:id="403"/>
      </w:r>
      <w:r>
        <w:rPr>
          <w:rFonts w:ascii="Times New Roman" w:hAnsi="Times New Roman" w:cs="Times New Roman" w:eastAsia="Times New Roman"/>
          <w:sz w:val="28"/>
        </w:rPr>
        <w:t xml:space="preserve">. Ushbu baza Markaziy bank byulleteni bilan solishtirilganda 2023–2025-yillar uchun bank tizimi jami ko‘rsatkichlari bo‘yicha farq 1 foizdan oshmasligi aniqlandi, ayrim banklarning ayrim davrlardagi xato qiymatlari esa tahlildan chiqarildi.</w:t>
      </w:r>
    </w:p>
    <w:p>
      <w:pPr>
        <w:pStyle w:val="BodyText"/>
        <w:spacing w:line="360" w:lineRule="auto" w:before="0" w:after="0"/>
        <w:ind w:firstLine="709"/>
        <w:jc w:val="both"/>
      </w:pPr>
      <w:r>
        <w:rPr>
          <w:rFonts w:ascii="Times New Roman" w:hAnsi="Times New Roman" w:cs="Times New Roman" w:eastAsia="Times New Roman"/>
          <w:sz w:val="28"/>
        </w:rPr>
        <w:t xml:space="preserve">Hisob-kitob natijasida beshta bank bo‘yicha 2021–2025-yillar uchun integral indeks qiymatlari olindi (3.2.1-rasm).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4" name="3.2.1-rasm"/>
            <wp:cNvGraphicFramePr/>
            <a:graphic>
              <a:graphicData uri="http://schemas.openxmlformats.org/drawingml/2006/chart">
                <c:chart r:id="rId37"/>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3.2.1-rasm. Tanlangan banklarda moliyaviy barqarorlikning integral indeksi, MHXS hisobotlari asosida, 2021–2025-yillar</w:t>
      </w:r>
      <w:r>
        <w:rPr>
          <w:rStyle w:val="FootnoteReference"/>
        </w:rPr>
        <w:footnoteReference w:id="404"/>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besh yil davomida banklarning moliyaviy barqarorligi turlicha yo‘nalishda o‘zgargan. «Xalq banki» ATB ning indeksi 2021-yildagi 2,66 dan 2025-yilda 3,38 gacha izchil oshib, I sinfga, ya’ni barqaror banklar qatoriga chiqqan. Bunga aktivlar sifatining keskin yaxshilanishi sabab bo‘lgan: bankning MHXS 9 bo‘yicha 3-bosqich kreditlari ulushi 32,2 foizdan 5,2 foizgacha kamaygan, 2021-yildagi 1 918,2 mlrd so‘m zarar o‘rniga 2025-yilda 1 257,3 mlrd so‘m sof foyda olingan</w:t>
      </w:r>
      <w:r>
        <w:rPr>
          <w:rStyle w:val="FootnoteReference"/>
        </w:rPr>
        <w:footnoteReference w:id="405"/>
      </w:r>
      <w:r>
        <w:rPr>
          <w:rFonts w:ascii="Times New Roman" w:hAnsi="Times New Roman" w:cs="Times New Roman" w:eastAsia="Times New Roman"/>
          <w:sz w:val="28"/>
        </w:rPr>
        <w:t xml:space="preserve">. «Biznesni rivojlantirish banki» ATB ning indeksi esa 2023-yilda 2,03 gacha pasayib, tahlil qilingan banklar ichida eng past qiymatga tushgan, so‘ngra 2025-yilda 3,23 gacha tiklangan. 2023-yilda bankda 3-bosqich kreditlari ulushi 19,8 foizga yetgan, MHXS bo‘yicha xususiy kapitalning aktivlarga nisbati 5,5 foizgacha pasaygan, 2024-yilda esa bank 1 367,9 mlrd so‘m zarar ko‘rgan</w:t>
      </w:r>
      <w:r>
        <w:rPr>
          <w:rStyle w:val="FootnoteReference"/>
        </w:rPr>
        <w:footnoteReference w:id="406"/>
      </w:r>
      <w:r>
        <w:rPr>
          <w:rFonts w:ascii="Times New Roman" w:hAnsi="Times New Roman" w:cs="Times New Roman" w:eastAsia="Times New Roman"/>
          <w:sz w:val="28"/>
        </w:rPr>
        <w:t xml:space="preserve">. «Ipoteka-bank» ATB da indeks 2023-yilda 3,37 dan 2,69 gacha keskin pasaygan, bunga 1 615,6 mlrd so‘mlik zarar va 3-bosqich kreditlari ulushining 7,0 foizdan 18,7 foizgacha oshishi sabab bo‘lgan</w:t>
      </w:r>
      <w:r>
        <w:rPr>
          <w:rStyle w:val="FootnoteReference"/>
        </w:rPr>
        <w:footnoteReference w:id="407"/>
      </w:r>
      <w:r>
        <w:rPr>
          <w:rFonts w:ascii="Times New Roman" w:hAnsi="Times New Roman" w:cs="Times New Roman" w:eastAsia="Times New Roman"/>
          <w:sz w:val="28"/>
        </w:rPr>
        <w:t xml:space="preserve">. «O‘zsanoatqurilishbank» ATB ning indeksi butun davr mobaynida 2,75–2,93 oralig‘ida barqaror saqlangan, «Mikrokreditbank» ATB niki esa 2,20–2,47 oralig‘ida bo‘lib, besh yilning barchasida III sinfda, ya’ni zaif banklar qatorida qolgan.</w:t>
      </w:r>
    </w:p>
    <w:p>
      <w:pPr>
        <w:pStyle w:val="BodyText"/>
        <w:spacing w:line="360" w:lineRule="auto" w:before="0" w:after="0"/>
        <w:ind w:firstLine="709"/>
        <w:jc w:val="both"/>
      </w:pPr>
      <w:r>
        <w:rPr>
          <w:rFonts w:ascii="Times New Roman" w:hAnsi="Times New Roman" w:cs="Times New Roman" w:eastAsia="Times New Roman"/>
          <w:sz w:val="28"/>
        </w:rPr>
        <w:t xml:space="preserve">Indeks dinamikasidagi o‘zgarishlarning sabablarini aniqlash uchun 2025-yil yakunidagi ko‘rsatkichlar va ularning ballari solishtirildi (3.2.2-jadval).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Tanlangan banklarning integral indeks ko‘rsatkichlari va ballari, 2025-yil yakuni, MHXS</w:t>
      </w:r>
      <w:r>
        <w:rPr>
          <w:rStyle w:val="FootnoteReference"/>
        </w:rPr>
        <w:footnoteReference w:id="40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1360"/>
        <w:gridCol w:w="1360"/>
        <w:gridCol w:w="1360"/>
        <w:gridCol w:w="1360"/>
        <w:gridCol w:w="1360"/>
      </w:tblGrid>
      <w:tr>
        <w:trPr>
          <w:tblHeader w:val="true"/>
          <w:cantSplit/>
          <w:tblHeader/>
        </w:trPr>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SQB</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MKB</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BRB</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Xalq banki</w:t>
            </w:r>
          </w:p>
        </w:tc>
        <w:tc>
          <w:tcPr>
            <w:tcW w:type="dxa" w:w="136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Ipoteka-bank</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CET1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9,1 (3,45)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9,5 (3,60)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16,3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15,0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Regulyativ kapital monandligi,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17,0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18,1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17,5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22,2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19,8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Kapital / aktivlar,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10,6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20,2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9,9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18,4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15,1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3-bosqich kreditlari,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7,5 (2,50)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12,3 (1,53)</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8,2 (2,37)</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5,2 (2,96)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19,7 (1,00)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2-bosqich kreditlari,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35,7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25,3 (1,97)</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11,0 (3,80)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10,5 (3,89)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8,4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Qoplanmagan muammoli kreditlar / kapital,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6,5 (3,35)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29,1 (1,09)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7,0 (3,30)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−5,8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17,2 (2,28)</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Yuqori likvid aktivlar ulushi,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18,3 (3,66)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15,5 (3,09)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18,0 (3,60)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10,0 (1,99)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14,6 (2,91)</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221,0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324,5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242,2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417,2 (1,00)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228,9 (1,00)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1,7 (3,49)</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0,2 (1,22)</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 (3,20)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2,6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3,9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15,7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0,8 (1,16)</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16,3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14,7 (3,95)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28,1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Xarajatlar / daromadlar,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41,5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87,6 (1,62)</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81,0 (1,95)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43,7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47,5 (3,83)</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Xorijiy valyutadagi kreditlar,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61,2 (1,25)</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21,3 (3,91)</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12,1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16,4 (4,00)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Xorijiy valyutadagi majburiyatlar, %</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60,4 (1,64)</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22,4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24,4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15,3 (4,00)</w:t>
            </w:r>
          </w:p>
        </w:tc>
        <w:tc>
          <w:tcPr>
            <w:tcW w:type="dxa" w:w="1361"/>
          </w:tcPr>
          <w:p>
            <w:pPr>
              <w:pStyle w:val="Compact"/>
              <w:spacing w:line="240" w:lineRule="auto"/>
              <w:ind w:firstLine="0"/>
              <w:jc w:val="center"/>
            </w:pPr>
            <w:r>
              <w:rPr>
                <w:rFonts w:ascii="Times New Roman" w:hAnsi="Times New Roman" w:cs="Times New Roman" w:eastAsia="Times New Roman"/>
                <w:sz w:val="22"/>
              </w:rPr>
              <w:t xml:space="preserve">24,8 (4,00)</w:t>
            </w:r>
          </w:p>
        </w:tc>
      </w:tr>
      <w:tr>
        <w:trPr>
          <w:cantSplit/>
        </w:trPr>
        <w:tc>
          <w:tcPr>
            <w:tcW w:type="dxa" w:w="2494"/>
          </w:tcPr>
          <w:p>
            <w:pPr>
              <w:pStyle w:val="Compact"/>
              <w:spacing w:line="240" w:lineRule="auto"/>
              <w:ind w:firstLine="0"/>
              <w:jc w:val="left"/>
            </w:pPr>
            <w:r>
              <w:rPr>
                <w:bCs/>
                <w:rFonts w:ascii="Times New Roman" w:hAnsi="Times New Roman" w:cs="Times New Roman" w:eastAsia="Times New Roman"/>
                <w:b/>
                <w:sz w:val="22"/>
              </w:rPr>
              <w:t xml:space="preserve">MBII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2,83</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2,47</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3,23</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3,38</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3,11</w:t>
            </w:r>
          </w:p>
        </w:tc>
      </w:tr>
      <w:tr>
        <w:trPr>
          <w:cantSplit/>
        </w:trPr>
        <w:tc>
          <w:tcPr>
            <w:tcW w:type="dxa" w:w="2494"/>
          </w:tcPr>
          <w:p>
            <w:pPr>
              <w:pStyle w:val="Compact"/>
              <w:spacing w:line="240" w:lineRule="auto"/>
              <w:ind w:firstLine="0"/>
              <w:jc w:val="left"/>
            </w:pPr>
            <w:r>
              <w:rPr>
                <w:bCs/>
                <w:rFonts w:ascii="Times New Roman" w:hAnsi="Times New Roman" w:cs="Times New Roman" w:eastAsia="Times New Roman"/>
                <w:b/>
                <w:sz w:val="22"/>
              </w:rPr>
              <w:t xml:space="preserve">Sinf</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w:t>
            </w:r>
          </w:p>
        </w:tc>
        <w:tc>
          <w:tcPr>
            <w:tcW w:type="dxa" w:w="1361"/>
          </w:tcPr>
          <w:p>
            <w:pPr>
              <w:pStyle w:val="Compact"/>
              <w:spacing w:line="240" w:lineRule="auto"/>
              <w:ind w:firstLine="0"/>
              <w:jc w:val="center"/>
            </w:pPr>
            <w:r>
              <w:rPr>
                <w:bCs/>
                <w:rFonts w:ascii="Times New Roman" w:hAnsi="Times New Roman" w:cs="Times New Roman" w:eastAsia="Times New Roman"/>
                <w:b/>
                <w:sz w:val="22"/>
              </w:rPr>
              <w:t xml:space="preserve">II</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qavs ichida – ball; «Mikrokreditbank» ATB hisobotida xorijiy valyutadagi kreditlar ulushi oshkor qilinmagan, shu sababli valyuta bloki bitta ko‘rsatkich bo‘yicha baholandi.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shuni ko‘rsatadiki, beshta bankning barchasi kapital bloki bo‘yicha yuqori ball olgan, ya’ni rasmiy kapital ko‘rsatkichlari bo‘yicha ular deyarli farqlanmaydi. Banklar o‘rtasidagi asosiy farq aktivlar sifati, daromadlilik va valyuta riskiga sezgirlik bloklarida namoyon bo‘ladi. «Ipoteka-bank» ATB eng yuqori daromadlilikka ega bo‘lishiga qaramay, 3-bosqich kreditlari ulushi 19,7 foiz bilan aktivlar sifati bo‘yicha eng zaif bank hisoblanadi. «O‘zsanoatqurilishbank» ATB esa kredit riski sezilarli oshgan 2-bosqich kreditlari ulushi bo‘yicha (35,7 foiz) va valyuta riski bo‘yicha eng past ballni olgan. «Mikrokreditbank» ATB esa aktivlar sifati va daromadlilik bloklarida eng past ballga ega. Barcha banklar uchun umumiy zaiflik – kreditlarning depozitlarga nisbatining yuqoriligi: beshta bankning barchasida bu ko‘rsatkich 200 foizdan oshadi, «Xalq banki» ATB da esa 417,2 foizni tashkil etadi, chunki bank pensiya jamg‘armasi mablag‘lari va boshqa davlat resurslarini jalb qiladi. Bloklar ballari bo‘yicha banklarning risk profili 3.2.2-rasmda keltirilgan.</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5" name="3.2.2-rasm"/>
            <wp:cNvGraphicFramePr/>
            <a:graphic>
              <a:graphicData uri="http://schemas.openxmlformats.org/drawingml/2006/chart">
                <c:chart r:id="rId38"/>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3.2.2-rasm. Tanlangan banklarda integral indeks bloklari ballari, 2025-yil</w:t>
      </w:r>
      <w:r>
        <w:rPr>
          <w:rStyle w:val="FootnoteReference"/>
        </w:rPr>
        <w:footnoteReference w:id="409"/>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integral indeksning bir xil qiymati turli risk profillari ortida yashirinishi mumkin. Masalan, «Biznesni rivojlantirish banki» ATB va «Ipoteka-bank» ATB ning indekslari bir-biriga yaqin (3,23 va 3,11), biroq birinchisida asosiy zaiflik likvidlik va xarajatlar samaradorligida, ikkinchisida esa aktivlar sifatida. Shu sababli muallif fikricha, integral indeks bilan bir qatorda bloklar ballarini ham e’lon qilish va eng past blok balli 1,75 dan past bo‘lgan bank uchun indeks qanchalik yuqori bo‘lmasin, alohida monitoring belgilash maqsadga muvofiq. 2025-yilda bu qoida «Mikrokreditbank» ATB ga (aktivlar sifati va daromadlilik bloklari), «O‘zsanoatqurilishbank» ATB ga (valyuta riskiga sezgirlik) va «Xalq banki» ATB ga (likvidlik) taalluqli bo‘ladi, ya’ni hatto I sinfdagi bank ham alohida yo‘nalish bo‘yicha monitoringni talab qiladi.</w:t>
      </w:r>
    </w:p>
    <w:p>
      <w:pPr>
        <w:pStyle w:val="BodyText"/>
        <w:spacing w:line="360" w:lineRule="auto" w:before="0" w:after="0"/>
        <w:ind w:firstLine="709"/>
        <w:jc w:val="both"/>
      </w:pPr>
      <w:r>
        <w:rPr>
          <w:rFonts w:ascii="Times New Roman" w:hAnsi="Times New Roman" w:cs="Times New Roman" w:eastAsia="Times New Roman"/>
          <w:sz w:val="28"/>
        </w:rPr>
        <w:t xml:space="preserve">Besh yil bo‘yicha indeks qiymatlari asosida banklar reytingi tuzildi (3.2.3-jadval).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Tanlangan banklarning moliyaviy barqarorlik reytingi, MHXS asosida, 2021–2025-yillar</w:t>
      </w:r>
      <w:r>
        <w:rPr>
          <w:rStyle w:val="FootnoteReference"/>
        </w:rPr>
        <w:footnoteReference w:id="41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11"/>
        <w:gridCol w:w="1417"/>
        <w:gridCol w:w="1417"/>
        <w:gridCol w:w="1417"/>
        <w:gridCol w:w="1417"/>
        <w:gridCol w:w="1417"/>
      </w:tblGrid>
      <w:tr>
        <w:trPr>
          <w:tblHeader w:val="true"/>
          <w:cantSplit/>
          <w:tblHeader/>
        </w:trPr>
        <w:tc>
          <w:tcPr>
            <w:tcW w:type="dxa" w:w="221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Bank</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2021</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2022</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2023</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2024</w:t>
            </w:r>
          </w:p>
        </w:tc>
        <w:tc>
          <w:tcPr>
            <w:tcW w:type="dxa" w:w="141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2025</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Xalq banki</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2,66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2,71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2,96 (II)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3,20 (II)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3,38 (I) – 1</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Biznesni rivojlantirish banki</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2,51 (II)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2,25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2,03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2,58 (II)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3,23 (II) – 2</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Ipoteka-bank</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3,32 (I)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3,37 (I) – 1</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2,69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3,13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3,11 (II) – 3</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O‘zsanoatqurilishbank</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2,93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2,82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2,91 (II) – 2</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2,75 (II) – 3</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2,83 (II) – 4</w:t>
            </w:r>
          </w:p>
        </w:tc>
      </w:tr>
      <w:tr>
        <w:trPr>
          <w:cantSplit/>
        </w:trPr>
        <w:tc>
          <w:tcPr>
            <w:tcW w:type="dxa" w:w="2211"/>
          </w:tcPr>
          <w:p>
            <w:pPr>
              <w:pStyle w:val="Compact"/>
              <w:spacing w:line="240" w:lineRule="auto"/>
              <w:ind w:firstLine="0"/>
              <w:jc w:val="left"/>
            </w:pPr>
            <w:r>
              <w:rPr>
                <w:rFonts w:ascii="Times New Roman" w:hAnsi="Times New Roman" w:cs="Times New Roman" w:eastAsia="Times New Roman"/>
                <w:sz w:val="22"/>
              </w:rPr>
              <w:t xml:space="preserve">Mikrokreditbank</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2,20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2,31 (III)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2,22 (III) – 4</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2,24 (III) – 5</w:t>
            </w:r>
          </w:p>
        </w:tc>
        <w:tc>
          <w:tcPr>
            <w:tcW w:type="dxa" w:w="1417"/>
          </w:tcPr>
          <w:p>
            <w:pPr>
              <w:pStyle w:val="Compact"/>
              <w:spacing w:line="240" w:lineRule="auto"/>
              <w:ind w:firstLine="0"/>
              <w:jc w:val="center"/>
            </w:pPr>
            <w:r>
              <w:rPr>
                <w:rFonts w:ascii="Times New Roman" w:hAnsi="Times New Roman" w:cs="Times New Roman" w:eastAsia="Times New Roman"/>
                <w:sz w:val="22"/>
              </w:rPr>
              <w:t xml:space="preserve">2,47 (III) – 5</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qavs ichida – barqarorlik sinfi, tire belgisidan keyin – reytingdagi o‘rni.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reytingning yillar bo‘yicha sezilarli o‘zgarishini ko‘rsatadi: 2021–2022-yillarda birinchi o‘rinda bo‘lgan «Ipoteka-bank» ATB 2025-yilda uchinchi o‘ringa, «Xalq banki» ATB esa uchinchi o‘rindan birinchi o‘ringa ko‘tarilgan. Faqat «Mikrokreditbank» ATB butun davr mobaynida reytingning quyi qismida qolgan. Bu natija integral indeksning bank moliyaviy holatidagi o‘zgarishlarga sezgirligini tasdiqlaydi.</w:t>
      </w:r>
    </w:p>
    <w:p>
      <w:pPr>
        <w:pStyle w:val="BodyText"/>
        <w:spacing w:line="360" w:lineRule="auto" w:before="0" w:after="0"/>
        <w:ind w:firstLine="709"/>
        <w:jc w:val="both"/>
      </w:pPr>
      <w:r>
        <w:rPr>
          <w:rFonts w:ascii="Times New Roman" w:hAnsi="Times New Roman" w:cs="Times New Roman" w:eastAsia="Times New Roman"/>
          <w:sz w:val="28"/>
        </w:rPr>
        <w:t xml:space="preserve">Shu bilan birga, reyting natijalarini talqin qilishda muhim jihatni hisobga olish lozim: tahlil qilingan banklarning to‘rttasida xususiy kapitalning o‘sishi sof foydadan sezilarli darajada oshgan. Xususiy kapitalning yillik o‘zgarishidan sof foydani ayirish orqali kapitalga kiritilgan qo‘shimcha mablag‘lar taxminiy baholandi: 2022–2025-yillarda ular «Mikrokreditbank» ATB da 5 359,2 mlrd so‘mni, «Xalq banki» ATB da 4 160,4 mlrd so‘mni, «Biznesni rivojlantirish banki» ATB da 3 187,6 mlrd so‘mni, «Ipoteka-bank» ATB da 928,9 mlrd so‘mni tashkil etgan, «O‘zsanoatqurilishbank» ATB da esa deyarli kuzatilmagan</w:t>
      </w:r>
      <w:r>
        <w:rPr>
          <w:rStyle w:val="FootnoteReference"/>
        </w:rPr>
        <w:footnoteReference w:id="411"/>
      </w:r>
      <w:r>
        <w:rPr>
          <w:rFonts w:ascii="Times New Roman" w:hAnsi="Times New Roman" w:cs="Times New Roman" w:eastAsia="Times New Roman"/>
          <w:sz w:val="28"/>
        </w:rPr>
        <w:t xml:space="preserve">. 1.3-paragrafda keltirilganidek, xalqaro reyting agentliklari bankning mustaqil, ya’ni tashqi qo‘llab-quvvatlashsiz moliyaviy barqarorligini alohida baholaydi</w:t>
      </w:r>
      <w:r>
        <w:rPr>
          <w:rStyle w:val="FootnoteReference"/>
        </w:rPr>
        <w:footnoteReference w:id="412"/>
      </w:r>
      <w:r>
        <w:rPr>
          <w:rStyle w:val="FootnoteReference"/>
        </w:rPr>
        <w:footnoteReference w:id="413"/>
      </w:r>
      <w:r>
        <w:rPr>
          <w:rFonts w:ascii="Times New Roman" w:hAnsi="Times New Roman" w:cs="Times New Roman" w:eastAsia="Times New Roman"/>
          <w:sz w:val="28"/>
        </w:rPr>
        <w:t xml:space="preserve">. Shu mantiqqa asoslanib, 2025-yil uchun integral indeks kapitalga kiritilgan mablag‘larsiz qayta hisoblandi (3.2.3-rasm).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6" name="3.2.3-rasm"/>
            <wp:cNvGraphicFramePr/>
            <a:graphic>
              <a:graphicData uri="http://schemas.openxmlformats.org/drawingml/2006/chart">
                <c:chart r:id="rId39"/>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3.2.3-rasm. Moliyaviy barqarorlikning integral indeksi: amaldagi va davlat ko‘magisiz, 2025-yil</w:t>
      </w:r>
      <w:r>
        <w:rPr>
          <w:rStyle w:val="FootnoteReference"/>
        </w:rPr>
        <w:footnoteReference w:id="414"/>
      </w:r>
    </w:p>
    <w:p>
      <w:pPr>
        <w:pStyle w:val="BodyText"/>
        <w:spacing w:line="360" w:lineRule="auto" w:before="0" w:after="0"/>
        <w:ind w:firstLine="709"/>
        <w:jc w:val="both"/>
      </w:pPr>
      <w:r>
        <w:rPr>
          <w:rFonts w:ascii="Times New Roman" w:hAnsi="Times New Roman" w:cs="Times New Roman" w:eastAsia="Times New Roman"/>
          <w:sz w:val="28"/>
        </w:rPr>
        <w:t xml:space="preserve">Rasm ma’lumotlari davlat ko‘magining baholashga ta’siri juda katta ekanini ko‘rsatadi. «Mikrokreditbank» ATB ning indeksi davlat ko‘magisiz 2,47 dan 1,72 gacha pasayib, IV sinfga, ya’ni nobarqaror banklar qatoriga tushadi: kapitalga kiritilgan mablag‘larsiz uning birinchi darajali asosiy kapitali monandligi 2,5 foizni, kapitalning aktivlarga nisbati esa 2,9 foizni tashkil etgan bo‘lar edi. «Biznesni rivojlantirish banki» ATB ning indeksi 3,23 dan 2,51 gacha pasayadi, bunda bankning MHXS bo‘yicha kapitali deyarli to‘liq kapitalga kiritilgan mablag‘lardan iborat ekani ma’lum bo‘ladi. «Xalq banki» ATB da indeks 3,38 dan 3,23 gacha pasayib, I sinfdan II sinfga o‘tadi. «O‘zsanoatqurilishbank» ATB va «Ipoteka-bank» ATB ning indekslari esa deyarli o‘zgarmaydi. Shunday qilib, davlat banklari kapital yetarliligining yuqori ko‘rsatkichlari ko‘p hollarda o‘z faoliyati natijasi emas, balki davlatning qayta kapitallashtirishi natijasidir. Bu xulosa 2.2-paragrafda «Mikrokreditbank» ATB misolida olingan natijani bank tizimining boshqa davlat banklari misolida ham tasdiqlaydi.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indeksning milliy va MHXS hisobotlari bo‘yicha farqi, ya’ni ΔMBII ikki bank uchun 3.1-paragrafdagi to‘liq metodika bo‘yicha 2021–2025-yillarda hisoblandi, chunki faqat ular uchun Markaziy bankka taqdim etilgan prudensial hisobot shakllari mavjud</w:t>
      </w:r>
      <w:r>
        <w:rPr>
          <w:rStyle w:val="FootnoteReference"/>
        </w:rPr>
        <w:footnoteReference w:id="415"/>
      </w:r>
      <w:r>
        <w:rPr>
          <w:rStyle w:val="FootnoteReference"/>
        </w:rPr>
        <w:footnoteReference w:id="416"/>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(3.2.4-rasm).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7" name="3.2.4-rasm"/>
            <wp:cNvGraphicFramePr/>
            <a:graphic>
              <a:graphicData uri="http://schemas.openxmlformats.org/drawingml/2006/chart">
                <c:chart r:id="rId40"/>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3.2.4-rasm. «O‘zsanoatqurilishbank» ATB va «Mikrokreditbank» ATB da integral indeks: milliy hisobot va MHXS, 2021–2025-yillar</w:t>
      </w:r>
      <w:r>
        <w:rPr>
          <w:rStyle w:val="FootnoteReference"/>
        </w:rPr>
        <w:footnoteReference w:id="417"/>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ΔMBII barcha yillarda manfiy bo‘lib, «O‘zsanoatqurilishbank» ATB da −0,23 dan −0,46 gacha, «Mikrokreditbank» ATB da esa −0,40 dan −0,66 gacha o‘zgargan. «O‘zsanoatqurilishbank» ATB milliy hisobot bo‘yicha besh yilning barchasida I sinfda, MHXS bo‘yicha esa II sinfda bo‘lgan. Eng muhim natija «Mikrokreditbank» ATB misolida olindi: MHXS asosidagi indeks 2023-yildayoq 2,41 gacha pasayib, III sinfga tushgan, milliy hisobot asosidagi indeks esa shu yili 2,81 ni tashkil etib, bank II sinfda qolgan. Bankning 1 703,8 mlrd so‘mlik zarari milliy hisobotda faqat 2024-yilda tan olingan. Demak, MHXS asosidagi indeks bankdagi muammoni bir yil oldin aniqlagan. Bu esa dissertatsiyaning to‘rtinchi bobida ishlab chiqiladigan erta ogohlantirish tizimida aynan MHXS asosidagi indeksdan foydalanish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Tanlangan beshta bank natijalarini bank tizimi bilan solishtirish uchun «SNS» reyting agentligi bazasi asosida davlat ulushi mavjud to‘qqizta bank va boshqa banklar guruhlari bo‘yicha ochiq ma’lumotlarda mavjud ko‘rsatkichlar hisoblandi (3.2.4-jadval).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3.2.4-jadval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Davlat ulushi mavjud banklar va boshqa banklarning asosiy ko‘rsatkichlari, milliy hisobot, 2023–2025-yillar</w:t>
      </w:r>
      <w:r>
        <w:rPr>
          <w:rStyle w:val="FootnoteReference"/>
        </w:rPr>
        <w:footnoteReference w:id="418"/>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1927"/>
        <w:gridCol w:w="1247"/>
        <w:gridCol w:w="1247"/>
        <w:gridCol w:w="1247"/>
        <w:gridCol w:w="1247"/>
        <w:gridCol w:w="1247"/>
        <w:gridCol w:w="1247"/>
      </w:tblGrid>
      <w:tr>
        <w:trPr>
          <w:tblHeader w:val="true"/>
          <w:cantSplit/>
          <w:tblHeader/>
        </w:trPr>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Davlat banklari 2023</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Boshqa banklar 2023</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Davlat banklari 2024</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Boshqa banklar 2024</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Davlat banklari 2025</w:t>
            </w:r>
          </w:p>
        </w:tc>
        <w:tc>
          <w:tcPr>
            <w:tcW w:type="dxa" w:w="124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Boshqa banklar 2025</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Banklar soni</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24</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4,1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3,1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3,2</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8,1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27,7</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−0,5</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19,2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7,6</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20,3</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240,3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117,7</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238,0</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108,1</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190,2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97,7</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Kapital / aktivlar,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14,3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15,8</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16,3</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13,9</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15,8</w:t>
            </w:r>
          </w:p>
        </w:tc>
      </w:tr>
      <w:tr>
        <w:trPr>
          <w:cantSplit/>
        </w:trPr>
        <w:tc>
          <w:tcPr>
            <w:tcW w:type="dxa" w:w="1928"/>
          </w:tcPr>
          <w:p>
            <w:pPr>
              <w:pStyle w:val="Compact"/>
              <w:spacing w:line="240" w:lineRule="auto"/>
              <w:ind w:firstLine="0"/>
              <w:jc w:val="left"/>
            </w:pPr>
            <w:r>
              <w:rPr>
                <w:rFonts w:ascii="Times New Roman" w:hAnsi="Times New Roman" w:cs="Times New Roman" w:eastAsia="Times New Roman"/>
                <w:sz w:val="22"/>
              </w:rPr>
              <w:t xml:space="preserve">Yuqori likvid aktivlar ulushi, %</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13,6</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22,0</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13,4</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22,2</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14,4</w:t>
            </w:r>
          </w:p>
        </w:tc>
        <w:tc>
          <w:tcPr>
            <w:tcW w:type="dxa" w:w="1247"/>
          </w:tcPr>
          <w:p>
            <w:pPr>
              <w:pStyle w:val="Compact"/>
              <w:spacing w:line="240" w:lineRule="auto"/>
              <w:ind w:firstLine="0"/>
              <w:jc w:val="center"/>
            </w:pPr>
            <w:r>
              <w:rPr>
                <w:rFonts w:ascii="Times New Roman" w:hAnsi="Times New Roman" w:cs="Times New Roman" w:eastAsia="Times New Roman"/>
                <w:sz w:val="22"/>
              </w:rPr>
              <w:t xml:space="preserve">18,9</w:t>
            </w:r>
          </w:p>
        </w:tc>
      </w:tr>
    </w:tbl>
    <w:p>
      <w:pPr>
        <w:pStyle w:val="BodyText"/>
        <w:spacing w:line="360" w:lineRule="auto" w:before="0" w:after="0"/>
        <w:ind w:firstLine="709"/>
        <w:jc w:val="both"/>
      </w:pPr>
      <w:r>
        <w:rPr>
          <w:iCs/>
          <w:rFonts w:ascii="Times New Roman" w:hAnsi="Times New Roman" w:cs="Times New Roman" w:eastAsia="Times New Roman"/>
          <w:i/>
          <w:sz w:val="28"/>
        </w:rPr>
        <w:t xml:space="preserve">Izoh: davlat ulushi mavjud banklar – O‘zmilliybank, O‘zsanoatqurilishbank, Agrobank, Asakabank, Xalq banki, Biznesni rivojlantirish banki, Mikrokreditbank, Aloqabank, Turonbank; ko‘rsatkichlar guruh bo‘yicha jami qiymatlar asosida hisoblandi.</w:t>
      </w:r>
    </w:p>
    <w:p>
      <w:pPr>
        <w:pStyle w:val="BodyText"/>
        <w:spacing w:line="360" w:lineRule="auto" w:before="0" w:after="0"/>
        <w:ind w:firstLine="709"/>
        <w:jc w:val="both"/>
      </w:pPr>
      <w:r>
        <w:rPr>
          <w:rFonts w:ascii="Times New Roman" w:hAnsi="Times New Roman" w:cs="Times New Roman" w:eastAsia="Times New Roman"/>
          <w:sz w:val="28"/>
        </w:rPr>
        <w:t xml:space="preserve">Jadval ma’lumotlari tanlangan banklar misolida olingan natijalarni bank tizimi darajasida tasdiqlaydi. Davlat ulushi mavjud banklarning daromadliligi boshqa banklarnikidan uch-to‘rt barobar past, kreditlarning depozitlarga nisbati esa ikki barobar yuqori, ya’ni ular kreditlarni asosan tashqi qarzlar va davlat resurslari hisobiga moliyalashtiradi. Yuqori likvid aktivlar ulushi ham davlat banklarida sezilarli darajada past. Kapitalning aktivlarga nisbati bo‘yicha esa guruhlar o‘rtasidagi farq unchalik katta emas, biroq yuqorida ko‘rsatilganidek, davlat banklarida bu ko‘rsatkich ko‘p hollarda qayta kapitallashtirish hisobiga ta’minlangan. Davlat va boshqa banklarning kapital rentabelligi dinamikasi 3.2.5-rasmda keltirilgan.</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8" name="3.2.5-rasm"/>
            <wp:cNvGraphicFramePr/>
            <a:graphic>
              <a:graphicData uri="http://schemas.openxmlformats.org/drawingml/2006/chart">
                <c:chart r:id="rId41"/>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3.2.5-rasm. Davlat ulushi mavjud banklar va boshqa banklarda kapital rentabelligi (ROE), %</w:t>
      </w:r>
      <w:r>
        <w:rPr>
          <w:rStyle w:val="FootnoteReference"/>
        </w:rPr>
        <w:footnoteReference w:id="419"/>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2022–2025-yillarda boshqa banklarning kapital rentabelligi 19–28 foiz oralig‘ida bo‘lgan bo‘lsa, davlat banklarida bu ko‘rsatkich 2024-yilda manfiy qiymatga tushgan. Bu davlat banklarida yashirin kredit riskining tan olinishi va ularni transformatsiya qilish jarayoni bilan bog‘liq. Shu bilan birga, kreditlarning depozitlarga nisbati davlat banklarida 2022-yildagi 252,9 foizdan 2025-yilda 190,2 foizgacha kamaygan, ya’ni ularning moliyalashtirish tuzilmasi asta-sekin yaxshilanmoqda.</w:t>
      </w:r>
    </w:p>
    <w:p>
      <w:pPr>
        <w:pStyle w:val="BodyText"/>
        <w:spacing w:line="360" w:lineRule="auto" w:before="0" w:after="0"/>
        <w:ind w:firstLine="709"/>
        <w:jc w:val="both"/>
      </w:pPr>
      <w:r>
        <w:rPr>
          <w:rFonts w:ascii="Times New Roman" w:hAnsi="Times New Roman" w:cs="Times New Roman" w:eastAsia="Times New Roman"/>
          <w:sz w:val="28"/>
        </w:rPr>
        <w:t xml:space="preserve">Tijorat banklari moliyaviy barqarorligini integral indeks asosida reyting baholash natijasida xulosa qilish mumkinki, taklif etilgan metodika banklarning auditdan o‘tgan MHXS hisobotlari asosida, ya’ni ochiq ma’lumotlar bilan qo‘llanishi mumkin, bunda likvidlik me’yorlari oshkor qilinmagani sababli ularni yuqori likvid aktivlar ulushi bilan almashtirish natijaga sezilarli ta’sir ko‘rsatmaydi. Beshta bank bo‘yicha 2021–2025-yillar uchun tuzilgan reyting «Xalq banki» ATB ning barqarorligi izchil oshganini, «Biznesni rivojlantirish banki» ATB 2023-yilda, «Ipoteka-bank» ATB esa shu yili jiddiy qiyinchiliklarga duch kelganini, «Mikrokreditbank» ATB esa butun davr mobaynida zaif banklar qatorida qolganini ko‘rsatdi. Davlat ko‘magisiz hisoblangan indeks kapitalga kiritilgan mablag‘lar hisobga olinmaganda «Mikrokreditbank» ATB nobarqaror, «Biznesni rivojlantirish banki» ATB esa sezilarli zaiflashgan bo‘lishini aniqladi. Milliy va MHXS hisobotlari bo‘yicha indekslar farqi esa MHXS asosidagi indeks muammoni bir yil oldin aniqlash imkonini berishini tasdiqladi. Bu o‘z navbatida, moliyaviy barqarorlikka ta’sir etuvchi omillarni ekonometrik usullar bilan aniqlash va ularni erta ogohlantirish tizimiga kiritish zaruratini yuzaga keltiradi, bu esa keyingi paragrafda amalga oshiriladi.</w:t>
      </w:r>
    </w:p>
    <w:bookmarkEnd w:id="15"/>
    <w:bookmarkStart w:id="16" w:name="X6c38a6edb9c798881b919e115f0d8939eceb0ef"/>
    <w:p>
      <w:pPr>
        <w:pStyle w:val="Heading2"/>
        <w:keepNext/>
        <w:pageBreakBefore/>
        <w:spacing w:line="360" w:lineRule="auto" w:before="240" w:after="120"/>
        <w:ind w:firstLine="0"/>
        <w:jc w:val="center"/>
      </w:pPr>
      <w:r>
        <w:rPr>
          <w:rFonts w:ascii="Times New Roman" w:hAnsi="Times New Roman" w:cs="Times New Roman" w:eastAsia="Times New Roman"/>
          <w:b/>
          <w:i w:val="0"/>
          <w:sz w:val="28"/>
        </w:rPr>
        <w:t xml:space="preserve">3.3-§. Tijorat banklari moliyaviy barqarorligiga ta’sir etuvchi omillarning ekonometrik tahlili</w:t>
      </w:r>
    </w:p>
    <w:p>
      <w:pPr>
        <w:pStyle w:val="FirstParagraph"/>
        <w:spacing w:line="360" w:lineRule="auto" w:before="0" w:after="0"/>
        <w:ind w:firstLine="709"/>
        <w:jc w:val="both"/>
      </w:pPr>
      <w:r>
        <w:rPr>
          <w:rFonts w:ascii="Times New Roman" w:hAnsi="Times New Roman" w:cs="Times New Roman" w:eastAsia="Times New Roman"/>
          <w:sz w:val="28"/>
        </w:rPr>
        <w:t xml:space="preserve">Oldingi paragraflarda taklif etilgan moliyaviy barqarorlikning integral indeksi (MBII) bankning ma’lum bir sanadagi holatini baholash imkonini beradi, biroq bank nazorati va boshqaruvi uchun bu holatni qaysi omillar shakllantirishini bilish ham muhimdir. Indeksning iqtisodiy mazmunga ega omillar bilan statistik ahamiyatli bog‘liqligi esa uning asosliligini qo‘shimcha tasdiqlaydi. Xorijiy tadqiqotlarda bank barqarorligi omillari odatda panel ma’lumotlar asosida baholanadi: P. Athanasoglou, S. Brissimis va M. Delis bank daromadliligiga bank, tarmoq va makroiqtisodiy omillar ta’sirini dinamik panel modeli yordamida o‘rganib, daromadlilikning sezilarli darajada inersiyaga ega ekanini ko‘rsatgan</w:t>
      </w:r>
      <w:r>
        <w:rPr>
          <w:rStyle w:val="FootnoteReference"/>
        </w:rPr>
        <w:footnoteReference w:id="420"/>
      </w:r>
      <w:r>
        <w:rPr>
          <w:rFonts w:ascii="Times New Roman" w:hAnsi="Times New Roman" w:cs="Times New Roman" w:eastAsia="Times New Roman"/>
          <w:sz w:val="28"/>
        </w:rPr>
        <w:t xml:space="preserve">, L. Laeven va R. Levine esa bankning to‘lovga qobiliyatsizlik riskini Z-score ko‘rsatkichi orqali o‘lchab, uning mulkchilik tuzilmasi va tartibga solish bilan bog‘liqligini aniqlagan</w:t>
      </w:r>
      <w:r>
        <w:rPr>
          <w:rStyle w:val="FootnoteReference"/>
        </w:rPr>
        <w:footnoteReference w:id="421"/>
      </w:r>
      <w:r>
        <w:rPr>
          <w:rFonts w:ascii="Times New Roman" w:hAnsi="Times New Roman" w:cs="Times New Roman" w:eastAsia="Times New Roman"/>
          <w:sz w:val="28"/>
        </w:rPr>
        <w:t xml:space="preserve">. O‘zbekistonda esa bank barqarorligi omillarini bank darajasidagi panel ma’lumotlar asosida, ayniqsa integral ko‘rsatkich orqali baholashga bag‘ishlangan tadqiqotlar deyarli mavjud emas: mavjud ishlarda ko‘rsatkichlar alohida-alohida tahlil qilinadi va ularning omillari ekonometrik jihatdan sinovdan o‘tkazilmaydi</w:t>
      </w:r>
      <w:r>
        <w:rPr>
          <w:rStyle w:val="FootnoteReference"/>
        </w:rPr>
        <w:footnoteReference w:id="422"/>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Ushbu paragrafning maqsadi 2021–2025-yillarda O‘zbekiston tijorat banklarining moliyaviy barqarorligiga ta’sir etuvchi omillarni bank-chorak panel ma’lumotlari asosida aniqlash va II bobda sifat jihatdan asoslangan xulosalarni miqdoriy jihatdan sinovdan o‘tkazishdan iborat. Tahlil xalqaro tadqiqotlar va II bob natijalaridan kelib chiqib shakllantirilgan beshta gipotezaga asoslanadi (3.3.1-jadval).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3.3.1-jadval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Tadqiqot gipotezalari va ularni tekshirishda foydalanilgan o‘zgaruvchilar</w:t>
      </w:r>
      <w:r>
        <w:rPr>
          <w:rStyle w:val="FootnoteReference"/>
        </w:rPr>
        <w:footnoteReference w:id="423"/>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907"/>
        <w:gridCol w:w="3969"/>
        <w:gridCol w:w="2608"/>
        <w:gridCol w:w="1814"/>
      </w:tblGrid>
      <w:tr>
        <w:trPr>
          <w:tblHeader w:val="true"/>
          <w:cantSplit/>
          <w:tblHeader/>
        </w:trPr>
        <w:tc>
          <w:tcPr>
            <w:tcW w:type="dxa" w:w="907"/>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Gipoteza</w:t>
            </w:r>
          </w:p>
        </w:tc>
        <w:tc>
          <w:tcPr>
            <w:tcW w:type="dxa" w:w="3969"/>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Mazmuni</w:t>
            </w:r>
          </w:p>
        </w:tc>
        <w:tc>
          <w:tcPr>
            <w:tcW w:type="dxa" w:w="260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Kutilgan ta’sir</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H1</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Davlat banklarining moliyaviy barqarorligi xususiy banklarnikidan past</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manfiy</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H2</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Jadal kreditlash bir yildan keyin barqarorlikni pasaytiradi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Kreditlar o‘sishi, 4 va 8 chorak lag bilan</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manfiy</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H3</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Barqaror depozit bazasi barqarorlikni oshiradi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Depozitlar / aktivlar</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musbat</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H4</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Asosiy faoliyatdan daromad olish qobiliyati barqarorlikni oshiradi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Sof foiz marjasi</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musbat</w:t>
            </w:r>
          </w:p>
        </w:tc>
      </w:tr>
      <w:tr>
        <w:trPr>
          <w:cantSplit/>
        </w:trPr>
        <w:tc>
          <w:tcPr>
            <w:tcW w:type="dxa" w:w="907"/>
          </w:tcPr>
          <w:p>
            <w:pPr>
              <w:pStyle w:val="Compact"/>
              <w:spacing w:line="240" w:lineRule="auto"/>
              <w:ind w:firstLine="0"/>
              <w:jc w:val="left"/>
            </w:pPr>
            <w:r>
              <w:rPr>
                <w:rFonts w:ascii="Times New Roman" w:hAnsi="Times New Roman" w:cs="Times New Roman" w:eastAsia="Times New Roman"/>
                <w:sz w:val="22"/>
              </w:rPr>
              <w:t xml:space="preserve">H5</w:t>
            </w:r>
          </w:p>
        </w:tc>
        <w:tc>
          <w:tcPr>
            <w:tcW w:type="dxa" w:w="3969"/>
          </w:tcPr>
          <w:p>
            <w:pPr>
              <w:pStyle w:val="Compact"/>
              <w:spacing w:line="240" w:lineRule="auto"/>
              <w:ind w:firstLine="0"/>
              <w:jc w:val="left"/>
            </w:pPr>
            <w:r>
              <w:rPr>
                <w:rFonts w:ascii="Times New Roman" w:hAnsi="Times New Roman" w:cs="Times New Roman" w:eastAsia="Times New Roman"/>
                <w:sz w:val="22"/>
              </w:rPr>
              <w:t xml:space="preserve">Iqtisodiy o‘sish kredit riskini kamaytiradi, pul-kredit siyosatining qat’iylashuvi esa oshiradi</w:t>
            </w:r>
          </w:p>
        </w:tc>
        <w:tc>
          <w:tcPr>
            <w:tcW w:type="dxa" w:w="2608"/>
          </w:tcPr>
          <w:p>
            <w:pPr>
              <w:pStyle w:val="Compact"/>
              <w:spacing w:line="240" w:lineRule="auto"/>
              <w:ind w:firstLine="0"/>
              <w:jc w:val="left"/>
            </w:pPr>
            <w:r>
              <w:rPr>
                <w:rFonts w:ascii="Times New Roman" w:hAnsi="Times New Roman" w:cs="Times New Roman" w:eastAsia="Times New Roman"/>
                <w:sz w:val="22"/>
              </w:rPr>
              <w:t xml:space="preserve">YaIM o‘sishi, asosiy stavka, so‘m kursi, inflyatsiya</w:t>
            </w:r>
          </w:p>
        </w:tc>
        <w:tc>
          <w:tcPr>
            <w:tcW w:type="dxa" w:w="1814"/>
          </w:tcPr>
          <w:p>
            <w:pPr>
              <w:pStyle w:val="Compact"/>
              <w:spacing w:line="240" w:lineRule="auto"/>
              <w:ind w:firstLine="0"/>
              <w:jc w:val="left"/>
            </w:pPr>
            <w:r>
              <w:rPr>
                <w:rFonts w:ascii="Times New Roman" w:hAnsi="Times New Roman" w:cs="Times New Roman" w:eastAsia="Times New Roman"/>
                <w:sz w:val="22"/>
              </w:rPr>
              <w:t xml:space="preserve">YaIM – manfiy, stavka – musbat (muammoli kreditlarga)</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 keltirilgan gipotezalarning har biri xalqaro tadqiqotlarda tasdiqlangan mexanizmga tayanadi. Birinchi gipoteza davlat banklarining siyosiy maqsadlarda kreditlash va yumshoq byudjet cheklovi sharoitida faoliyat yuritishi bilan izohlanadi: G. Iannotta, G. Nocera va A. Sironi Yevropa banklari, M. Cornett va hammualliflar esa 16 ta Osiyo mamlakati misolida davlat banklarining kredit sifati, daromadliligi va kapitallashuvi xususiy banklarnikidan past ekanini ko‘rsatgan</w:t>
      </w:r>
      <w:r>
        <w:rPr>
          <w:rStyle w:val="FootnoteReference"/>
        </w:rPr>
        <w:footnoteReference w:id="424"/>
      </w:r>
      <w:r>
        <w:rPr>
          <w:rStyle w:val="FootnoteReference"/>
        </w:rPr>
        <w:footnoteReference w:id="425"/>
      </w:r>
      <w:r>
        <w:rPr>
          <w:rFonts w:ascii="Times New Roman" w:hAnsi="Times New Roman" w:cs="Times New Roman" w:eastAsia="Times New Roman"/>
          <w:sz w:val="28"/>
        </w:rPr>
        <w:t xml:space="preserve">. Ikkinchi gipoteza D. Foos, L. Norden va M. Weber tadqiqotiga asoslanadi: ular kreditlarning g‘ayrioddiy tez o‘sishi keyingi uch yilda kredit zaxiralarining oshishi va kapitallashuvning yomonlashuviga olib kelishini ko‘rsatgan</w:t>
      </w:r>
      <w:r>
        <w:rPr>
          <w:rStyle w:val="FootnoteReference"/>
        </w:rPr>
        <w:footnoteReference w:id="426"/>
      </w:r>
      <w:r>
        <w:rPr>
          <w:rFonts w:ascii="Times New Roman" w:hAnsi="Times New Roman" w:cs="Times New Roman" w:eastAsia="Times New Roman"/>
          <w:sz w:val="28"/>
        </w:rPr>
        <w:t xml:space="preserve">. Uchinchi gipoteza A. Demirgüç-Kunt va H. Huizinga xulosasiga tayanadi: depozit bo‘lmagan, ya’ni ulgurji moliyalashtirishga ko‘proq tayanadigan banklar riskliroq bo‘ladi</w:t>
      </w:r>
      <w:r>
        <w:rPr>
          <w:rStyle w:val="FootnoteReference"/>
        </w:rPr>
        <w:footnoteReference w:id="427"/>
      </w:r>
      <w:r>
        <w:rPr>
          <w:rFonts w:ascii="Times New Roman" w:hAnsi="Times New Roman" w:cs="Times New Roman" w:eastAsia="Times New Roman"/>
          <w:sz w:val="28"/>
        </w:rPr>
        <w:t xml:space="preserve">. Beshinchi gipoteza esa muammoli kreditlarning makroiqtisodiy omillariga bag‘ishlangan tadqiqotlarga asoslanadi: D. Louzis, A. Vouldis va V. Metaxas Gretsiya, R. Beck, P. Jakubík va A. Piloiu esa 75 ta mamlakat misolida YaIM o‘sishi muammoli kreditlarni kamaytirishini, foiz stavkalari va milliy valyuta kursining pasayishi esa oshirishini aniqlagan</w:t>
      </w:r>
      <w:r>
        <w:rPr>
          <w:rStyle w:val="FootnoteReference"/>
        </w:rPr>
        <w:footnoteReference w:id="428"/>
      </w:r>
      <w:r>
        <w:rPr>
          <w:rStyle w:val="FootnoteReference"/>
        </w:rPr>
        <w:footnoteReference w:id="429"/>
      </w:r>
      <w:r>
        <w:rPr>
          <w:rStyle w:val="FootnoteReference"/>
        </w:rPr>
        <w:footnoteReference w:id="430"/>
      </w:r>
      <w:r>
        <w:rPr>
          <w:rFonts w:ascii="Times New Roman" w:hAnsi="Times New Roman" w:cs="Times New Roman" w:eastAsia="Times New Roman"/>
          <w:sz w:val="28"/>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Tahlil uchun ma’lumotlar bazasi uchta manba asosida shakllantirildi. Banklarning aktivlari, kreditlari, depozitlari, kapitali va muammoli kreditlari Markaziy bank tomonidan har oyda e’lon qilinadigan banklar kesimidagi statistikadan</w:t>
      </w:r>
      <w:r>
        <w:rPr>
          <w:rStyle w:val="FootnoteReference"/>
        </w:rPr>
        <w:footnoteReference w:id="431"/>
      </w:r>
      <w:r>
        <w:rPr>
          <w:rFonts w:ascii="Times New Roman" w:hAnsi="Times New Roman" w:cs="Times New Roman" w:eastAsia="Times New Roman"/>
          <w:sz w:val="28"/>
        </w:rPr>
        <w:t xml:space="preserve">, yuqori likvid aktivlar, kredit zaxiralari, foizli daromad va xarajatlar, operatsion xarajatlar va sof foyda «SNS» reyting agentligining banklar ko‘rsatkichlari bazasidan</w:t>
      </w:r>
      <w:r>
        <w:rPr>
          <w:rStyle w:val="FootnoteReference"/>
        </w:rPr>
        <w:footnoteReference w:id="432"/>
      </w:r>
      <w:r>
        <w:rPr>
          <w:rFonts w:ascii="Times New Roman" w:hAnsi="Times New Roman" w:cs="Times New Roman" w:eastAsia="Times New Roman"/>
          <w:sz w:val="28"/>
        </w:rPr>
        <w:t xml:space="preserve">, makroiqtisodiy ko‘rsatkichlar esa Markaziy bankning statistik byulletenidan olindi</w:t>
      </w:r>
      <w:r>
        <w:rPr>
          <w:rStyle w:val="FootnoteReference"/>
        </w:rPr>
        <w:footnoteReference w:id="433"/>
      </w:r>
      <w:r>
        <w:rPr>
          <w:rFonts w:ascii="Times New Roman" w:hAnsi="Times New Roman" w:cs="Times New Roman" w:eastAsia="Times New Roman"/>
          <w:sz w:val="28"/>
        </w:rPr>
        <w:t xml:space="preserve">. Ikki bank manbasi bank nomlari bo‘yicha birlashtirildi, ma’lum xato qiymatlar tahlildan chiqarildi</w:t>
      </w:r>
      <w:r>
        <w:rPr>
          <w:rStyle w:val="FootnoteReference"/>
        </w:rPr>
        <w:footnoteReference w:id="434"/>
      </w:r>
      <w:r>
        <w:rPr>
          <w:rFonts w:ascii="Times New Roman" w:hAnsi="Times New Roman" w:cs="Times New Roman" w:eastAsia="Times New Roman"/>
          <w:sz w:val="28"/>
        </w:rPr>
        <w:t xml:space="preserve">. Tanlanmaga 2021-yil IV choragidan 2025-yil IV choragigacha bo‘lgan davrda aktivlari 1 trln so‘mdan ortiq, kreditlarining aktivlardagi ulushi kamida 20 foiz bo‘lgan va kamida 12 chorak davomida kuzatilgan 25 ta bank kiritildi. Ular 2025-yil yakunida bank tizimi aktivlarining 96,9 foizini tashkil etadi, 10 tasi davlat banki</w:t>
      </w:r>
      <w:r>
        <w:rPr>
          <w:rStyle w:val="FootnoteReference"/>
        </w:rPr>
        <w:footnoteReference w:id="435"/>
      </w:r>
      <w:r>
        <w:rPr>
          <w:rFonts w:ascii="Times New Roman" w:hAnsi="Times New Roman" w:cs="Times New Roman" w:eastAsia="Times New Roman"/>
          <w:sz w:val="28"/>
        </w:rPr>
        <w:t xml:space="preserve">. Natijada 17 chorak bo‘yicha 421 ta kuzatuvdan iborat panel shakllandi.</w:t>
      </w:r>
    </w:p>
    <w:p>
      <w:pPr>
        <w:pStyle w:val="BodyText"/>
        <w:spacing w:line="360" w:lineRule="auto" w:before="0" w:after="0"/>
        <w:ind w:firstLine="709"/>
        <w:jc w:val="both"/>
      </w:pPr>
      <w:r>
        <w:rPr>
          <w:rFonts w:ascii="Times New Roman" w:hAnsi="Times New Roman" w:cs="Times New Roman" w:eastAsia="Times New Roman"/>
          <w:sz w:val="28"/>
        </w:rPr>
        <w:t xml:space="preserve">Bog‘liq o‘zgaruvchi sifatida 3.1-paragrafda taklif etilgan integral indeksning choraklik ma’lumotlar asosida hisoblanadigan varianti, ya’ni panel MBII qo‘llandi. Bank kesimidagi choraklik ochiq ma’lumotlarda kapital monandligi koeffitsiyentlari, MHXS 9 bo‘yicha kreditlar bosqichlari va valyuta tarkibi e’lon qilinmaganligi sababli panel indeksi 13 ta ko‘rsatkichdan barcha banklar uchun mavjud bo‘lgan sakkiztasi asosida hisoblandi: kapitalning aktivlarga nisbati; muammoli kreditlar ulushi; muammoli kreditlarning zaxiralardan ortiq qismining kapitalga nisbati; yuqori likvid aktivlarning aktivlardagi ulushi; kreditlarning depozitlarga nisbati; ROA; ROE; xarajatlarning daromadlarga nisbati. Ko‘rsatkichlarni ballarga aylantirish chegaralari va bloklar vaznlari 3.1-paragrafdagi bilan bir xil, valyuta riski bloki mavjud bo‘lmaganligi sababli qolgan to‘rt blok vaznlari ularning yig‘indisi birga teng bo‘ladigan qilib qayta me’yorlandi. Muammoli kreditlar ulushi milliy tasnif bo‘yicha olinganligi sababli panel indeksi mazmunan 3.1-paragrafdagi «MBII-milliy» variantiga mos keladi. Natijalarning ishonchliligini tekshirish uchun muqobil bog‘liq o‘zgaruvchi sifatida xalqaro tadqiqotlarda keng qo‘llanadigan Z-score ko‘rsatkichi olindi</w:t>
      </w:r>
      <w:r>
        <w:rPr>
          <w:rStyle w:val="FootnoteReference"/>
        </w:rPr>
        <w:footnoteReference w:id="436"/>
      </w:r>
      <w:r>
        <w:rPr>
          <w:rStyle w:val="FootnoteReference"/>
        </w:rPr>
        <w:footnoteReference w:id="437"/>
      </w:r>
      <w:r>
        <w:rPr>
          <w:rFonts w:ascii="Times New Roman" w:hAnsi="Times New Roman" w:cs="Times New Roman" w:eastAsia="Times New Roman"/>
          <w:sz w:val="28"/>
        </w:rPr>
        <w:t xml:space="preserve">: u aktivlar rentabelligi va kapitalning aktivlarga nisbati yig‘indisining aktivlar rentabelligi standart chetlanishiga nisbati sifatida hisoblanadi va bank zarar ko‘rib kapitalini yo‘qotishi uchun daromadlilik o‘rtacha darajasidan necha standart chetlanishga pasayishi kerakligini ko‘rsatadi. Standart chetlanish L. Lepetit va F. Strobel tavsiyasiga muvofiq 8 chorakli siljuvchi oyna bo‘yicha hisoblandi</w:t>
      </w:r>
      <w:r>
        <w:rPr>
          <w:rStyle w:val="FootnoteReference"/>
        </w:rPr>
        <w:footnoteReference w:id="438"/>
      </w:r>
      <w:r>
        <w:rPr>
          <w:rFonts w:ascii="Times New Roman" w:hAnsi="Times New Roman" w:cs="Times New Roman" w:eastAsia="Times New Roman"/>
          <w:sz w:val="28"/>
        </w:rPr>
        <w:t xml:space="preserve">, taqsimotdagi kuchli asimmetriya sababli ko‘rsatkichning natural logarifmi qo‘llandi. Asosiy o‘zgaruvchilarning tavsifiy statistikasi 3.3.2-jadvalda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3.3.2-jadval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Tahlilda foydalanilgan o‘zgaruvchilarning tavsifiy statistikasi, 2021-yil IV chorak – 2025-yil IV chorak</w:t>
      </w:r>
      <w:r>
        <w:rPr>
          <w:rStyle w:val="FootnoteReference"/>
        </w:rPr>
        <w:footnoteReference w:id="439"/>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494"/>
        <w:gridCol w:w="1134"/>
        <w:gridCol w:w="1134"/>
        <w:gridCol w:w="1134"/>
        <w:gridCol w:w="1134"/>
        <w:gridCol w:w="1134"/>
        <w:gridCol w:w="1134"/>
      </w:tblGrid>
      <w:tr>
        <w:trPr>
          <w:tblHeader w:val="true"/>
          <w:cantSplit/>
          <w:tblHeader/>
        </w:trPr>
        <w:tc>
          <w:tcPr>
            <w:tcW w:type="dxa" w:w="249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Kuzatuvlar</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O‘rtacha</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Standart chetlanish</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Minimum</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Mediana</w:t>
            </w:r>
          </w:p>
        </w:tc>
        <w:tc>
          <w:tcPr>
            <w:tcW w:type="dxa" w:w="113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Maksimum</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Panel integral indeksi (MBII),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0,45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2,20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Aktivlar sifati bloki,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Likvidlik bloki,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2,78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0,94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2,78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Daromadlilik bloki, ball</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0,93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4,00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ln(Z-score)</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320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0,86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0,54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4,43</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Kapital / aktivlar,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16,0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8,4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15,2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36,8</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Muammoli kreditlar ulushi,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17,5</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Yuqori likvid aktivlar / aktivlar,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21,0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17,3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78,1</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Kreditlar / depozitlar,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160,1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91,5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22,8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138,9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414,0</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ROA,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−14,4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13,2</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ROE,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15,7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16,9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75,9</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ln(aktivlar, mlrd so‘m)</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9,59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1,14</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6,95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9,56</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11,89</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Kreditlar o‘sishi (yillik),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393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51,2</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−13,9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21,5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349,1</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421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50,3</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19,8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19,9</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48,5</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86,7</w:t>
            </w:r>
          </w:p>
        </w:tc>
      </w:tr>
      <w:tr>
        <w:trPr>
          <w:cantSplit/>
        </w:trPr>
        <w:tc>
          <w:tcPr>
            <w:tcW w:type="dxa" w:w="2494"/>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7,0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4,1</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0,0</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6,7</w:t>
            </w:r>
          </w:p>
        </w:tc>
        <w:tc>
          <w:tcPr>
            <w:tcW w:type="dxa" w:w="1134"/>
          </w:tcPr>
          <w:p>
            <w:pPr>
              <w:pStyle w:val="Compact"/>
              <w:spacing w:line="240" w:lineRule="auto"/>
              <w:ind w:firstLine="0"/>
              <w:jc w:val="center"/>
            </w:pPr>
            <w:r>
              <w:rPr>
                <w:rFonts w:ascii="Times New Roman" w:hAnsi="Times New Roman" w:cs="Times New Roman" w:eastAsia="Times New Roman"/>
                <w:sz w:val="22"/>
              </w:rPr>
              <w:t xml:space="preserve">21,0</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banklar moliyaviy barqarorlik ko‘rsatkichlari bo‘yicha bir-biridan sezilarli darajada farq qiladi. Panel indeksining o‘rtacha qiymati 3,40 ballni tashkil etib, 2,20 dan 4,00 gacha oraliqda o‘zgaradi. Eng past o‘rtacha ball va eng katta tafovut likvidlik blokiga to‘g‘ri keladi (2,78 ball, standart chetlanish 0,94). Kapital bloki esa barcha banklarda eng yuqori 4 ball bilan baholangan: tanlanmadagi banklarda kapitalning aktivlarga nisbati 8,4 foizdan past bo‘lmagan, o‘rtacha qiymati 16,0 foizni tashkil etgan, bu esa Bazel III dagi 3 foizlik leverage talabidan ham, milliy 6 foizlik talabdan ham ancha yuqori. Demak, O‘zbekiston banklarida moliyaviy barqarorlik bo‘yicha farqlar kapital yetarliligi bilan emas, balki likvidlik, daromadlilik va aktivlar sifati bilan belgilanadi. Kreditlar yillik o‘sishining medianasi 21,5 foizni tashkil etib, ayrim banklarda yiliga 3 barobardan ortiq o‘sish kuzatilgan.</w:t>
      </w:r>
    </w:p>
    <w:p>
      <w:pPr>
        <w:pStyle w:val="BodyText"/>
        <w:spacing w:line="360" w:lineRule="auto" w:before="0" w:after="0"/>
        <w:ind w:firstLine="709"/>
        <w:jc w:val="both"/>
      </w:pPr>
      <w:r>
        <w:rPr>
          <w:rFonts w:ascii="Times New Roman" w:hAnsi="Times New Roman" w:cs="Times New Roman" w:eastAsia="Times New Roman"/>
          <w:sz w:val="28"/>
        </w:rPr>
        <w:t xml:space="preserve">Ekonometrik modellarni baholashdan oldin davlat banklari va boshqa banklarning integral indeksi dinamikasini taqqoslash maqsadga muvofiq (3.3.1-rasm).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49" name="3.3.1-rasm"/>
            <wp:cNvGraphicFramePr/>
            <a:graphic>
              <a:graphicData uri="http://schemas.openxmlformats.org/drawingml/2006/chart">
                <c:chart r:id="rId42"/>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3.3.1-rasm. Davlat banklari va boshqa banklarda panel integral indeksining medianasi, har yilning IV choragi</w:t>
      </w:r>
      <w:r>
        <w:rPr>
          <w:rStyle w:val="FootnoteReference"/>
        </w:rPr>
        <w:footnoteReference w:id="440"/>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tahlil qilingan davrning barcha yillarida davlat banklarining integral indeksi boshqa banklarnikidan past bo‘lgan. Farq 2021-yilda 0,61 ballni, 2024-yilda esa eng yuqori darajasi – 0,83 ballni tashkil etgan. 2024-yilda davlat banklari indeksining 2,88 ballgacha pasayishiga ularning aktivlar rentabelligi medianasining 0,1 foizgacha tushib ketishi sabab bo‘lgan, bu II bobda «Mikrokreditbank» ATB misolida aniqlangan yashirin kredit riskining bir yo‘la tan olinishi bilan bog‘liq. 2025-yilda farq 0,46 ballgacha qisqargan, biroq bunga davlat banklari indeksining oshishi emas, asosan boshqa banklar indeksining 3,89 dan 3,61 ballgacha izchil pasayishi sabab bo‘lgan. Boshqa banklarda bu pasayish likvidlik blokining yomonlashuvi bilan izohlanadi: ularda kreditlarning depozitlarga nisbati medianasi 2022-yildagi 82,8 foizdan 2025-yilda 97,6 foizgacha oshgan, yuqori likvid aktivlar ulushi esa 24,6 foizdan 16,6 foizgacha kamaygan. Farqning qaysi bloklar hisobiga shakllanganini 3.3.2-rasm ko‘rsatadi.</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50" name="3.3.2-rasm"/>
            <wp:cNvGraphicFramePr/>
            <a:graphic>
              <a:graphicData uri="http://schemas.openxmlformats.org/drawingml/2006/chart">
                <c:chart r:id="rId43"/>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3.3.2-rasm. Davlat banklari va boshqa banklarda integral indeks bloklari bo‘yicha ballar medianasi, 2025-yil IV chorak</w:t>
      </w:r>
      <w:r>
        <w:rPr>
          <w:rStyle w:val="FootnoteReference"/>
        </w:rPr>
        <w:footnoteReference w:id="441"/>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davlat banklari va boshqa banklar o‘rtasidagi farq asosan likvidlik (2,23 va 3,26 ball) hamda daromadlilik (2,46 va 3,83 ball) bloklarida shakllangan, aktivlar sifati blokida esa nisbatan kichik (3,46 va 3,74 ball). Likvidlik blokidagi farqning manbai moliyalashtirish modelidagi tafovutdir: davlat banklarida depozitlarning aktivlardagi ulushi medianasi 2021–2025-yillarda 27,7–35,3 foizni, boshqa banklarda esa 51,7–70,1 foizni tashkil etgan. Natijada davlat banklarining kreditlari depozitlardan 1,9–2,8 barobar ko‘p bo‘lib, ular asosan davlat mablag‘lari va xalqaro moliya institutlari kreditlari hisobiga moliyalashtirilgan. Daromadlilik blokidagi farq esa sof foiz marjasidagi tafovut bilan bog‘liq: davlat banklarida bu ko‘rsatkich medianasi 1,9–4,7 foizni, boshqa banklarda 7,0–8,6 foizni tashkil etgan, chunki davlat dasturlari doirasidagi imtiyozli kreditlar past marjaga ega. Aktivlar sifati blokidagi farqning kichikligi esa muammoli kreditlarning milliy tasnif bo‘yicha olinganligi bilan izohlanadi: II bobda ko‘rsatilganidek, milliy tasnif davlat banklarida kredit riskini MHXS 9 ga nisbatan 1,7–3,3 barobar kam ko‘rsatadi.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bo‘yicha olingan bu manzara an’anaviy Z-score ko‘rsatkichi bilan solishtirilganda muhim metodologik xulosaga olib keladi (3.3.3-rasm).</w:t>
      </w:r>
    </w:p>
    <w:p xmlns:a="http://schemas.openxmlformats.org/drawingml/2006/main">
      <w:pPr>
        <w:pStyle w:val="BodyText"/>
        <w:keepNext/>
        <w:spacing w:line="240" w:lineRule="auto" w:before="0" w:after="0"/>
        <w:ind w:firstLine="0"/>
        <w:jc w:val="center"/>
      </w:pPr>
      <w:r xmlns:c="http://schemas.openxmlformats.org/drawingml/2006/chart">
        <w:rPr>
          <w:noProof/>
        </w:rPr>
        <w:drawing>
          <wp:inline distT="0" distB="0" distL="0" distR="0">
            <wp:extent cx="5760000" cy="2880000"/>
            <wp:effectExtent l="0" t="0" r="0" b="0"/>
            <wp:docPr id="51" name="3.3.3-rasm"/>
            <wp:cNvGraphicFramePr/>
            <a:graphic>
              <a:graphicData uri="http://schemas.openxmlformats.org/drawingml/2006/chart">
                <c:chart r:id="rId44"/>
              </a:graphicData>
            </a:graphic>
          </wp:inline>
        </w:drawing>
      </w:r>
    </w:p>
    <w:p>
      <w:pPr>
        <w:pStyle w:val="BodyText"/>
        <w:spacing w:line="240" w:lineRule="auto" w:before="120" w:after="240"/>
        <w:ind w:firstLine="0"/>
        <w:jc w:val="center"/>
      </w:pPr>
      <w:r>
        <w:rPr>
          <w:rFonts w:ascii="Times New Roman" w:hAnsi="Times New Roman" w:cs="Times New Roman" w:eastAsia="Times New Roman"/>
          <w:b/>
          <w:sz w:val="28"/>
        </w:rPr>
        <w:t xml:space="preserve">3.3.3-rasm. Davlat banklari va boshqa banklarda Z-score logarifmining medianasi, har yilning IV choragi</w:t>
      </w:r>
      <w:r>
        <w:rPr>
          <w:rStyle w:val="FootnoteReference"/>
        </w:rPr>
        <w:footnoteReference w:id="442"/>
      </w:r>
    </w:p>
    <w:p>
      <w:pPr>
        <w:pStyle w:val="BodyText"/>
        <w:spacing w:line="360" w:lineRule="auto" w:before="0" w:after="0"/>
        <w:ind w:firstLine="709"/>
        <w:jc w:val="both"/>
      </w:pPr>
      <w:r>
        <w:rPr>
          <w:rFonts w:ascii="Times New Roman" w:hAnsi="Times New Roman" w:cs="Times New Roman" w:eastAsia="Times New Roman"/>
          <w:sz w:val="28"/>
        </w:rPr>
        <w:t xml:space="preserve">Rasmdan ko‘rinib turibdiki, Z-score bo‘yicha davlat banklari 2023–2025-yillarda boshqa banklarga nisbatan barqarorroq ko‘rinadi: 2025-yilda ularning Z-score logarifmi medianasi 3,06 ni, boshqa banklarniki esa 2,84 ni tashkil etgan, ya’ni Z-score ning o‘zi davlat banklarida qariyb 1,25 barobar yuqori. Bu natija integral indeks natijasiga zid ko‘rinadi, biroq uning sababi Z-score ning tuzilishida. Z-score daromadlilikning past darajasidan ko‘ra uning tebranuvchanligiga sezgir bo‘ladi: davlat banklarining foydasi past, ammo davlat ko‘magi, imtiyozli resurslar va qayta kapitallashtirish hisobiga barqaror, kapitalning aktivlarga nisbati esa davlat tomonidan kiritilgan mablag‘lar hisobiga yuqori darajada saqlanadi. Natijada Z-score davlat ko‘magini bankning o‘z barqarorligi sifatida qabul qiladi, integral indeks esa likvidlik, daromadlilik va aktivlar sifatini alohida baholab, davlat banklarining tizimli zaif tomonlarini aniqlaydi. Bu xulosa 3.2-paragrafda davlat ko‘magisiz baho bo‘yicha olingan natijalar bilan mos keladi va davlat ulushi yuqori bo‘lgan bank tizimlarida bank barqarorligini faqat Z-score orqali baholash yetarli emasligini ko‘rsatadi.</w:t>
      </w:r>
    </w:p>
    <w:p>
      <w:pPr>
        <w:pStyle w:val="BodyText"/>
        <w:spacing w:line="360" w:lineRule="auto" w:before="0" w:after="0"/>
        <w:ind w:firstLine="709"/>
        <w:jc w:val="both"/>
      </w:pPr>
      <w:r>
        <w:rPr>
          <w:rFonts w:ascii="Times New Roman" w:hAnsi="Times New Roman" w:cs="Times New Roman" w:eastAsia="Times New Roman"/>
          <w:sz w:val="28"/>
        </w:rPr>
        <w:t xml:space="preserve">Omillar ta’sirini baholash uchun quyidagi panel regressiya modeli qo‘llandi:</w:t>
      </w:r>
    </w:p>
    <w:p>
      <w:pPr>
        <w:pStyle w:val="BodyText"/>
        <w:spacing w:line="360" w:lineRule="auto" w:before="0" w:after="0"/>
        <w:ind w:firstLine="0"/>
        <w:jc w:val="center"/>
      </w:pPr>
      <w:r>
        <w:rPr>
          <w:rFonts w:ascii="Times New Roman" w:hAnsi="Times New Roman" w:cs="Times New Roman" w:eastAsia="Times New Roman"/>
          <w:i/>
          <w:sz w:val="26"/>
        </w:rPr>
        <w:t xml:space="preserve">MBII</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α + β</w:t>
      </w:r>
      <w:r>
        <w:rPr>
          <w:rFonts w:ascii="Times New Roman" w:hAnsi="Times New Roman" w:cs="Times New Roman" w:eastAsia="Times New Roman"/>
          <w:i/>
          <w:sz w:val="26"/>
          <w:vertAlign w:val="subscript"/>
        </w:rPr>
        <w:t xml:space="preserve">1</w:t>
      </w:r>
      <w:r>
        <w:rPr>
          <w:rFonts w:ascii="Times New Roman" w:hAnsi="Times New Roman" w:cs="Times New Roman" w:eastAsia="Times New Roman"/>
          <w:i/>
          <w:sz w:val="26"/>
        </w:rPr>
        <w:t xml:space="preserve">·ln(Aktivlar)</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2</w:t>
      </w:r>
      <w:r>
        <w:rPr>
          <w:rFonts w:ascii="Times New Roman" w:hAnsi="Times New Roman" w:cs="Times New Roman" w:eastAsia="Times New Roman"/>
          <w:i/>
          <w:sz w:val="26"/>
        </w:rPr>
        <w:t xml:space="preserve">·Kreditlar o‘sishi</w:t>
      </w:r>
      <w:r>
        <w:rPr>
          <w:rFonts w:ascii="Times New Roman" w:hAnsi="Times New Roman" w:cs="Times New Roman" w:eastAsia="Times New Roman"/>
          <w:i/>
          <w:sz w:val="26"/>
          <w:vertAlign w:val="subscript"/>
        </w:rPr>
        <w:t xml:space="preserve">i,t−4</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3</w:t>
      </w:r>
      <w:r>
        <w:rPr>
          <w:rFonts w:ascii="Times New Roman" w:hAnsi="Times New Roman" w:cs="Times New Roman" w:eastAsia="Times New Roman"/>
          <w:i/>
          <w:sz w:val="26"/>
        </w:rPr>
        <w:t xml:space="preserve">·Depozitlar/Aktivlar</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4</w:t>
      </w:r>
      <w:r>
        <w:rPr>
          <w:rFonts w:ascii="Times New Roman" w:hAnsi="Times New Roman" w:cs="Times New Roman" w:eastAsia="Times New Roman"/>
          <w:i/>
          <w:sz w:val="26"/>
        </w:rPr>
        <w:t xml:space="preserve">·Sof foiz marjasi</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β</w:t>
      </w:r>
      <w:r>
        <w:rPr>
          <w:rFonts w:ascii="Times New Roman" w:hAnsi="Times New Roman" w:cs="Times New Roman" w:eastAsia="Times New Roman"/>
          <w:i/>
          <w:sz w:val="26"/>
          <w:vertAlign w:val="subscript"/>
        </w:rPr>
        <w:t xml:space="preserve">5</w:t>
      </w:r>
      <w:r>
        <w:rPr>
          <w:rFonts w:ascii="Times New Roman" w:hAnsi="Times New Roman" w:cs="Times New Roman" w:eastAsia="Times New Roman"/>
          <w:i/>
          <w:sz w:val="26"/>
        </w:rPr>
        <w:t xml:space="preserve">·Davlat</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γ</w:t>
      </w:r>
      <w:r>
        <w:rPr>
          <w:rFonts w:ascii="Times New Roman" w:hAnsi="Times New Roman" w:cs="Times New Roman" w:eastAsia="Times New Roman"/>
          <w:i/>
          <w:sz w:val="26"/>
          <w:vertAlign w:val="subscript"/>
        </w:rPr>
        <w:t xml:space="preserve">t</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u</w:t>
      </w:r>
      <w:r>
        <w:rPr>
          <w:rFonts w:ascii="Times New Roman" w:hAnsi="Times New Roman" w:cs="Times New Roman" w:eastAsia="Times New Roman"/>
          <w:i/>
          <w:sz w:val="26"/>
          <w:vertAlign w:val="subscript"/>
        </w:rPr>
        <w:t xml:space="preserve">i</w:t>
      </w:r>
      <w:r>
        <w:rPr>
          <w:rFonts w:ascii="Times New Roman" w:hAnsi="Times New Roman" w:cs="Times New Roman" w:eastAsia="Times New Roman"/>
          <w:i/>
          <w:sz w:val="26"/>
        </w:rPr>
        <w:t xml:space="preserve"> </w:t>
      </w:r>
      <w:r>
        <w:rPr>
          <w:rFonts w:ascii="Times New Roman" w:hAnsi="Times New Roman" w:cs="Times New Roman" w:eastAsia="Times New Roman"/>
          <w:i/>
          <w:sz w:val="26"/>
        </w:rPr>
        <w:t xml:space="preserve">+ ε</w:t>
      </w:r>
      <w:r>
        <w:rPr>
          <w:rFonts w:ascii="Times New Roman" w:hAnsi="Times New Roman" w:cs="Times New Roman" w:eastAsia="Times New Roman"/>
          <w:i/>
          <w:sz w:val="26"/>
          <w:vertAlign w:val="subscript"/>
        </w:rPr>
        <w:t xml:space="preserve">it</w:t>
      </w:r>
      <w:r>
        <w:rPr>
          <w:rFonts w:ascii="Times New Roman" w:hAnsi="Times New Roman" w:cs="Times New Roman" w:eastAsia="Times New Roman"/>
          <w:i/>
          <w:sz w:val="26"/>
        </w:rPr>
        <w:t xml:space="preserve">,</w:t>
      </w:r>
    </w:p>
    <w:p>
      <w:pPr>
        <w:pStyle w:val="BodyText"/>
        <w:spacing w:line="360" w:lineRule="auto" w:before="0" w:after="0"/>
        <w:ind w:firstLine="709"/>
        <w:jc w:val="both"/>
      </w:pPr>
      <w:r>
        <w:rPr>
          <w:rFonts w:ascii="Times New Roman" w:hAnsi="Times New Roman" w:cs="Times New Roman" w:eastAsia="Times New Roman"/>
          <w:sz w:val="28"/>
        </w:rPr>
        <w:t xml:space="preserve">bu yerda i – bank, t – chorak, γ</w:t>
      </w:r>
      <w:r>
        <w:rPr>
          <w:rFonts w:ascii="Times New Roman" w:hAnsi="Times New Roman" w:cs="Times New Roman" w:eastAsia="Times New Roman"/>
          <w:sz w:val="28"/>
          <w:vertAlign w:val="subscript"/>
        </w:rPr>
        <w:t xml:space="preserve">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chorak effektlari, u</w:t>
      </w:r>
      <w:r>
        <w:rPr>
          <w:rFonts w:ascii="Times New Roman" w:hAnsi="Times New Roman" w:cs="Times New Roman" w:eastAsia="Times New Roman"/>
          <w:sz w:val="28"/>
          <w:vertAlign w:val="subscript"/>
        </w:rPr>
        <w:t xml:space="preserve">i</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bankning kuzatilmaydigan individual xususiyatlari, ε</w:t>
      </w:r>
      <w:r>
        <w:rPr>
          <w:rFonts w:ascii="Times New Roman" w:hAnsi="Times New Roman" w:cs="Times New Roman" w:eastAsia="Times New Roman"/>
          <w:sz w:val="28"/>
          <w:vertAlign w:val="subscript"/>
        </w:rPr>
        <w:t xml:space="preserve">it</w:t>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 tasodifiy xato. Makroiqtisodiy omillar asosiy modelga alohida o‘zgaruvchi sifatida kiritilmadi, chunki ular barcha banklar uchun bir xil bo‘lib, faqat 17 chorak davomida o‘zgaradi va o‘zaro kuchli bog‘langan (masalan, YaIM o‘sishi va asosiy stavka o‘rtasidagi korrelyatsiya koeffitsiyenti −0,76 ni tashkil etadi). Shu sababli umumiy makroiqtisodiy sharoit va tartibga solishdagi o‘zgarishlarning ta’siri chorak effektlari orqali nazorat qilindi, makroiqtisodiy omillarning bevosita ta’siri esa muammoli kreditlar bo‘yicha alohida satellit modelda baholandi. Kreditlar o‘sishi riskning yuzaga chiqishi vaqt talab qilishini hisobga olib va teskari bog‘liqlikni kamaytirish maqsadida to‘rt chorak lag bilan kiritildi, shu sababli regressiyalar 2023–2025-yillardagi 12 chorakni qamraydi. Model uch usulda baholandi: barcha kuzatuvlarni birlashtirgan holda eng kichik kvadratlar usuli (Pooled OLS), tasodifiy effektlar (RE) va qayd etilgan effektlar (FE) modellari</w:t>
      </w:r>
      <w:r>
        <w:rPr>
          <w:rStyle w:val="FootnoteReference"/>
        </w:rPr>
        <w:footnoteReference w:id="443"/>
      </w:r>
      <w:r>
        <w:rPr>
          <w:rStyle w:val="FootnoteReference"/>
        </w:rPr>
        <w:footnoteReference w:id="444"/>
      </w:r>
      <w:r>
        <w:rPr>
          <w:rFonts w:ascii="Times New Roman" w:hAnsi="Times New Roman" w:cs="Times New Roman" w:eastAsia="Times New Roman"/>
          <w:sz w:val="28"/>
        </w:rPr>
        <w:t xml:space="preserve">. Usullar o‘rtasida tanlov Breusch–Pagan va Hausman testlari asosida amalga oshirildi</w:t>
      </w:r>
      <w:r>
        <w:rPr>
          <w:rStyle w:val="FootnoteReference"/>
        </w:rPr>
        <w:footnoteReference w:id="445"/>
      </w:r>
      <w:r>
        <w:rPr>
          <w:rStyle w:val="FootnoteReference"/>
        </w:rPr>
        <w:footnoteReference w:id="446"/>
      </w:r>
      <w:r>
        <w:rPr>
          <w:rFonts w:ascii="Times New Roman" w:hAnsi="Times New Roman" w:cs="Times New Roman" w:eastAsia="Times New Roman"/>
          <w:sz w:val="28"/>
        </w:rPr>
        <w:t xml:space="preserve">. Standart xatolar heteroskedastiklik va avtokorrelyatsiyani hisobga olish uchun bank bo‘yicha klasterlangan. Indeksning inersiyasini hisobga oluvchi dinamik model esa qisqa panellardagi siljishni</w:t>
      </w:r>
      <w:r>
        <w:rPr>
          <w:rStyle w:val="FootnoteReference"/>
        </w:rPr>
        <w:footnoteReference w:id="447"/>
      </w:r>
      <w:r>
        <w:rPr>
          <w:rFonts w:ascii="Times New Roman" w:hAnsi="Times New Roman" w:cs="Times New Roman" w:eastAsia="Times New Roman"/>
          <w:sz w:val="28"/>
        </w:rPr>
        <w:t xml:space="preserve"> </w:t>
      </w:r>
      <w:r>
        <w:rPr>
          <w:rFonts w:ascii="Times New Roman" w:hAnsi="Times New Roman" w:cs="Times New Roman" w:eastAsia="Times New Roman"/>
          <w:sz w:val="28"/>
        </w:rPr>
        <w:t xml:space="preserve">bartaraf etish maqsadida T. Anderson va C. Hsiao usuli bo‘yicha birinchi farqlarda, indeksning ikki chorak oldingi qiymatini instrument sifatida qo‘llab baholandi</w:t>
      </w:r>
      <w:r>
        <w:rPr>
          <w:rStyle w:val="FootnoteReference"/>
        </w:rPr>
        <w:footnoteReference w:id="448"/>
      </w:r>
      <w:r>
        <w:rPr>
          <w:rStyle w:val="FootnoteReference"/>
        </w:rPr>
        <w:footnoteReference w:id="449"/>
      </w:r>
      <w:r>
        <w:rPr>
          <w:rFonts w:ascii="Times New Roman" w:hAnsi="Times New Roman" w:cs="Times New Roman" w:eastAsia="Times New Roman"/>
          <w:sz w:val="28"/>
        </w:rPr>
        <w:t xml:space="preserve">. Omillar o‘rtasidagi multikollinearlik dispersiya inflyatsiyasi koeffitsiyenti (VIF) orqali tekshirildi: uning eng yuqori qiymati davlat banki o‘zgaruvchisi uchun 2,84 ni tashkil etib, kritik daraja hisoblanadigan 5 dan ancha past. Baholash natijalari 3.3.3-jadvalda keltirilgan.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3.3.3-jadval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Panel integral indeksiga ta’sir etuvchi omillarni baholash natijalari</w:t>
      </w:r>
      <w:r>
        <w:rPr>
          <w:rStyle w:val="FootnoteReference"/>
        </w:rPr>
        <w:footnoteReference w:id="45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814"/>
        <w:gridCol w:w="1814"/>
        <w:gridCol w:w="1814"/>
        <w:gridCol w:w="1814"/>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Pooled OLS</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FE (bank va chorak)</w:t>
            </w:r>
          </w:p>
        </w:tc>
        <w:tc>
          <w:tcPr>
            <w:tcW w:type="dxa" w:w="181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Dinamik (Anderson–Hsiao)</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MBII (t−1)</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0,502*** (0,185)</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0,057 (0,084)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−0,071 (0,091)</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0,029 (0,139)</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0,275*** (0,095)</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Kreditlar o‘sishi (t−4), %</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−0,0009*** (0,0003)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0,0001 (0,0002)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0,0003 (0,0002)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−0,0003 (0,0003)</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0,011*** (0,002)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0,009*** (0,002)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0,007*** (0,003)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0,008*** (0,001)</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0,021* (0,013)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0,012*** (0,004)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0,009** (0,004)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0,022*** (0,003)</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−0,278 (0,205)</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0,364* (0,215)</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Chorak effektlari</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267</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0,53</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0,13 (umumiy)</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0,09 (bank ichidagi)</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Testlar</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Breusch–Pagan LM = 616,1 (p &lt; 0,001)</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Hausman χ²(4) = 17,34 (p = 0,002)</w:t>
            </w:r>
          </w:p>
        </w:tc>
        <w:tc>
          <w:tcPr>
            <w:tcW w:type="dxa" w:w="1814"/>
          </w:tcPr>
          <w:p>
            <w:pPr>
              <w:pStyle w:val="Compact"/>
              <w:spacing w:line="240" w:lineRule="auto"/>
              <w:ind w:firstLine="0"/>
              <w:jc w:val="center"/>
            </w:pPr>
            <w:r>
              <w:rPr>
                <w:rFonts w:ascii="Times New Roman" w:hAnsi="Times New Roman" w:cs="Times New Roman" w:eastAsia="Times New Roman"/>
                <w:sz w:val="22"/>
              </w:rPr>
              <w:t xml:space="preserve">1-bosqich F = 17,2</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Dinamik modelda o‘zgaruvchilar birinchi farqlarda olingan. Qayd etilgan effektli modelda vaqt bo‘yicha o‘zgarmaydigan davlat banki o‘zgaruvchisi bank effektlari bilan to‘liq qamrab olinadi.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model spetsifikatsiyasini tanlash testlari bir ma’noli natija bergan. Breusch–Pagan testi banklarning individual effektlari mavjudligini tasdiqlagan (LM = 616,1), demak, barcha kuzatuvlarni birlashtirgan model banklar o‘rtasidagi kuzatilmaydigan farqlarni hisobga olmaydi. Hausman testi esa tasodifiy effektlar modelini rad etgan (p = 0,002), ya’ni banklarning individual xususiyatlari omillar bilan bog‘liq va ularning ta’sirini bank ichidagi o‘zgarishlar asosida baholash, ya’ni qayd etilgan effektlar modelini qo‘llash to‘g‘ri hisoblanadi. Shu sababli tasodifiy effektlar modelida davlat banki o‘zgaruvchisi uchun olingan musbat koeffitsiyent (0,364, p = 0,09) ishonchli emas, davlat ulushining ta’siri keyinroq alohida baholanadi.</w:t>
      </w:r>
    </w:p>
    <w:p>
      <w:pPr>
        <w:pStyle w:val="BodyText"/>
        <w:spacing w:line="360" w:lineRule="auto" w:before="0" w:after="0"/>
        <w:ind w:firstLine="709"/>
        <w:jc w:val="both"/>
      </w:pPr>
      <w:r>
        <w:rPr>
          <w:rFonts w:ascii="Times New Roman" w:hAnsi="Times New Roman" w:cs="Times New Roman" w:eastAsia="Times New Roman"/>
          <w:sz w:val="28"/>
        </w:rPr>
        <w:t xml:space="preserve">Natijalar ikkita omil ta’sirining barcha spetsifikatsiyalarda barqarorligini ko‘rsatadi. Birinchidan, depozitlarning aktivlardagi ulushi integral indeksga musbat va 1 foiz darajada ahamiyatli ta’sir ko‘rsatadi. Qayd etilgan effektli modelga ko‘ra, bank ichida depozitlar ulushining 10 foiz punktga oshishi indeksni 0,07 ballga, banklar o‘rtasidagi farqni ham hisobga oluvchi Pooled modelga ko‘ra esa 0,11 ballga oshiradi. Bu uchinchi gipotezani tasdiqlaydi va A. Demirgüç-Kunt hamda H. Huizinga xulosasi bilan mos keladi</w:t>
      </w:r>
      <w:r>
        <w:rPr>
          <w:rStyle w:val="FootnoteReference"/>
        </w:rPr>
        <w:footnoteReference w:id="451"/>
      </w:r>
      <w:r>
        <w:rPr>
          <w:rFonts w:ascii="Times New Roman" w:hAnsi="Times New Roman" w:cs="Times New Roman" w:eastAsia="Times New Roman"/>
          <w:sz w:val="28"/>
        </w:rPr>
        <w:t xml:space="preserve">. Ikkinchidan, sof foiz marjasi integral indeksga musbat ta’sir ko‘rsatadi: marjaning 1 foiz punktga oshishi qayd etilgan effektli modelga ko‘ra indeksni 0,009 ballga, dinamik modelga ko‘ra 0,022 ballga oshiradi. Bu to‘rtinchi gipotezani tasdiqlaydi: asosiy faoliyatdan barqaror daromad olish qobiliyati nafaqat daromadlilik blokini, balki kapitalni ichki manbalar hisobiga to‘ldirish orqali butun barqarorlikni mustahkamlaydi.</w:t>
      </w:r>
    </w:p>
    <w:p>
      <w:pPr>
        <w:pStyle w:val="BodyText"/>
        <w:spacing w:line="360" w:lineRule="auto" w:before="0" w:after="0"/>
        <w:ind w:firstLine="709"/>
        <w:jc w:val="both"/>
      </w:pPr>
      <w:r>
        <w:rPr>
          <w:rFonts w:ascii="Times New Roman" w:hAnsi="Times New Roman" w:cs="Times New Roman" w:eastAsia="Times New Roman"/>
          <w:sz w:val="28"/>
        </w:rPr>
        <w:t xml:space="preserve">Dinamik model integral indeksning sezilarli inersiyaga ega ekanini ko‘rsatadi: oldingi chorak indeksining koeffitsiyenti 0,50 ni tashkil etib, 1 foiz darajada ahamiyatli. Instrumentning kuchliligi birinchi bosqich F-statistikasi (17,2) bilan tasdiqlanadi, u J. Stock va M. Yogo tomonidan tavsiya etilgan 10 lik chegaradan yuqori</w:t>
      </w:r>
      <w:r>
        <w:rPr>
          <w:rStyle w:val="FootnoteReference"/>
        </w:rPr>
        <w:footnoteReference w:id="452"/>
      </w:r>
      <w:r>
        <w:rPr>
          <w:rFonts w:ascii="Times New Roman" w:hAnsi="Times New Roman" w:cs="Times New Roman" w:eastAsia="Times New Roman"/>
          <w:sz w:val="28"/>
        </w:rPr>
        <w:t xml:space="preserve">. Inersiya koeffitsiyenti bankning barqarorlik darajasiga ta’sir etuvchi shokning yarmi bir chorak ichida yo‘qolishini, omillarning uzoq muddatli ta’siri esa qisqa muddatlidan ikki barobar katta bo‘lishini anglatadi. Masalan, depozitlar ulushining 10 foiz punktga barqaror oshishi uzoq muddatda indeksni 0,17 ballga oshiradi. Bu natija P. Athanasoglou va hammualliflar xulosasiga mos keladi</w:t>
      </w:r>
      <w:r>
        <w:rPr>
          <w:rStyle w:val="FootnoteReference"/>
        </w:rPr>
        <w:footnoteReference w:id="453"/>
      </w:r>
      <w:r>
        <w:rPr>
          <w:rFonts w:ascii="Times New Roman" w:hAnsi="Times New Roman" w:cs="Times New Roman" w:eastAsia="Times New Roman"/>
          <w:sz w:val="28"/>
        </w:rPr>
        <w:t xml:space="preserve">, biroq inersiyaning nisbatan pastligi bir martalik zararlar va qayta kapitallashtirishlar bilan izohlanadi. Bu indeksni har chorakda hisoblash zarurligini asoslaydi.</w:t>
      </w:r>
    </w:p>
    <w:p>
      <w:pPr>
        <w:pStyle w:val="BodyText"/>
        <w:spacing w:line="360" w:lineRule="auto" w:before="0" w:after="0"/>
        <w:ind w:firstLine="709"/>
        <w:jc w:val="both"/>
      </w:pPr>
      <w:r>
        <w:rPr>
          <w:rFonts w:ascii="Times New Roman" w:hAnsi="Times New Roman" w:cs="Times New Roman" w:eastAsia="Times New Roman"/>
          <w:sz w:val="28"/>
        </w:rPr>
        <w:t xml:space="preserve">Kreditlar o‘sishining ta’siri spetsifikatsiyaga bog‘liq bo‘lgan. Banklar o‘rtasidagi farqni ham hisobga oluvchi Pooled modelda to‘rt chorak oldingi kreditlar o‘sishi indeksni 1 foiz darajada ahamiyatli pasaytiradi: kreditlarning yillik o‘sishi 50 foiz punktga yuqori bo‘lgan bankda bir yildan keyin indeks 0,05 ballga past bo‘ladi. Biroq qayd etilgan effektli va dinamik modellarda bu ta’sir ahamiyatsiz. Demak, jadal kreditlash strategiyasini tanlagan banklar o‘rtacha zaifroq bo‘lsa-da, bitta bank ichida kreditlash sur’atining o‘zgarishi bir yil ichida integral indeksda aks etmaydi. Buning sababi quyida satellit model natijalari orqali tushuntiriladi. Bank hajmining ta’siri ham barqaror emas: u faqat dinamik modelda musbat va ahamiyatli bo‘lib, qolgan modellarda ahamiyatsiz, demak, tahlil qilingan davrda bank hajmi moliyaviy barqarorlikning mustaqil omili bo‘lmagan.</w:t>
      </w:r>
    </w:p>
    <w:p>
      <w:pPr>
        <w:pStyle w:val="BodyText"/>
        <w:spacing w:line="360" w:lineRule="auto" w:before="0" w:after="0"/>
        <w:ind w:firstLine="709"/>
        <w:jc w:val="both"/>
      </w:pPr>
      <w:r>
        <w:rPr>
          <w:rFonts w:ascii="Times New Roman" w:hAnsi="Times New Roman" w:cs="Times New Roman" w:eastAsia="Times New Roman"/>
          <w:sz w:val="28"/>
        </w:rPr>
        <w:t xml:space="preserve">Birinchi gipotezani, ya’ni davlat ulushining ta’sirini tekshirish alohida yondashuvni talab qiladi, chunki davlat banki o‘zgaruvchisi vaqt bo‘yicha deyarli o‘zgarmaydi va qayd etilgan effektli modelda baholanmaydi. Shu sababli bu ta’sir banklar o‘rtasidagi farq asosida, Pooled modelda chorak effektlari bilan, ikki bosqichda baholandi: avval moliyalashtirish tuzilmasini nazorat qilmagan holda, so‘ngra depozitlar ulushi va sof foiz marjasini qo‘shgan holda. Ikki model koeffitsiyentlari o‘rtasidagi farq davlat ulushi ta’sirining qaysi qismi moliyalashtirish modeli orqali amalga oshishini ko‘rsatadi (3.3.4-jadval).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3.3.4-jadval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Davlat ulushining integral indeksga ta’sirini baholash natijalari (Pooled OLS, chorak effektlari bilan)</w:t>
      </w:r>
      <w:r>
        <w:rPr>
          <w:rStyle w:val="FootnoteReference"/>
        </w:rPr>
        <w:footnoteReference w:id="454"/>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2948"/>
        <w:gridCol w:w="2948"/>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Ko‘rsatkich</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1-model: funding nazoratisiz</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2-model: depozitlar va foiz marjasi nazorati bilan</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−0,690*** (0,185)</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−0,344* (0,202)</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0,095 (0,093)</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0,119 (0,080)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0,0109*** (0,0025)</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0,018 (0,014)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418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418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0,38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0,51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Davlat banki ta’sirining funding modeli orqali izohlanadigan qismi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−0,35 ball (50 %)</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Model 2021-yil IV choragidan 2025-yil IV choragigacha bo‘lgan barcha kuzatuvlar asosida baholandi.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boshqa sharoitlar teng bo‘lganda, davlat banklarining integral indeksi xususiy banklarnikidan o‘rtacha 0,69 ballga past bo‘lib, bu ta’sir 1 foiz darajada ahamiyatli. Bu farq qariyb bir sinf kengligiga teng, chunki 3.1-paragrafda belgilangan barqarorlik sinflari 0,75 ball oraliq bilan ajratilgan. Shunday qilib, birinchi gipoteza tasdiqlanadi va natija yuqorida keltirilgan xalqaro tadqiqotlar bilan mos keladi. Depozitlar ulushi va sof foiz marjasi modelga qo‘shilganda davlat banki koeffitsiyenti −0,34 gacha kamayadi va faqat 10 foiz darajada ahamiyatli bo‘lib qoladi. Demak, davlat banklari barqarorligining pastligi qariyb yarmiga, ya’ni 0,35 ballga, ularning moliyalashtirish modeli – depozit bazasining torligi va imtiyozli kreditlashning past marjasi bilan izohlanadi va bu omillar bank boshqaruvi hamda davlat siyosati orqali o‘zgartirilishi mumkin. Qolgan 0,34 ball esa kredit portfeli tarkibi, boshqaruv sifati va kreditlash qarorlarining tijorat mezonlariga to‘liq asoslanmasligi bilan bog‘liq bo‘lishi mumkin. Bu davlat banklarini isloh qilishda faqat xususiylashtirish bilan cheklanmasdan, ularning resurs bazasini depozitlar hisobiga diversifikatsiya qilish va davlat dasturlari bo‘yicha kreditlashni tijorat faoliyatidan ajratish zarurligini ko‘rsatadi.</w:t>
      </w:r>
    </w:p>
    <w:p>
      <w:pPr>
        <w:pStyle w:val="BodyText"/>
        <w:spacing w:line="360" w:lineRule="auto" w:before="0" w:after="0"/>
        <w:ind w:firstLine="709"/>
        <w:jc w:val="both"/>
      </w:pPr>
      <w:r>
        <w:rPr>
          <w:rFonts w:ascii="Times New Roman" w:hAnsi="Times New Roman" w:cs="Times New Roman" w:eastAsia="Times New Roman"/>
          <w:sz w:val="28"/>
        </w:rPr>
        <w:t xml:space="preserve">Natijalarning ishonchliligini tekshirish uchun xuddi shu model bog‘liq o‘zgaruvchi sifatida Z-score logarifmi olingan holda baholandi (3.3.5-jadval).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3.3.5-jadval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Z-score logarifmiga ta’sir etuvchi omillarni baholash natijalari (robastlik tekshiruvi)</w:t>
      </w:r>
      <w:r>
        <w:rPr>
          <w:rStyle w:val="FootnoteReference"/>
        </w:rPr>
        <w:footnoteReference w:id="455"/>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268"/>
        <w:gridCol w:w="2324"/>
        <w:gridCol w:w="2324"/>
        <w:gridCol w:w="2381"/>
      </w:tblGrid>
      <w:tr>
        <w:trPr>
          <w:tblHeader w:val="true"/>
          <w:cantSplit/>
          <w:tblHeader/>
        </w:trPr>
        <w:tc>
          <w:tcPr>
            <w:tcW w:type="dxa" w:w="226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232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Pooled OLS</w:t>
            </w:r>
          </w:p>
        </w:tc>
        <w:tc>
          <w:tcPr>
            <w:tcW w:type="dxa" w:w="232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RE</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FE (bank va chorak)</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0,184 (0,134)</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−0,245 (0,150)</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−0,776* (0,430)</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Kreditlar o‘sishi (t−4), %</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−0,0021*** (0,0008)</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−0,0017** (0,0008)</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−0,0027** (0,0012)</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Depozitlar / aktivlar, %</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−0,012** (0,006)</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−0,011 (0,008)</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−0,013 (0,009)</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Sof foiz marjasi, %</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0,017 (0,025)</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−0,005 (0,014)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−0,016 (0,016)</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−0,371 (0,427)</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0,544 (0,413)</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294</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294</w:t>
            </w:r>
          </w:p>
        </w:tc>
      </w:tr>
      <w:tr>
        <w:trPr>
          <w:cantSplit/>
        </w:trPr>
        <w:tc>
          <w:tcPr>
            <w:tcW w:type="dxa" w:w="2268"/>
          </w:tcPr>
          <w:p>
            <w:pPr>
              <w:pStyle w:val="Compact"/>
              <w:spacing w:line="240" w:lineRule="auto"/>
              <w:ind w:firstLine="0"/>
              <w:jc w:val="left"/>
            </w:pPr>
            <w:r>
              <w:rPr>
                <w:rFonts w:ascii="Times New Roman" w:hAnsi="Times New Roman" w:cs="Times New Roman" w:eastAsia="Times New Roman"/>
                <w:sz w:val="22"/>
              </w:rPr>
              <w:t xml:space="preserve">Hausman testi</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324"/>
          </w:tcPr>
          <w:p>
            <w:pPr>
              <w:pStyle w:val="Compact"/>
              <w:spacing w:line="240" w:lineRule="auto"/>
              <w:ind w:firstLine="0"/>
              <w:jc w:val="center"/>
            </w:pPr>
            <w:r>
              <w:rPr>
                <w:rFonts w:ascii="Times New Roman" w:hAnsi="Times New Roman" w:cs="Times New Roman" w:eastAsia="Times New Roman"/>
                <w:sz w:val="22"/>
              </w:rPr>
              <w:t xml:space="preserve">χ²(4) = 6,83 (p = 0,145)</w:t>
            </w:r>
          </w:p>
        </w:tc>
        <w:tc>
          <w:tcPr>
            <w:tcW w:type="dxa" w:w="2381"/>
          </w:tcPr>
          <w:p>
            <w:pPr>
              <w:pStyle w:val="Compact"/>
              <w:spacing w:line="240" w:lineRule="auto"/>
              <w:ind w:firstLine="0"/>
              <w:jc w:val="center"/>
            </w:pPr>
            <w:r>
              <w:rPr>
                <w:rFonts w:ascii="Times New Roman" w:hAnsi="Times New Roman" w:cs="Times New Roman" w:eastAsia="Times New Roman"/>
                <w:sz w:val="22"/>
              </w:rPr>
              <w:t xml:space="preserve">–</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Barcha modellarda chorak effektlari mavjud.</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Z-score bo‘yicha natijalar integral indeks natijalaridan ikki jihatdan farq qiladi. Birinchidan, kreditlar o‘sishining salbiy ta’siri bu yerda barcha uchta modelda, jumladan qayd etilgan effektli modelda ham statistik ahamiyatli: bank ichida kreditlarning yillik o‘sishi 10 foiz punktga oshishi bir yildan keyin Z-score ni 1,7–2,7 foizga pasaytiradi. Bu ikkinchi gipotezani tasdiqlaydi va D. Foos hamda hammualliflar natijasi bilan mos keladi</w:t>
      </w:r>
      <w:r>
        <w:rPr>
          <w:rStyle w:val="FootnoteReference"/>
        </w:rPr>
        <w:footnoteReference w:id="456"/>
      </w:r>
      <w:r>
        <w:rPr>
          <w:rFonts w:ascii="Times New Roman" w:hAnsi="Times New Roman" w:cs="Times New Roman" w:eastAsia="Times New Roman"/>
          <w:sz w:val="28"/>
        </w:rPr>
        <w:t xml:space="preserve">. Jadal kreditlash avvalo daromadlilikning tebranuvchanligini oshiradi, bu esa Z-score da darhol aks etadi. Ikkinchidan, davlat banki o‘zgaruvchisi Z-score ga ahamiyatli ta’sir ko‘rsatmaydi, tasodifiy effektlar modelida esa uning koeffitsiyenti hatto musbat. Bu 3.3.3-rasmda aniqlangan holatni tasdiqlaydi: Z-score davlat banklarining zaifligini aniqlamaydi, chunki davlat ko‘magi ularning daromadliligini barqarorlashtiradi. Depozitlar ulushining Z-score ga ta’siri esa faqat Pooled modelda ahamiyatli va manfiy bo‘lib, bu chakana depozitlarga tayanuvchi banklar daromadining tebranuvchanroq ekanligi bilan izohlanadi.</w:t>
      </w:r>
    </w:p>
    <w:p>
      <w:pPr>
        <w:pStyle w:val="BodyText"/>
        <w:spacing w:line="360" w:lineRule="auto" w:before="0" w:after="0"/>
        <w:ind w:firstLine="709"/>
        <w:jc w:val="both"/>
      </w:pPr>
      <w:r>
        <w:rPr>
          <w:rFonts w:ascii="Times New Roman" w:hAnsi="Times New Roman" w:cs="Times New Roman" w:eastAsia="Times New Roman"/>
          <w:sz w:val="28"/>
        </w:rPr>
        <w:t xml:space="preserve">Integral indeks modellarida kreditlar o‘sishining bank ichidagi ta’siri aniqlanmaganligi sababini tushunish uchun muammoli kreditlar ulushining omillari alohida satellit modelda baholandi. Bu modelda makroiqtisodiy omillar bevosita kiritildi, kreditlar o‘sishi esa to‘rt va sakkiz chorak lag bilan olindi (3.3.6-jadval).</w:t>
      </w:r>
    </w:p>
    <w:p>
      <w:pPr>
        <w:pStyle w:val="BodyText"/>
        <w:keepNext/>
        <w:spacing w:line="360" w:lineRule="auto" w:before="120" w:after="0"/>
        <w:ind w:firstLine="0"/>
        <w:jc w:val="right"/>
      </w:pPr>
      <w:r>
        <w:rPr>
          <w:rFonts w:ascii="Times New Roman" w:hAnsi="Times New Roman" w:cs="Times New Roman" w:eastAsia="Times New Roman"/>
          <w:i/>
          <w:sz w:val="28"/>
        </w:rPr>
        <w:t xml:space="preserve">3.3.6-jadval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Muammoli kreditlar ulushiga ta’sir etuvchi omillarni baholash natijalari (satellit model)</w:t>
      </w:r>
      <w:r>
        <w:rPr>
          <w:rStyle w:val="FootnoteReference"/>
        </w:rPr>
        <w:footnoteReference w:id="457"/>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2948"/>
        <w:gridCol w:w="2948"/>
      </w:tblGrid>
      <w:tr>
        <w:trPr>
          <w:tblHeader w:val="true"/>
          <w:cantSplit/>
          <w:tblHeader/>
        </w:trPr>
        <w:tc>
          <w:tcPr>
            <w:tcW w:type="dxa" w:w="3402"/>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O‘zgaruvchi</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FE (bank effektlari)</w:t>
            </w:r>
          </w:p>
        </w:tc>
        <w:tc>
          <w:tcPr>
            <w:tcW w:type="dxa" w:w="294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Pooled OLS</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Muammoli kreditlar ulushi (t−1),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0,623*** (0,051)</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0,805*** (0,061)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o‘sishi (t−4),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0,0011 (0,0037)</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0,0055 (0,0038)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Kreditlar o‘sishi (t−8),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−0,0012 (0,0014)</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−0,0006 (0,0010)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ln(aktivlar)</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1,119 (1,216)</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0,205 (0,151)</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YaIM o‘sishi,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−1,437*** (0,498)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−1,927*** (0,588)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Asosiy stavka,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0,705* (0,398)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0,999** (0,438)</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AQSh dollari kursi o‘zgarishi,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−0,018 (0,040)</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−0,066*** (0,023)</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Inflyatsiya, %</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−0,165 (0,118)</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−0,188 (0,130)</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Davlat banki (dummy)</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0,133 (0,304)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Kuzatuvlar soni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194</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194</w:t>
            </w:r>
          </w:p>
        </w:tc>
      </w:tr>
      <w:tr>
        <w:trPr>
          <w:cantSplit/>
        </w:trPr>
        <w:tc>
          <w:tcPr>
            <w:tcW w:type="dxa" w:w="3402"/>
          </w:tcPr>
          <w:p>
            <w:pPr>
              <w:pStyle w:val="Compact"/>
              <w:spacing w:line="240" w:lineRule="auto"/>
              <w:ind w:firstLine="0"/>
              <w:jc w:val="left"/>
            </w:pPr>
            <w:r>
              <w:rPr>
                <w:rFonts w:ascii="Times New Roman" w:hAnsi="Times New Roman" w:cs="Times New Roman" w:eastAsia="Times New Roman"/>
                <w:sz w:val="22"/>
              </w:rPr>
              <w:t xml:space="preserve">R²</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0,41 (bank ichidagi)</w:t>
            </w:r>
          </w:p>
        </w:tc>
        <w:tc>
          <w:tcPr>
            <w:tcW w:type="dxa" w:w="2948"/>
          </w:tcPr>
          <w:p>
            <w:pPr>
              <w:pStyle w:val="Compact"/>
              <w:spacing w:line="240" w:lineRule="auto"/>
              <w:ind w:firstLine="0"/>
              <w:jc w:val="center"/>
            </w:pPr>
            <w:r>
              <w:rPr>
                <w:rFonts w:ascii="Times New Roman" w:hAnsi="Times New Roman" w:cs="Times New Roman" w:eastAsia="Times New Roman"/>
                <w:sz w:val="22"/>
              </w:rPr>
              <w:t xml:space="preserve">0,81</w:t>
            </w:r>
          </w:p>
        </w:tc>
      </w:tr>
    </w:tbl>
    <w:p>
      <w:pPr>
        <w:pStyle w:val="BodyText"/>
        <w:spacing w:line="240" w:lineRule="auto" w:before="0" w:after="120"/>
        <w:ind w:firstLine="0"/>
        <w:jc w:val="both"/>
      </w:pPr>
      <w:r>
        <w:rPr>
          <w:rFonts w:ascii="Times New Roman" w:hAnsi="Times New Roman" w:cs="Times New Roman" w:eastAsia="Times New Roman"/>
          <w:sz w:val="24"/>
        </w:rPr>
        <w:t xml:space="preserve">Izoh: qavs ichida bank bo‘yicha klasterlangan standart xatolar; ***, **, * – koeffitsiyent mos ravishda 1, 5 va 10 foiz darajada statistik ahamiyatli. Sakkiz chorak lag sababli model 2024-yil I choragidan 2025-yil IV choragigacha bo‘lgan kuzatuvlar asosida baholandi.</w:t>
      </w:r>
    </w:p>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muammoli kreditlar ulushi kuchli inersiyaga ega: oldingi chorak qiymatining koeffitsiyenti 0,62–0,81 ni tashkil etadi, ya’ni bir marta yuzaga kelgan muammoli kreditlar portfeldan sekin chiqadi. Makroiqtisodiy omillar beshinchi gipotezaga mos ravishda ta’sir ko‘rsatgan. YaIM o‘sish sur’atining 1 foiz punktga oshishi muammoli kreditlar ulushini qisqa muddatda 1,4–1,9 foiz punktga kamaytiradi, bu ta’sir 1 foiz darajada ahamiyatli. Asosiy stavkaning 1 foiz punktga oshishi esa muammoli kreditlar ulushini 0,7–1,0 foiz punktga oshiradi (5–10 foiz darajada ahamiyatli), bu qarz oluvchilar foiz yukining oshishi bilan izohlanadi. Bu natijalar yuqorida keltirilgan xalqaro tadqiqotlar bilan mos keladi</w:t>
      </w:r>
      <w:r>
        <w:rPr>
          <w:rStyle w:val="FootnoteReference"/>
        </w:rPr>
        <w:footnoteReference w:id="458"/>
      </w:r>
      <w:r>
        <w:rPr>
          <w:rFonts w:ascii="Times New Roman" w:hAnsi="Times New Roman" w:cs="Times New Roman" w:eastAsia="Times New Roman"/>
          <w:sz w:val="28"/>
        </w:rPr>
        <w:t xml:space="preserve">. So‘m kursining ta’siri esa faqat Pooled modelda ahamiyatli va kutilganiga teskari ishorada bo‘lib, qayd etilgan effektli modelda tasdiqlanmagan. Bu natija qisqa tahlil davrida so‘m kursining o‘zgarishi boshqa makroiqtisodiy omillar bilan bir vaqtda kuzatilgani bilan bog‘liq bo‘lishi mumkin, shu sababli unga ehtiyotkorlik bilan yondashish lozim.</w:t>
      </w:r>
    </w:p>
    <w:p>
      <w:pPr>
        <w:pStyle w:val="BodyText"/>
        <w:spacing w:line="360" w:lineRule="auto" w:before="0" w:after="0"/>
        <w:ind w:firstLine="709"/>
        <w:jc w:val="both"/>
      </w:pPr>
      <w:r>
        <w:rPr>
          <w:rFonts w:ascii="Times New Roman" w:hAnsi="Times New Roman" w:cs="Times New Roman" w:eastAsia="Times New Roman"/>
          <w:sz w:val="28"/>
        </w:rPr>
        <w:t xml:space="preserve">Satellit modelning eng muhim natijasi shundaki, kreditlar o‘sishi na to‘rt, na sakkiz chorak lag bilan milliy tasnif bo‘yicha muammoli kreditlar ulushiga ahamiyatli ta’sir ko‘rsatmaydi. Bu D. Foos va hammualliflarning xalqaro natijasiga zid bo‘lib</w:t>
      </w:r>
      <w:r>
        <w:rPr>
          <w:rStyle w:val="FootnoteReference"/>
        </w:rPr>
        <w:footnoteReference w:id="459"/>
      </w:r>
      <w:r>
        <w:rPr>
          <w:rFonts w:ascii="Times New Roman" w:hAnsi="Times New Roman" w:cs="Times New Roman" w:eastAsia="Times New Roman"/>
          <w:sz w:val="28"/>
        </w:rPr>
        <w:t xml:space="preserve">, birinchi qarashda ikkinchi gipotezani rad etadi. Biroq bu natija II bobda aniqlangan holat bilan to‘liq izohlanadi: milliy tasnif kredit riskini MHXS 9 ga nisbatan 1,7–3,3 barobar kam ko‘rsatadi va qayta tuzilgan hamda muddati uzaytirilgan kreditlarni muammoli deb tan olmaydi. Demak, jadal kreditlash natijasida to‘planayotgan kredit riski milliy muammoli kreditlar ko‘rsatkichida aks etmaydi, balki daromadlilik tebranuvchanligida (Z-score modeli) va keyinchalik bir yo‘la tan olinadigan zararlarda namoyon bo‘ladi. «Mikrokreditbank» ATB ning 2024-yildagi 1 703,8 mlrd so‘mlik zarari bunga yaqqol misoldir. Shu bilan birga, model faqat 2024–2025-yillarni qamrab olganligi sababli jadal kreditlash ta’siri hali to‘liq yuzaga chiqmagan bo‘lishi ham mumkin. Bu natija milliy hisobot ma’lumotlariga yashirin kredit riski koeffitsiyenti orqali tuzatish kiritish zarurligini ekonometrik jihatdan qo‘shimcha asoslaydi.</w:t>
      </w:r>
    </w:p>
    <w:p>
      <w:pPr>
        <w:pStyle w:val="BodyText"/>
        <w:spacing w:line="360" w:lineRule="auto" w:before="0" w:after="0"/>
        <w:ind w:firstLine="709"/>
        <w:jc w:val="both"/>
      </w:pPr>
      <w:r>
        <w:rPr>
          <w:rFonts w:ascii="Times New Roman" w:hAnsi="Times New Roman" w:cs="Times New Roman" w:eastAsia="Times New Roman"/>
          <w:sz w:val="28"/>
        </w:rPr>
        <w:t xml:space="preserve">Gipotezalarni tekshirish natijalari 3.3.7-jadvalda umumlashtirilgan.</w:t>
      </w:r>
    </w:p>
    <w:p>
      <w:pPr>
        <w:pStyle w:val="BodyText"/>
        <w:keepNext/>
        <w:spacing w:line="360" w:lineRule="auto" w:before="120" w:after="0"/>
        <w:ind w:firstLine="0"/>
        <w:jc w:val="right"/>
      </w:pPr>
      <w:r>
        <w:rPr>
          <w:rFonts w:ascii="Times New Roman" w:hAnsi="Times New Roman" w:cs="Times New Roman" w:eastAsia="Times New Roman"/>
          <w:i/>
          <w:sz w:val="28"/>
        </w:rPr>
        <w:t xml:space="preserve">3.3.7-jadval</w:t>
      </w:r>
    </w:p>
    <w:p>
      <w:pPr>
        <w:pStyle w:val="BodyText"/>
        <w:keepNext/>
        <w:spacing w:line="240" w:lineRule="auto" w:before="0" w:after="120"/>
        <w:ind w:firstLine="0"/>
        <w:jc w:val="center"/>
      </w:pPr>
      <w:r>
        <w:rPr>
          <w:bCs/>
          <w:rFonts w:ascii="Times New Roman" w:hAnsi="Times New Roman" w:cs="Times New Roman" w:eastAsia="Times New Roman"/>
          <w:b/>
          <w:sz w:val="28"/>
        </w:rPr>
        <w:t xml:space="preserve">Tadqiqot gipotezalarini tekshirish natijalari</w:t>
      </w:r>
      <w:r>
        <w:rPr>
          <w:rStyle w:val="FootnoteReference"/>
        </w:rPr>
        <w:footnoteReference w:id="460"/>
      </w:r>
    </w:p>
    <w:tbl>
      <w:tblPr>
        <w:tblStyle w:val="Table"/>
        <w:tblW w:type="pct" w:w="5000"/>
        <w:tblLayout w:type="fixed"/>
        <w:tblLook w:firstRow="1" w:lastRow="0" w:firstColumn="0" w:lastColumn="0" w:noHBand="0" w:noVBand="0" w:val="0020"/>
        <w:jc w:val="start"/>
        <w:tblBorders>
          <w:top w:val="single" w:sz="4" w:color="000000"/>
          <w:left w:val="single" w:sz="4" w:color="000000"/>
          <w:bottom w:val="single" w:sz="4" w:color="000000"/>
          <w:right w:val="single" w:sz="4" w:color="000000"/>
          <w:insideH w:val="single" w:sz="4" w:color="000000"/>
          <w:insideV w:val="single" w:sz="4" w:color="000000"/>
        </w:tblBorders>
      </w:tblPr>
      <w:tblGrid>
        <w:gridCol w:w="2041"/>
        <w:gridCol w:w="1927"/>
        <w:gridCol w:w="1474"/>
        <w:gridCol w:w="1474"/>
        <w:gridCol w:w="2381"/>
      </w:tblGrid>
      <w:tr>
        <w:trPr>
          <w:tblHeader w:val="true"/>
          <w:cantSplit/>
          <w:tblHeader/>
        </w:trPr>
        <w:tc>
          <w:tcPr>
            <w:tcW w:type="dxa" w:w="204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Gipoteza</w:t>
            </w:r>
          </w:p>
        </w:tc>
        <w:tc>
          <w:tcPr>
            <w:tcW w:type="dxa" w:w="1928"/>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Integral indeks (MBII)</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Z-score</w:t>
            </w:r>
          </w:p>
        </w:tc>
        <w:tc>
          <w:tcPr>
            <w:tcW w:type="dxa" w:w="1474"/>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Muammoli kreditlar ulushi</w:t>
            </w:r>
          </w:p>
        </w:tc>
        <w:tc>
          <w:tcPr>
            <w:tcW w:type="dxa" w:w="2381"/>
            <w:shd w:val="clear" w:color="auto" w:fill="DEEBF7"/>
          </w:tcPr>
          <w:p>
            <w:pPr>
              <w:pStyle w:val="Compact"/>
              <w:spacing w:line="240" w:lineRule="auto"/>
              <w:ind w:firstLine="0"/>
              <w:jc w:val="center"/>
            </w:pPr>
            <w:r>
              <w:rPr>
                <w:rFonts w:ascii="Times New Roman" w:hAnsi="Times New Roman" w:cs="Times New Roman" w:eastAsia="Times New Roman"/>
                <w:b/>
                <w:sz w:val="22"/>
              </w:rPr>
              <w:t xml:space="preserve">Xulosa</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H1. Davlat ulushi barqarorlikni pasaytiradi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−0,69*** (yarmi moliyalashtirish modeli orqali)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Integral indeks bo‘yicha tasdiqlandi, Z-score uni aniqlamaydi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H2. Jadal kreditlash barqarorlikni pasaytiradi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Pooled modelda manfiy***, bank ichida ahamiyatsiz</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barcha modellarda manfiy (**/***)</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Qisman tasdiqlandi: risk milliy muammoli kreditlarda aks etmaydi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H3. Depozit bazasi barqarorlikni oshiradi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barcha modellarda musbat***</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Pooled modelda manfiy**</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Integral indeks bo‘yicha tasdiqlandi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H4. Sof foiz marjasi barqarorlikni oshiradi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musbat (*/**/***)</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ahamiyatsiz</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Tasdiqlandi</w:t>
            </w:r>
          </w:p>
        </w:tc>
      </w:tr>
      <w:tr>
        <w:trPr>
          <w:cantSplit/>
        </w:trPr>
        <w:tc>
          <w:tcPr>
            <w:tcW w:type="dxa" w:w="2041"/>
          </w:tcPr>
          <w:p>
            <w:pPr>
              <w:pStyle w:val="Compact"/>
              <w:spacing w:line="240" w:lineRule="auto"/>
              <w:ind w:firstLine="0"/>
              <w:jc w:val="left"/>
            </w:pPr>
            <w:r>
              <w:rPr>
                <w:rFonts w:ascii="Times New Roman" w:hAnsi="Times New Roman" w:cs="Times New Roman" w:eastAsia="Times New Roman"/>
                <w:sz w:val="22"/>
              </w:rPr>
              <w:t xml:space="preserve">H5. YaIM o‘sishi kredit riskini kamaytiradi, asosiy stavka oshiradi</w:t>
            </w:r>
          </w:p>
        </w:tc>
        <w:tc>
          <w:tcPr>
            <w:tcW w:type="dxa" w:w="1928"/>
          </w:tcPr>
          <w:p>
            <w:pPr>
              <w:pStyle w:val="Compact"/>
              <w:spacing w:line="240" w:lineRule="auto"/>
              <w:ind w:firstLine="0"/>
              <w:jc w:val="left"/>
            </w:pPr>
            <w:r>
              <w:rPr>
                <w:rFonts w:ascii="Times New Roman" w:hAnsi="Times New Roman" w:cs="Times New Roman" w:eastAsia="Times New Roman"/>
                <w:sz w:val="22"/>
              </w:rPr>
              <w:t xml:space="preserve">chorak effektlari orqali nazorat qilindi</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w:t>
            </w:r>
          </w:p>
        </w:tc>
        <w:tc>
          <w:tcPr>
            <w:tcW w:type="dxa" w:w="1474"/>
          </w:tcPr>
          <w:p>
            <w:pPr>
              <w:pStyle w:val="Compact"/>
              <w:spacing w:line="240" w:lineRule="auto"/>
              <w:ind w:firstLine="0"/>
              <w:jc w:val="left"/>
            </w:pPr>
            <w:r>
              <w:rPr>
                <w:rFonts w:ascii="Times New Roman" w:hAnsi="Times New Roman" w:cs="Times New Roman" w:eastAsia="Times New Roman"/>
                <w:sz w:val="22"/>
              </w:rPr>
              <w:t xml:space="preserve">YaIM: manfiy***, stavka: musbat (*/**)</w:t>
            </w:r>
          </w:p>
        </w:tc>
        <w:tc>
          <w:tcPr>
            <w:tcW w:type="dxa" w:w="2381"/>
          </w:tcPr>
          <w:p>
            <w:pPr>
              <w:pStyle w:val="Compact"/>
              <w:spacing w:line="240" w:lineRule="auto"/>
              <w:ind w:firstLine="0"/>
              <w:jc w:val="left"/>
            </w:pPr>
            <w:r>
              <w:rPr>
                <w:rFonts w:ascii="Times New Roman" w:hAnsi="Times New Roman" w:cs="Times New Roman" w:eastAsia="Times New Roman"/>
                <w:sz w:val="22"/>
              </w:rPr>
              <w:t xml:space="preserve">Tasdiqlandi</w:t>
            </w:r>
          </w:p>
        </w:tc>
      </w:tr>
    </w:tbl>
    <w:p>
      <w:pPr>
        <w:pStyle w:val="BodyText"/>
        <w:spacing w:line="360" w:lineRule="auto" w:before="0" w:after="0"/>
        <w:ind w:firstLine="709"/>
        <w:jc w:val="both"/>
      </w:pPr>
      <w:r>
        <w:rPr>
          <w:rFonts w:ascii="Times New Roman" w:hAnsi="Times New Roman" w:cs="Times New Roman" w:eastAsia="Times New Roman"/>
          <w:sz w:val="28"/>
        </w:rPr>
        <w:t xml:space="preserve">Jadvaldan ko‘rinib turibdiki, beshta gipotezadan to‘rttasi to‘liq, bittasi qisman tasdiqlangan. Eng muhimi, integral indeks iqtisodiy mazmunga ega omillar bilan nazariy kutilgan yo‘nalishda va statistik ahamiyatli bog‘langan, bu 3.1-paragrafda taklif etilgan metodikaning asosliligini ekonometrik jihatdan tasdiqlaydi. Bundan tashqari, integral indeks an’anaviy Z-score aniqlay olmaydigan davlat banklarining tizimli zaifligini aniqlaydi, bu esa uning davlat ulushi yuqori bo‘lgan bank tizimlari uchun afzalligini ko‘rsatadi.</w:t>
      </w:r>
    </w:p>
    <w:p>
      <w:pPr>
        <w:pStyle w:val="BodyText"/>
        <w:spacing w:line="360" w:lineRule="auto" w:before="0" w:after="0"/>
        <w:ind w:firstLine="709"/>
        <w:jc w:val="both"/>
      </w:pPr>
      <w:r>
        <w:rPr>
          <w:rFonts w:ascii="Times New Roman" w:hAnsi="Times New Roman" w:cs="Times New Roman" w:eastAsia="Times New Roman"/>
          <w:sz w:val="28"/>
        </w:rPr>
        <w:t xml:space="preserve">Natijalarni talqin qilishda tahlil cheklovlarini hisobga olish zarur: panel indeksi ochiq ma’lumotlardagi sakkiz ko‘rsatkich asosida hisoblangan, 17 chorak to‘liq iqtisodiy siklni qamramaydi, tahlil davrida esa bank tizimida jiddiy inqiroz bo‘lmagan, shu sababli koeffitsiyentlarni stress sharoitga qo‘llash ehtiyotkorlikni talab qiladi.</w:t>
      </w:r>
    </w:p>
    <w:p>
      <w:pPr>
        <w:pStyle w:val="BodyText"/>
        <w:spacing w:line="360" w:lineRule="auto" w:before="0" w:after="0"/>
        <w:ind w:firstLine="709"/>
        <w:jc w:val="both"/>
      </w:pPr>
      <w:r>
        <w:rPr>
          <w:rFonts w:ascii="Times New Roman" w:hAnsi="Times New Roman" w:cs="Times New Roman" w:eastAsia="Times New Roman"/>
          <w:sz w:val="28"/>
        </w:rPr>
        <w:t xml:space="preserve">Tahlil natijalari asosida quyidagi amaliy takliflar ishlab chiqildi. Birinchidan, Markaziy bankka risklarga asoslangan nazorat doirasida banklarning moliyaviy barqarorligini baholashda Z-score kabi bitta ko‘rsatkich bilan cheklanmasdan, integral indeksni choraklik asosda hisoblash va uning dinamikasini monitoring qilish tavsiya etiladi. Indeksning inersiyasi nisbatan past bo‘lganligi sababli chorak davomida 0,3 balldan ortiq pasayish nazorat organining e’tiborini talab qiluvchi signal sifatida qaralishi mumkin. Ikkinchidan, davlat banklarini transformatsiya qilish jarayonida ularning resurs bazasini chakana va korporativ depozitlar hisobiga diversifikatsiya qilish, davlat dasturlari bo‘yicha imtiyozli kreditlashni esa alohida agentlik yoki rivojlanish instituti orqali amalga oshirish orqali tijorat faoliyatidan ajratish maqsadga muvofiq. Hisob-kitobga ko‘ra, depozitlar ulushining 10 foiz punktga oshishi indeksni uzoq muddatda 0,17 ballga oshiradi. Uchinchidan, kreditlarning yillik o‘sishi tizim o‘rtachasidan sezilarli darajada yuqori bo‘lgan banklarga nisbatan kontrsiklik kapital buferi va kredit riski bo‘yicha qo‘shimcha talablar qo‘llanishi, ularning kredit portfeli sifati esa milliy tasnif bilan bir qatorda MHXS 9 bosqichlari bo‘yicha ham monitoring qilinishi lozim, chunki jadal kreditlash riski milliy muammoli kreditlar ko‘rsatkichida aks etmaydi. To‘rtinchidan, muammoli kreditlarning YaIM o‘sishi va asosiy stavkaga sezgirligi aniqlanganligi sababli bu koeffitsiyentlardan Markaziy bankning makroprudensial stress-testlarida va pul-kredit siyosati qarorlarining bank tizimiga ta’sirini baholashda foydalanish mumkin.</w:t>
      </w:r>
    </w:p>
    <w:p>
      <w:pPr>
        <w:pStyle w:val="BodyText"/>
        <w:spacing w:line="360" w:lineRule="auto" w:before="0" w:after="0"/>
        <w:ind w:firstLine="709"/>
        <w:jc w:val="both"/>
      </w:pPr>
      <w:r>
        <w:rPr>
          <w:rFonts w:ascii="Times New Roman" w:hAnsi="Times New Roman" w:cs="Times New Roman" w:eastAsia="Times New Roman"/>
          <w:sz w:val="28"/>
        </w:rPr>
        <w:t xml:space="preserve">Shunday qilib, ekonometrik tahlil O‘zbekiston tijorat banklarining moliyaviy barqarorligi asosan moliyalashtirish tuzilmasi, asosiy faoliyatdan daromad olish qobiliyati va mulkchilik shakli bilan belgilanishini, makroiqtisodiy sharoit esa kredit riski orqali ta’sir ko‘rsatishini aniqladi. Taklif etilgan integral indeks bu omillar bilan nazariy kutilgan yo‘nalishda va statistik ahamiyatli bog‘langan bo‘lib, an’anaviy Z-score dan farqli ravishda davlat banklarining yashirin zaifligini aniqlaydi. Bu esa uni bank nazorati amaliyotida va banklarning o‘z risklarini boshqarish tizimida qo‘llash uchun ilmiy asos yaratadi.</w:t>
      </w:r>
    </w:p>
    <w:bookmarkEnd w:id="16"/>
    <w:sectPr w:rsidR="00FC693F" w:rsidRPr="0006063C" w:rsidSect="00034616">
      <w:footerReference w:type="default" r:id="rId9"/>
      <w:pgSz w:w="12240" w:h="15840"/>
      <w:pgMar w:top="1134" w:right="850"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instrText xml:space="preserve"> PAGE </w:instrText>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id="1">
    <w:p>
      <w:pPr>
        <w:pStyle w:val="FootnoteText"/>
      </w:pPr>
      <w:r>
        <w:rPr>
          <w:rStyle w:val="FootnoteReference"/>
        </w:rPr>
        <w:footnoteRef/>
      </w:r>
      <w:r>
        <w:t xml:space="preserve"> </w:t>
      </w:r>
      <w:r>
        <w:t xml:space="preserve">Basel Committee on Banking Supervision. Report on the 2023 banking turmoil. – Basel: BIS, October 2023.</w:t>
      </w:r>
    </w:p>
  </w:footnote>
  <w:footnote w:id="2">
    <w:p>
      <w:pPr>
        <w:pStyle w:val="FootnoteText"/>
      </w:pPr>
      <w:r>
        <w:rPr>
          <w:rStyle w:val="FootnoteReference"/>
        </w:rPr>
        <w:footnoteRef/>
      </w:r>
      <w:r>
        <w:t xml:space="preserve"> </w:t>
      </w:r>
      <w:r>
        <w:t xml:space="preserve">European Banking Authority. 2025 EU-wide stress test: Results. – Paris: EBA, 1 August 2025.</w:t>
      </w:r>
    </w:p>
  </w:footnote>
  <w:footnote w:id="3">
    <w:p>
      <w:pPr>
        <w:pStyle w:val="FootnoteText"/>
      </w:pPr>
      <w:r>
        <w:rPr>
          <w:rStyle w:val="FootnoteReference"/>
        </w:rPr>
        <w:footnoteRef/>
      </w:r>
      <w:r>
        <w:t xml:space="preserve"> </w:t>
      </w:r>
      <w:r>
        <w:t xml:space="preserve">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4">
    <w:p>
      <w:pPr>
        <w:pStyle w:val="FootnoteText"/>
      </w:pPr>
      <w:r>
        <w:rPr>
          <w:rStyle w:val="FootnoteReference"/>
        </w:rPr>
        <w:footnoteRef/>
      </w:r>
      <w:r>
        <w:t xml:space="preserve"> </w:t>
      </w:r>
      <w:r>
        <w:t xml:space="preserve">Prudential Regulation Authority. The PRA announces a delay to the implementation of Basel 3.1: press release. – London: Bank of England, 17 January 2025.</w:t>
      </w:r>
    </w:p>
  </w:footnote>
  <w:footnote w:id="5">
    <w:p>
      <w:pPr>
        <w:pStyle w:val="FootnoteText"/>
      </w:pPr>
      <w:r>
        <w:rPr>
          <w:rStyle w:val="FootnoteReference"/>
        </w:rPr>
        <w:footnoteRef/>
      </w:r>
      <w:r>
        <w:t xml:space="preserve"> </w:t>
      </w:r>
      <w:r>
        <w:t xml:space="preserve">International Monetary Fund. Financial Soundness Indicators: Compilation Guide. – Washington, DC: IMF, 2019.</w:t>
      </w:r>
    </w:p>
  </w:footnote>
  <w:footnote w:id="6">
    <w:p>
      <w:pPr>
        <w:pStyle w:val="FootnoteText"/>
      </w:pPr>
      <w:r>
        <w:rPr>
          <w:rStyle w:val="FootnoteReference"/>
        </w:rPr>
        <w:footnoteRef/>
      </w:r>
      <w:r>
        <w:t xml:space="preserve"> </w:t>
      </w:r>
      <w:r>
        <w:t xml:space="preserve">IFRS 9 Financial Instruments. – London: International Accounting Standards Board, 2014.</w:t>
      </w:r>
    </w:p>
  </w:footnote>
  <w:footnote w:id="7">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8">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9">
    <w:p>
      <w:pPr>
        <w:pStyle w:val="FootnoteText"/>
      </w:pPr>
      <w:r>
        <w:rPr>
          <w:rStyle w:val="FootnoteReference"/>
        </w:rPr>
        <w:footnoteRef/>
      </w:r>
      <w:r>
        <w:t xml:space="preserve"> </w:t>
      </w:r>
      <w:r>
        <w:t xml:space="preserve">The Central Bank of the Republic of Uzbekistan. Financial Stability Report for 2025. – Tashkent, 2026.</w:t>
      </w:r>
    </w:p>
  </w:footnote>
  <w:footnote w:id="10">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11">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12">
    <w:p>
      <w:pPr>
        <w:pStyle w:val="FootnoteText"/>
      </w:pPr>
      <w:r>
        <w:rPr>
          <w:rStyle w:val="FootnoteReference"/>
        </w:rPr>
        <w:footnoteRef/>
      </w:r>
      <w:r>
        <w:t xml:space="preserve"> </w:t>
      </w:r>
      <w:r>
        <w:t xml:space="preserve">O‘zbekiston Respublikasi Prezidentining 2020-yil 12-maydagi PF-5992-son «2020–2025-yillarga mo‘ljallangan O‘zbekiston Respublikasining bank tizimini isloh qilish strategiyasi to‘g‘risida»gi Farmoni // Qonunchilik ma’lumotlari milliy bazasi, 13.05.2020-y.</w:t>
      </w:r>
    </w:p>
  </w:footnote>
  <w:footnote w:id="13">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https://lex.uz/docs/7793613</w:t>
      </w:r>
    </w:p>
  </w:footnote>
  <w:footnote w:id="14">
    <w:p>
      <w:pPr>
        <w:pStyle w:val="FootnoteText"/>
      </w:pPr>
      <w:r>
        <w:rPr>
          <w:rStyle w:val="FootnoteReference"/>
        </w:rPr>
        <w:footnoteRef/>
      </w:r>
      <w:r>
        <w:t xml:space="preserve"> </w:t>
      </w:r>
      <w:r>
        <w:t xml:space="preserve">O‘zbekiston Respublikasining 2025-yil 23-iyundagi O‘RQ-1070-son «Banklarni sanatsiya qilish va tugatish to‘g‘risida»gi Qonuni // Qonunchilik ma’lumotlari milliy bazasi.</w:t>
      </w:r>
    </w:p>
  </w:footnote>
  <w:footnote w:id="15">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16">
    <w:p>
      <w:pPr>
        <w:pStyle w:val="FootnoteText"/>
      </w:pPr>
      <w:r>
        <w:rPr>
          <w:rStyle w:val="FootnoteReference"/>
        </w:rPr>
        <w:footnoteRef/>
      </w:r>
      <w:r>
        <w:t xml:space="preserve"> </w:t>
      </w:r>
      <w:r>
        <w:t xml:space="preserve">Dissertatsiya mavzusi bo‘yicha xorijiy ilmiy-tadqiqotlar sharhi quyidagi manbalar asosida ishlab chiqilgan: https://www.bis.org; https://www.imf.org; https://www.worldbank.org; https://www.ifrs.org; https://www.federalreserve.gov; https://www.ecb.europa.eu; https://www.eba.europa.eu; https://www.bankofengland.co.uk; https://www.cbr.ru; https://www.nfra.gov.cn; https://tsue.uz va boshqa manbalar.</w:t>
      </w:r>
    </w:p>
  </w:footnote>
  <w:footnote w:id="17">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18">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19">
    <w:p>
      <w:pPr>
        <w:pStyle w:val="FootnoteText"/>
      </w:pPr>
      <w:r>
        <w:rPr>
          <w:rStyle w:val="FootnoteReference"/>
        </w:rPr>
        <w:footnoteRef/>
      </w:r>
      <w:r>
        <w:t xml:space="preserve"> </w:t>
      </w:r>
      <w:r>
        <w:t xml:space="preserve">Basel Committee on Banking Supervision. Basel III: Finalising post-crisis reforms. – Basel: BIS, December 2017.</w:t>
      </w:r>
    </w:p>
  </w:footnote>
  <w:footnote w:id="20">
    <w:p>
      <w:pPr>
        <w:pStyle w:val="FootnoteText"/>
      </w:pPr>
      <w:r>
        <w:rPr>
          <w:rStyle w:val="FootnoteReference"/>
        </w:rPr>
        <w:footnoteRef/>
      </w:r>
      <w:r>
        <w:t xml:space="preserve"> </w:t>
      </w:r>
      <w:r>
        <w:t xml:space="preserve">International Monetary Fund. Financial Soundness Indicators: Compilation Guide. – Washington, DC: IMF, 2019.</w:t>
      </w:r>
    </w:p>
  </w:footnote>
  <w:footnote w:id="21">
    <w:p>
      <w:pPr>
        <w:pStyle w:val="FootnoteText"/>
      </w:pPr>
      <w:r>
        <w:rPr>
          <w:rStyle w:val="FootnoteReference"/>
        </w:rPr>
        <w:footnoteRef/>
      </w:r>
      <w:r>
        <w:t xml:space="preserve"> </w:t>
      </w:r>
      <w:r>
        <w:t xml:space="preserve">IFRS 9 Financial Instruments. – London: International Accounting Standards Board, 2014.</w:t>
      </w:r>
    </w:p>
  </w:footnote>
  <w:footnote w:id="22">
    <w:p>
      <w:pPr>
        <w:pStyle w:val="FootnoteText"/>
      </w:pPr>
      <w:r>
        <w:rPr>
          <w:rStyle w:val="FootnoteReference"/>
        </w:rPr>
        <w:footnoteRef/>
      </w:r>
      <w:r>
        <w:t xml:space="preserve"> </w:t>
      </w:r>
      <w:r>
        <w:t xml:space="preserve">Basel Committee on Banking Supervision. Report on the 2023 banking turmoil. – Basel: BIS, October 2023.</w:t>
      </w:r>
    </w:p>
  </w:footnote>
  <w:footnote w:id="23">
    <w:p>
      <w:pPr>
        <w:pStyle w:val="FootnoteText"/>
      </w:pPr>
      <w:r>
        <w:rPr>
          <w:rStyle w:val="FootnoteReference"/>
        </w:rPr>
        <w:footnoteRef/>
      </w:r>
      <w:r>
        <w:t xml:space="preserve"> </w:t>
      </w:r>
      <w:r>
        <w:t xml:space="preserve">Board of Governors of the Federal Reserve System. Revisions to the Large Financial Institution Rating System and Framework for the Supervision of Insurance Organizations // Federal Register. – 2025. – 17 November.</w:t>
      </w:r>
    </w:p>
  </w:footnote>
  <w:footnote w:id="24">
    <w:p>
      <w:pPr>
        <w:pStyle w:val="FootnoteText"/>
      </w:pPr>
      <w:r>
        <w:rPr>
          <w:rStyle w:val="FootnoteReference"/>
        </w:rPr>
        <w:footnoteRef/>
      </w:r>
      <w:r>
        <w:t xml:space="preserve"> </w:t>
      </w:r>
      <w:r>
        <w:t xml:space="preserve">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25">
    <w:p>
      <w:pPr>
        <w:pStyle w:val="FootnoteText"/>
      </w:pPr>
      <w:r>
        <w:rPr>
          <w:rStyle w:val="FootnoteReference"/>
        </w:rPr>
        <w:footnoteRef/>
      </w:r>
      <w:r>
        <w:t xml:space="preserve"> </w:t>
      </w:r>
      <w:r>
        <w:t xml:space="preserve">Национальный норматив краткосрочной ликвидности для СЗКО: порядок расчета: информация Банка России от 12 августа 2025 г. – https://www.cbr.ru/press/event/?id=26840</w:t>
      </w:r>
    </w:p>
  </w:footnote>
  <w:footnote w:id="26">
    <w:p>
      <w:pPr>
        <w:pStyle w:val="FootnoteText"/>
      </w:pPr>
      <w:r>
        <w:rPr>
          <w:rStyle w:val="FootnoteReference"/>
        </w:rPr>
        <w:footnoteRef/>
      </w:r>
      <w:r>
        <w:t xml:space="preserve"> </w:t>
      </w:r>
      <w:r>
        <w:t xml:space="preserve">Банк России. Национальная антициклическая надбавка: решение Совета директоров от 8 ноября 2024 г. – https://www.cbr.ru/finstab/instruments/ccb/</w:t>
      </w:r>
    </w:p>
  </w:footnote>
  <w:footnote w:id="27">
    <w:p>
      <w:pPr>
        <w:pStyle w:val="FootnoteText"/>
      </w:pPr>
      <w:r>
        <w:rPr>
          <w:rStyle w:val="FootnoteReference"/>
        </w:rPr>
        <w:footnoteRef/>
      </w:r>
      <w:r>
        <w:t xml:space="preserve"> </w:t>
      </w:r>
      <w:r>
        <w:t xml:space="preserve">Laeven L., Valencia F. Systemic Banking Crises Database II // IMF Economic Review. – 2020. – Vol. 68, No. 2. – P. 307–361.</w:t>
      </w:r>
    </w:p>
  </w:footnote>
  <w:footnote w:id="28">
    <w:p>
      <w:pPr>
        <w:pStyle w:val="FootnoteText"/>
      </w:pPr>
      <w:r>
        <w:rPr>
          <w:rStyle w:val="FootnoteReference"/>
        </w:rPr>
        <w:footnoteRef/>
      </w:r>
      <w:r>
        <w:t xml:space="preserve"> </w:t>
      </w:r>
      <w:r>
        <w:t xml:space="preserve">Charoenwong B., Miao M., Ruan T. Nonperforming Loan Disposals Without Resolution // Management Science. – 2025. – Vol. 71, No. 1. – P. 898–916.</w:t>
      </w:r>
    </w:p>
  </w:footnote>
  <w:footnote w:id="29">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30">
    <w:p>
      <w:pPr>
        <w:pStyle w:val="FootnoteText"/>
      </w:pPr>
      <w:r>
        <w:rPr>
          <w:rStyle w:val="FootnoteReference"/>
        </w:rPr>
        <w:footnoteRef/>
      </w:r>
      <w:r>
        <w:t xml:space="preserve"> </w:t>
      </w:r>
      <w:r>
        <w:t xml:space="preserve">World Bank. Republic of Uzbekistan: Financial Sector Assessment. – Washington, DC: World Bank, 2025.</w:t>
      </w:r>
    </w:p>
  </w:footnote>
  <w:footnote w:id="31">
    <w:p>
      <w:pPr>
        <w:pStyle w:val="FootnoteText"/>
      </w:pPr>
      <w:r>
        <w:rPr>
          <w:rStyle w:val="FootnoteReference"/>
        </w:rPr>
        <w:footnoteRef/>
      </w:r>
      <w:r>
        <w:t xml:space="preserve"> </w:t>
      </w:r>
      <w:r>
        <w:t xml:space="preserve">Diamond D.W., Dybvig P.H. Bank Runs, Deposit Insurance, and Liquidity // Journal of Political Economy. – 1983. – Vol. 91, No. 3. – P. 401–419.</w:t>
      </w:r>
    </w:p>
  </w:footnote>
  <w:footnote w:id="32">
    <w:p>
      <w:pPr>
        <w:pStyle w:val="FootnoteText"/>
      </w:pPr>
      <w:r>
        <w:rPr>
          <w:rStyle w:val="FootnoteReference"/>
        </w:rPr>
        <w:footnoteRef/>
      </w:r>
      <w:r>
        <w:t xml:space="preserve"> </w:t>
      </w:r>
      <w:r>
        <w:t xml:space="preserve">Minsky H.P. The Financial Instability Hypothesis: Working Paper No. 74. – Annandale-on-Hudson: The Jerome Levy Economics Institute of Bard College, 1992. – 10 p.</w:t>
      </w:r>
    </w:p>
  </w:footnote>
  <w:footnote w:id="33">
    <w:p>
      <w:pPr>
        <w:pStyle w:val="FootnoteText"/>
      </w:pPr>
      <w:r>
        <w:rPr>
          <w:rStyle w:val="FootnoteReference"/>
        </w:rPr>
        <w:footnoteRef/>
      </w:r>
      <w:r>
        <w:t xml:space="preserve"> </w:t>
      </w:r>
      <w:r>
        <w:t xml:space="preserve">Merton R.C. On the Pricing of Corporate Debt: The Risk Structure of Interest Rates // Journal of Finance. – 1974. – Vol. 29, No. 2. – P. 449–470.</w:t>
      </w:r>
    </w:p>
  </w:footnote>
  <w:footnote w:id="34">
    <w:p>
      <w:pPr>
        <w:pStyle w:val="FootnoteText"/>
      </w:pPr>
      <w:r>
        <w:rPr>
          <w:rStyle w:val="FootnoteReference"/>
        </w:rPr>
        <w:footnoteRef/>
      </w:r>
      <w:r>
        <w:t xml:space="preserve"> </w:t>
      </w:r>
      <w:r>
        <w:t xml:space="preserve">Mishkin F.S. Global Financial Instability: Framework, Events, Issues // Journal of Economic Perspectives. – 1999. – Vol. 13, No. 4. – P. 3–20.</w:t>
      </w:r>
    </w:p>
  </w:footnote>
  <w:footnote w:id="35">
    <w:p>
      <w:pPr>
        <w:pStyle w:val="FootnoteText"/>
      </w:pPr>
      <w:r>
        <w:rPr>
          <w:rStyle w:val="FootnoteReference"/>
        </w:rPr>
        <w:footnoteRef/>
      </w:r>
      <w:r>
        <w:t xml:space="preserve"> </w:t>
      </w:r>
      <w:r>
        <w:t xml:space="preserve">Schinasi G.J. Defining Financial Stability: IMF Working Paper WP/04/187. – Washington, DC: International Monetary Fund, 2004. – 18 p.</w:t>
      </w:r>
    </w:p>
  </w:footnote>
  <w:footnote w:id="36">
    <w:p>
      <w:pPr>
        <w:pStyle w:val="FootnoteText"/>
      </w:pPr>
      <w:r>
        <w:rPr>
          <w:rStyle w:val="FootnoteReference"/>
        </w:rPr>
        <w:footnoteRef/>
      </w:r>
      <w:r>
        <w:t xml:space="preserve"> </w:t>
      </w:r>
      <w:r>
        <w:t xml:space="preserve">Houben A., Kakes J., Schinasi G. Toward a Framework for Safeguarding Financial Stability: IMF Working Paper WP/04/101. – Washington, DC: International Monetary Fund, 2004.</w:t>
      </w:r>
    </w:p>
  </w:footnote>
  <w:footnote w:id="37">
    <w:p>
      <w:pPr>
        <w:pStyle w:val="FootnoteText"/>
      </w:pPr>
      <w:r>
        <w:rPr>
          <w:rStyle w:val="FootnoteReference"/>
        </w:rPr>
        <w:footnoteRef/>
      </w:r>
      <w:r>
        <w:t xml:space="preserve"> </w:t>
      </w:r>
      <w:r>
        <w:t xml:space="preserve">Čihák M. How Do Central Banks Write on Financial Stability?: IMF Working Paper WP/06/163. – Washington, DC: International Monetary Fund, 2006.</w:t>
      </w:r>
    </w:p>
  </w:footnote>
  <w:footnote w:id="38">
    <w:p>
      <w:pPr>
        <w:pStyle w:val="FootnoteText"/>
      </w:pPr>
      <w:r>
        <w:rPr>
          <w:rStyle w:val="FootnoteReference"/>
        </w:rPr>
        <w:footnoteRef/>
      </w:r>
      <w:r>
        <w:t xml:space="preserve"> </w:t>
      </w:r>
      <w:r>
        <w:t xml:space="preserve">Crockett A. Why Is Financial Stability a Goal of Public Policy? // Maintaining Financial Stability in a Global Economy. – Kansas City: Federal Reserve Bank of Kansas City, 1997. – P. 7–36.</w:t>
      </w:r>
    </w:p>
  </w:footnote>
  <w:footnote w:id="39">
    <w:p>
      <w:pPr>
        <w:pStyle w:val="FootnoteText"/>
      </w:pPr>
      <w:r>
        <w:rPr>
          <w:rStyle w:val="FootnoteReference"/>
        </w:rPr>
        <w:footnoteRef/>
      </w:r>
      <w:r>
        <w:t xml:space="preserve"> </w:t>
      </w:r>
      <w:r>
        <w:t xml:space="preserve">Borio C. Towards a Macroprudential Framework for Financial Supervision and Regulation?: BIS Working Papers No. 128. – Basel: Bank for International Settlements, 2003. – 32 p.</w:t>
      </w:r>
    </w:p>
  </w:footnote>
  <w:footnote w:id="40">
    <w:p>
      <w:pPr>
        <w:pStyle w:val="FootnoteText"/>
      </w:pPr>
      <w:r>
        <w:rPr>
          <w:rStyle w:val="FootnoteReference"/>
        </w:rPr>
        <w:footnoteRef/>
      </w:r>
      <w:r>
        <w:t xml:space="preserve"> </w:t>
      </w:r>
      <w:r>
        <w:t xml:space="preserve">Adrian T., Brunnermeier M.K. CoVaR // American Economic Review. – 2016. – Vol. 106, No. 7. – P. 1705–1741.</w:t>
      </w:r>
    </w:p>
  </w:footnote>
  <w:footnote w:id="41">
    <w:p>
      <w:pPr>
        <w:pStyle w:val="FootnoteText"/>
      </w:pPr>
      <w:r>
        <w:rPr>
          <w:rStyle w:val="FootnoteReference"/>
        </w:rPr>
        <w:footnoteRef/>
      </w:r>
      <w:r>
        <w:t xml:space="preserve"> </w:t>
      </w:r>
      <w:r>
        <w:t xml:space="preserve">Thakor A.V. Leverage, System Risk and Financial System Health: How Do We Develop a Healthy Financial System? // Governance, Regulation and Bank Stability / ed. by T. Lindblom, S. Sjögren, M. Willesson. – Basingstoke: Palgrave Macmillan, 2014.</w:t>
      </w:r>
    </w:p>
  </w:footnote>
  <w:footnote w:id="42">
    <w:p>
      <w:pPr>
        <w:pStyle w:val="FootnoteText"/>
      </w:pPr>
      <w:r>
        <w:rPr>
          <w:rStyle w:val="FootnoteReference"/>
        </w:rPr>
        <w:footnoteRef/>
      </w:r>
      <w:r>
        <w:t xml:space="preserve"> </w:t>
      </w:r>
      <w:r>
        <w:t xml:space="preserve">Laeven L., Valencia F. Systemic Banking Crises Database II // IMF Economic Review. – 2020. – Vol. 68, No. 2. – P. 307–361.</w:t>
      </w:r>
    </w:p>
  </w:footnote>
  <w:footnote w:id="43">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w:t>
      </w:r>
    </w:p>
  </w:footnote>
  <w:footnote w:id="4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w:t>
      </w:r>
    </w:p>
  </w:footnote>
  <w:footnote w:id="45">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w:t>
      </w:r>
    </w:p>
  </w:footnote>
  <w:footnote w:id="46">
    <w:p>
      <w:pPr>
        <w:pStyle w:val="FootnoteText"/>
      </w:pPr>
      <w:r>
        <w:rPr>
          <w:rStyle w:val="FootnoteReference"/>
        </w:rPr>
        <w:footnoteRef/>
      </w:r>
      <w:r>
        <w:t xml:space="preserve"> </w:t>
      </w:r>
      <w:r>
        <w:t xml:space="preserve">Фетисов Г.Г. Устойчивость банковской системы и методология ее оценки. – М.: Экономика, 2003. – 394 с.</w:t>
      </w:r>
    </w:p>
  </w:footnote>
  <w:footnote w:id="47">
    <w:p>
      <w:pPr>
        <w:pStyle w:val="FootnoteText"/>
      </w:pPr>
      <w:r>
        <w:rPr>
          <w:rStyle w:val="FootnoteReference"/>
        </w:rPr>
        <w:footnoteRef/>
      </w:r>
      <w:r>
        <w:t xml:space="preserve"> </w:t>
      </w:r>
      <w:r>
        <w:t xml:space="preserve">Тимофеева З.А. Концептуальные основы исследования экономического содержания финансовой устойчивости банковской системы // Финансы и кредит. – 2014. – № 6 (582).</w:t>
      </w:r>
    </w:p>
  </w:footnote>
  <w:footnote w:id="48">
    <w:p>
      <w:pPr>
        <w:pStyle w:val="FootnoteText"/>
      </w:pPr>
      <w:r>
        <w:rPr>
          <w:rStyle w:val="FootnoteReference"/>
        </w:rPr>
        <w:footnoteRef/>
      </w:r>
      <w:r>
        <w:t xml:space="preserve"> </w:t>
      </w:r>
      <w:r>
        <w:t xml:space="preserve">Шуббар Х.Х., Гиринский А.В. Содержание и принципы устойчивости банковской системы // Вестник РУДН. Серия: Экономика. – 2019. – Т. 27, № 1.</w:t>
      </w:r>
    </w:p>
  </w:footnote>
  <w:footnote w:id="49">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w:t>
      </w:r>
    </w:p>
  </w:footnote>
  <w:footnote w:id="50">
    <w:p>
      <w:pPr>
        <w:pStyle w:val="FootnoteText"/>
      </w:pPr>
      <w:r>
        <w:rPr>
          <w:rStyle w:val="FootnoteReference"/>
        </w:rPr>
        <w:footnoteRef/>
      </w:r>
      <w:r>
        <w:t xml:space="preserve"> </w:t>
      </w:r>
      <w:r>
        <w:t xml:space="preserve">Sattarov O.B. O‘zbekiston Respublikasi bank tizimi barqarorligini ta’minlash metodologiyasini takomillashtirish: iqtisodiyot fanlari doktori (DSc) dissertatsiyasi avtoreferati. – Toshkent, 2018. – 67 b; Xolmamatov F.K. O‘zbekiston Respublikasining bank tizimining barqarorligini oshirish yo‘llari: iqtisodiyot fanlari doktori (DSc) dissertatsiyasi avtoreferati. – Toshkent: TMI, 2023. – 91 b; Sharipova N.H. Tijorat banklari moliyaviy barqarorligini mustahkamlashning konseptual asoslarini takomillashtirish: iqtisodiyot fanlari doktori (DSc) dissertatsiyasi avtoreferati. – Toshkent, 2026; Xolov N.Q. Tijorat banklari barqarorligini mustahkamlash metodologiyasini takomillashtirish: iqtisodiyot fanlari doktori (DSc) dissertatsiyasi. – Toshkent: TDIU, 2025; Madaminov B.A. Tijorat banklarida risk-menejment tizimini takomillashtirish asosida moliyaviy barqarorlikni ta’minlash metodologiyasi: iqtisodiyot fanlari doktori (DSc) dissertatsiyasi avtoreferati. – Toshkent, 2026. – 78 b; Abdullayev A.Ya. Tijorat banklarining likvidlilik darajasini oshirish metodologiyasini takomillashtirish: iqtisodiyot fanlari doktori (DSc) dissertatsiyasi avtoreferati. – Toshkent, 2018. – 74 b; Bozorov R.X. Tijorat banklari moliyaviy barqarorligini ta’minlashni takomillashtirish: iqtisodiyot fanlari bo‘yicha falsafa doktori (PhD) dissertatsiyasi avtoreferati. – Toshkent, 2020. – 52 b; Togayev S.S. Tijorat banklarining moliyaviy barqarorligini ta’minlash yo‘llari: iqtisodiyot fanlari bo‘yicha falsafa doktori (PhD) dissertatsiyasi. – Toshkent, 2022; Djalilov G.K. Banklarning moliyaviy barqarorligini ta’minlashning ustuvor yo‘nalishlari: iqtisodiyot fanlari bo‘yicha falsafa doktori (PhD) dissertatsiyasi avtoreferati. – Toshkent, 2026. – 63 b; Sadikov I.G. Iqtisodiyotni transformatsiyalash jarayonida tijorat banklarining moliyaviy barqarorligini ta’minlash yo‘llari: iqtisodiyot fanlari bo‘yicha falsafa doktori (PhD) dissertatsiyasi avtoreferati. – Toshkent, 2025. – 57 b; Abdishukurov Sh.Sh. Tijorat banklarining moliyaviy barqarorligini ta’minlash yo‘nalishlari: iqtisodiyot fanlari bo‘yicha falsafa doktori (PhD) dissertatsiyasi avtoreferati. – Toshkent, 2026. – 54 b; Karabayev N.A. Tijorat banklari faoliyatini reyting tizimi asosida baholashni takomillashtirish: iqtisodiyot fanlari bo‘yicha falsafa doktori (PhD) dissertatsiyasi avtoreferati. – Toshkent, 2018. – 54 b; Yodgorov M.N. Tijorat banklari kapitali barqarorligini ta’minlash yo‘llari: iqtisodiyot fanlari bo‘yicha falsafa doktori (PhD) dissertatsiyasi avtoreferati. – Toshkent, 2026. – 69 b; Sattorova N.G‘. Tijorat banklari likvidliligini optimallashtirish yo‘llari: iqtisodiyot fanlari bo‘yicha falsafa doktori (PhD) dissertatsiyasi avtoreferati. – Toshkent, 2026. – 69 b; Ismatov N.R. Bank kredit portfeli riskini baholash va boshqarishning metodologik asoslarini takomillashtirish: iqtisodiyot fanlari doktori (DSc) dissertatsiyasi avtoreferati. – Toshkent, 2026. – 73 b; Mahmudaliyeva Yo.A. Tijorat banklarining moliyaviy barqarorligi va uni baholash: iqtisod fanlari nomzodi dissertatsiyasi avtoreferati. – Toshkent, 2001. – 22 b; Karaliyev T.M., Sayfiddinov I.F. Tijorat banklari faoliyatini tartibga solish va nazorati: darslik. – T.: Iqtisod-Moliya, 2019.</w:t>
      </w:r>
    </w:p>
  </w:footnote>
  <w:footnote w:id="51">
    <w:p>
      <w:pPr>
        <w:pStyle w:val="FootnoteText"/>
      </w:pPr>
      <w:r>
        <w:rPr>
          <w:rStyle w:val="FootnoteReference"/>
        </w:rPr>
        <w:footnoteRef/>
      </w:r>
      <w:r>
        <w:t xml:space="preserve"> </w:t>
      </w:r>
      <w:r>
        <w:t xml:space="preserve">Cargill T.F. The Financial System, Financial Regulation and Central Bank Policy. – Cambridge: Cambridge University Press, 2017. – P. 186–187.</w:t>
      </w:r>
    </w:p>
  </w:footnote>
  <w:footnote w:id="5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14–15.</w:t>
      </w:r>
    </w:p>
  </w:footnote>
  <w:footnote w:id="53">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37.</w:t>
      </w:r>
    </w:p>
  </w:footnote>
  <w:footnote w:id="54">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14–15, 57–61; Устойчивость банковской системы и развитие банковской политики: монография / под ред. О.И. Лаврушина. – М.: КНОРУС, 2014. – С. 37–40.</w:t>
      </w:r>
    </w:p>
  </w:footnote>
  <w:footnote w:id="55">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17–28.</w:t>
      </w:r>
    </w:p>
  </w:footnote>
  <w:footnote w:id="56">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24; Устойчивость банковской системы и развитие банковской политики: монография / под ред. О.И. Лаврушина. – М.: КНОРУС, 2014. – С. 38; Schinasi G.J. Defining Financial Stability: IMF Working Paper WP/04/187. – Washington, DC: International Monetary Fund, 2004. – 18 p; Mishkin F.S. Global Financial Instability: Framework, Events, Issues // Journal of Economic Perspectives. – 1999. – Vol. 13, No. 4. – P. 3–20; Hendrickson J.M. Regulation and Instability in U.S. Commercial Banking: A History of Crises. – Basingstoke: Palgrave Macmillan, 2011. – P. 6–7; Thakor A.V. Leverage, System Risk and Financial System Health: How Do We Develop a Healthy Financial System? // Governance, Regulation and Bank Stability / ed. by T. Lindblom, S. Sjögren, M. Willesson. – Basingstoke: Palgrave Macmillan, 2014. – P. 13–16; 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 Шуббар Х.Х., Гиринский А.В. Содержание и принципы устойчивости банковской системы // Вестник РУДН. Серия: Экономика. – 2019. – Т. 27, № 1. – С. 65; Houben A., Kakes J., Schinasi G. Toward a Framework for Safeguarding Financial Stability: IMF Working Paper WP/04/101. – Washington, DC: International Monetary Fund, 2004. – P. 11; Sattarov O.B. O‘zbekiston Respublikasi bank tizimi barqarorligini ta’minlash metodologiyasini takomillashtirish: iqtisodiyot fanlari doktori (DSc) dissertatsiyasi avtoreferati. – Toshkent, 2018. – B. 13; Sadikov I.G. Iqtisodiyotni transformatsiyalash jarayonida tijorat banklarining moliyaviy barqarorligini ta’minlash yo‘llari: iqtisodiyot fanlari bo‘yicha falsafa doktori (PhD) dissertatsiyasi avtoreferati. – Toshkent, 2025. – B. 11; Madaminov B.A. Tijorat banklarida risk-menejment tizimini takomillashtirish asosida moliyaviy barqarorlikni ta’minlash metodologiyasi: iqtisodiyot fanlari doktori (DSc) dissertatsiyasi avtoreferati. – Toshkent, 2026. – B. 12; Sharipova N.H. Tijorat banklari moliyaviy barqarorligini mustahkamlashning konseptual asoslarini takomillashtirish: iqtisodiyot fanlari doktori (DSc) dissertatsiyasi avtoreferati. – Toshkent, 2026. – B. 13–14.</w:t>
      </w:r>
    </w:p>
  </w:footnote>
  <w:footnote w:id="5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22–24.</w:t>
      </w:r>
    </w:p>
  </w:footnote>
  <w:footnote w:id="58">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38.</w:t>
      </w:r>
    </w:p>
  </w:footnote>
  <w:footnote w:id="59">
    <w:p>
      <w:pPr>
        <w:pStyle w:val="FootnoteText"/>
      </w:pPr>
      <w:r>
        <w:rPr>
          <w:rStyle w:val="FootnoteReference"/>
        </w:rPr>
        <w:footnoteRef/>
      </w:r>
      <w:r>
        <w:t xml:space="preserve"> </w:t>
      </w:r>
      <w:r>
        <w:t xml:space="preserve">Фетисов Г.Г. Устойчивость коммерческого банка и рейтинговые системы ее оценки. – М.: Финансы и статистика, 1999; Герасимова Е.Б. Феноменологический подход к анализу устойчивости организации // Сибирская финансовая школа. – 2011. – № 3. – Цит. по: Вотинцева Р.С. Современные теоретические подходы к определению понятия «Финансовая устойчивость коммерческих банков» // Вестник Удмуртского университета. Серия «Экономика и право». – 2014. – Вып. 3. – С. 46.</w:t>
      </w:r>
    </w:p>
  </w:footnote>
  <w:footnote w:id="60">
    <w:p>
      <w:pPr>
        <w:pStyle w:val="FootnoteText"/>
      </w:pPr>
      <w:r>
        <w:rPr>
          <w:rStyle w:val="FootnoteReference"/>
        </w:rPr>
        <w:footnoteRef/>
      </w:r>
      <w:r>
        <w:t xml:space="preserve"> </w:t>
      </w:r>
      <w:r>
        <w:t xml:space="preserve">Шуббар Х.Х., Гиринский А.В. Содержание и принципы устойчивости банковской системы // Вестник РУДН. Серия: Экономика. – 2019. – Т. 27, № 1. – С. 65.</w:t>
      </w:r>
    </w:p>
  </w:footnote>
  <w:footnote w:id="61">
    <w:p>
      <w:pPr>
        <w:pStyle w:val="FootnoteText"/>
      </w:pPr>
      <w:r>
        <w:rPr>
          <w:rStyle w:val="FootnoteReference"/>
        </w:rPr>
        <w:footnoteRef/>
      </w:r>
      <w:r>
        <w:t xml:space="preserve"> </w:t>
      </w:r>
      <w:r>
        <w:t xml:space="preserve">Тимофеева З.А. Концептуальные основы исследования экономического содержания финансовой устойчивости банковской системы // Финансы и кредит. – 2014. – № 6 (582). – С. 17.</w:t>
      </w:r>
    </w:p>
  </w:footnote>
  <w:footnote w:id="62">
    <w:p>
      <w:pPr>
        <w:pStyle w:val="FootnoteText"/>
      </w:pPr>
      <w:r>
        <w:rPr>
          <w:rStyle w:val="FootnoteReference"/>
        </w:rPr>
        <w:footnoteRef/>
      </w:r>
      <w:r>
        <w:t xml:space="preserve"> </w:t>
      </w:r>
      <w:r>
        <w:t xml:space="preserve">Schinasi G.J. Defining Financial Stability: IMF Working Paper WP/04/187. – Washington, DC: International Monetary Fund, 2004. – 18 p.</w:t>
      </w:r>
    </w:p>
  </w:footnote>
  <w:footnote w:id="63">
    <w:p>
      <w:pPr>
        <w:pStyle w:val="FootnoteText"/>
      </w:pPr>
      <w:r>
        <w:rPr>
          <w:rStyle w:val="FootnoteReference"/>
        </w:rPr>
        <w:footnoteRef/>
      </w:r>
      <w:r>
        <w:t xml:space="preserve"> </w:t>
      </w:r>
      <w:r>
        <w:t xml:space="preserve">Mishkin F.S. Global Financial Instability: Framework, Events, Issues // Journal of Economic Perspectives. – 1999. – Vol. 13, No. 4. – P. 3–20.</w:t>
      </w:r>
    </w:p>
  </w:footnote>
  <w:footnote w:id="64">
    <w:p>
      <w:pPr>
        <w:pStyle w:val="FootnoteText"/>
      </w:pPr>
      <w:r>
        <w:rPr>
          <w:rStyle w:val="FootnoteReference"/>
        </w:rPr>
        <w:footnoteRef/>
      </w:r>
      <w:r>
        <w:t xml:space="preserve"> </w:t>
      </w:r>
      <w:r>
        <w:t xml:space="preserve">Hendrickson J.M. Regulation and Instability in U.S. Commercial Banking: A History of Crises. – Basingstoke: Palgrave Macmillan, 2011. – P. 6–7.</w:t>
      </w:r>
    </w:p>
  </w:footnote>
  <w:footnote w:id="65">
    <w:p>
      <w:pPr>
        <w:pStyle w:val="FootnoteText"/>
      </w:pPr>
      <w:r>
        <w:rPr>
          <w:rStyle w:val="FootnoteReference"/>
        </w:rPr>
        <w:footnoteRef/>
      </w:r>
      <w:r>
        <w:t xml:space="preserve"> </w:t>
      </w:r>
      <w:r>
        <w:t xml:space="preserve">Houben A., Kakes J., Schinasi G. Toward a Framework for Safeguarding Financial Stability: IMF Working Paper WP/04/101. – Washington, DC: International Monetary Fund, 2004. – P. 11.</w:t>
      </w:r>
    </w:p>
  </w:footnote>
  <w:footnote w:id="66">
    <w:p>
      <w:pPr>
        <w:pStyle w:val="FootnoteText"/>
      </w:pPr>
      <w:r>
        <w:rPr>
          <w:rStyle w:val="FootnoteReference"/>
        </w:rPr>
        <w:footnoteRef/>
      </w:r>
      <w:r>
        <w:t xml:space="preserve"> </w:t>
      </w:r>
      <w:r>
        <w:t xml:space="preserve">European Central Bank. Financial stability and macroprudential policy. – https://www.ecb.europa.eu/paym/financial-stability/html/index.en.html</w:t>
      </w:r>
    </w:p>
  </w:footnote>
  <w:footnote w:id="67">
    <w:p>
      <w:pPr>
        <w:pStyle w:val="FootnoteText"/>
      </w:pPr>
      <w:r>
        <w:rPr>
          <w:rStyle w:val="FootnoteReference"/>
        </w:rPr>
        <w:footnoteRef/>
      </w:r>
      <w:r>
        <w:t xml:space="preserve"> </w:t>
      </w:r>
      <w:r>
        <w:t xml:space="preserve">Čihák M. How Do Central Banks Write on Financial Stability?: IMF Working Paper WP/06/163. – Washington, DC: International Monetary Fund, 2006. – P. 19.</w:t>
      </w:r>
    </w:p>
  </w:footnote>
  <w:footnote w:id="68">
    <w:p>
      <w:pPr>
        <w:pStyle w:val="FootnoteText"/>
      </w:pPr>
      <w:r>
        <w:rPr>
          <w:rStyle w:val="FootnoteReference"/>
        </w:rPr>
        <w:footnoteRef/>
      </w:r>
      <w:r>
        <w:t xml:space="preserve"> </w:t>
      </w:r>
      <w:r>
        <w:t xml:space="preserve">Sattarov O.B. O‘zbekiston Respublikasi bank tizimi barqarorligini ta’minlash metodologiyasini takomillashtirish: iqtisodiyot fanlari doktori (DSc) dissertatsiyasi avtoreferati. – Toshkent, 2018. – B. 13.</w:t>
      </w:r>
    </w:p>
  </w:footnote>
  <w:footnote w:id="69">
    <w:p>
      <w:pPr>
        <w:pStyle w:val="FootnoteText"/>
      </w:pPr>
      <w:r>
        <w:rPr>
          <w:rStyle w:val="FootnoteReference"/>
        </w:rPr>
        <w:footnoteRef/>
      </w:r>
      <w:r>
        <w:t xml:space="preserve"> </w:t>
      </w:r>
      <w:r>
        <w:t xml:space="preserve">Bozorov R.X. Tijorat banklari moliyaviy barqarorligini ta’minlashni takomillashtirish: iqtisodiyot fanlari bo‘yicha falsafa doktori (PhD) dissertatsiyasi avtoreferati. – Toshkent, 2020. – B. 11.</w:t>
      </w:r>
    </w:p>
  </w:footnote>
  <w:footnote w:id="70">
    <w:p>
      <w:pPr>
        <w:pStyle w:val="FootnoteText"/>
      </w:pPr>
      <w:r>
        <w:rPr>
          <w:rStyle w:val="FootnoteReference"/>
        </w:rPr>
        <w:footnoteRef/>
      </w:r>
      <w:r>
        <w:t xml:space="preserve"> </w:t>
      </w:r>
      <w:r>
        <w:t xml:space="preserve">Sadikov I.G. Iqtisodiyotni transformatsiyalash jarayonida tijorat banklarining moliyaviy barqarorligini ta’minlash yo‘llari: iqtisodiyot fanlari bo‘yicha falsafa doktori (PhD) dissertatsiyasi avtoreferati. – Toshkent, 2025. – B. 11.</w:t>
      </w:r>
    </w:p>
  </w:footnote>
  <w:footnote w:id="71">
    <w:p>
      <w:pPr>
        <w:pStyle w:val="FootnoteText"/>
      </w:pPr>
      <w:r>
        <w:rPr>
          <w:rStyle w:val="FootnoteReference"/>
        </w:rPr>
        <w:footnoteRef/>
      </w:r>
      <w:r>
        <w:t xml:space="preserve"> </w:t>
      </w:r>
      <w:r>
        <w:t xml:space="preserve">Madaminov B.A. Tijorat banklarida risk-menejment tizimini takomillashtirish asosida moliyaviy barqarorlikni ta’minlash metodologiyasi: iqtisodiyot fanlari doktori (DSc) dissertatsiyasi avtoreferati. – Toshkent, 2026. – B. 12.</w:t>
      </w:r>
    </w:p>
  </w:footnote>
  <w:footnote w:id="72">
    <w:p>
      <w:pPr>
        <w:pStyle w:val="FootnoteText"/>
      </w:pPr>
      <w:r>
        <w:rPr>
          <w:rStyle w:val="FootnoteReference"/>
        </w:rPr>
        <w:footnoteRef/>
      </w:r>
      <w:r>
        <w:t xml:space="preserve"> </w:t>
      </w:r>
      <w:r>
        <w:t xml:space="preserve">Abdishukurov Sh.Sh. Tijorat banklarining moliyaviy barqarorligini ta’minlash yo‘nalishlari: iqtisodiyot fanlari bo‘yicha falsafa doktori (PhD) dissertatsiyasi avtoreferati. – Toshkent, 2026. – B. 15.</w:t>
      </w:r>
    </w:p>
  </w:footnote>
  <w:footnote w:id="73">
    <w:p>
      <w:pPr>
        <w:pStyle w:val="FootnoteText"/>
      </w:pPr>
      <w:r>
        <w:rPr>
          <w:rStyle w:val="FootnoteReference"/>
        </w:rPr>
        <w:footnoteRef/>
      </w:r>
      <w:r>
        <w:t xml:space="preserve"> </w:t>
      </w:r>
      <w:r>
        <w:t xml:space="preserve">Sharipova N.H. Tijorat banklari moliyaviy barqarorligini mustahkamlashning konseptual asoslarini takomillashtirish: iqtisodiyot fanlari doktori (DSc) dissertatsiyasi avtoreferati. – Toshkent, 2026. – B. 13–14.</w:t>
      </w:r>
    </w:p>
  </w:footnote>
  <w:footnote w:id="74">
    <w:p>
      <w:pPr>
        <w:pStyle w:val="FootnoteText"/>
      </w:pPr>
      <w:r>
        <w:rPr>
          <w:rStyle w:val="FootnoteReference"/>
        </w:rPr>
        <w:footnoteRef/>
      </w:r>
      <w:r>
        <w:t xml:space="preserve"> </w:t>
      </w:r>
      <w:r>
        <w:t xml:space="preserve">Crockett A. Why Is Financial Stability a Goal of Public Policy? // Maintaining Financial Stability in a Global Economy. – Kansas City: Federal Reserve Bank of Kansas City, 1997. – P. 7–36.</w:t>
      </w:r>
    </w:p>
  </w:footnote>
  <w:footnote w:id="75">
    <w:p>
      <w:pPr>
        <w:pStyle w:val="FootnoteText"/>
      </w:pPr>
      <w:r>
        <w:rPr>
          <w:rStyle w:val="FootnoteReference"/>
        </w:rPr>
        <w:footnoteRef/>
      </w:r>
      <w:r>
        <w:t xml:space="preserve"> </w:t>
      </w:r>
      <w:r>
        <w:t xml:space="preserve">Tadqiqot natijasida muallif tomonidan ishlab chiqildi.</w:t>
      </w:r>
    </w:p>
  </w:footnote>
  <w:footnote w:id="7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41–45.</w:t>
      </w:r>
    </w:p>
  </w:footnote>
  <w:footnote w:id="77">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41–45; Регулирование банковской сферы: учебник / под ред. О.Н. Афанасьевой, С.Е. Дубовой. – М.: КНОРУС. – С. 49–55.</w:t>
      </w:r>
    </w:p>
  </w:footnote>
  <w:footnote w:id="78">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49.</w:t>
      </w:r>
    </w:p>
  </w:footnote>
  <w:footnote w:id="7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28–31.</w:t>
      </w:r>
    </w:p>
  </w:footnote>
  <w:footnote w:id="80">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31–41.</w:t>
      </w:r>
    </w:p>
  </w:footnote>
  <w:footnote w:id="81">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31–41.</w:t>
      </w:r>
    </w:p>
  </w:footnote>
  <w:footnote w:id="8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35–36.</w:t>
      </w:r>
    </w:p>
  </w:footnote>
  <w:footnote w:id="83">
    <w:p>
      <w:pPr>
        <w:pStyle w:val="FootnoteText"/>
      </w:pPr>
      <w:r>
        <w:rPr>
          <w:rStyle w:val="FootnoteReference"/>
        </w:rPr>
        <w:footnoteRef/>
      </w:r>
      <w:r>
        <w:t xml:space="preserve"> </w:t>
      </w:r>
      <w:r>
        <w:t xml:space="preserve">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44.</w:t>
      </w:r>
    </w:p>
  </w:footnote>
  <w:footnote w:id="8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44.</w:t>
      </w:r>
    </w:p>
  </w:footnote>
  <w:footnote w:id="85">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86">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17.</w:t>
      </w:r>
    </w:p>
  </w:footnote>
  <w:footnote w:id="87">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19–23.</w:t>
      </w:r>
    </w:p>
  </w:footnote>
  <w:footnote w:id="88">
    <w:p>
      <w:pPr>
        <w:pStyle w:val="FootnoteText"/>
      </w:pPr>
      <w:r>
        <w:rPr>
          <w:rStyle w:val="FootnoteReference"/>
        </w:rPr>
        <w:footnoteRef/>
      </w:r>
      <w:r>
        <w:t xml:space="preserve"> </w:t>
      </w:r>
      <w:r>
        <w:t xml:space="preserve">Diamond D.W., Dybvig P.H. Bank Runs, Deposit Insurance, and Liquidity // Journal of Political Economy. – 1983. – Vol. 91, No. 3. – P. 401–419.</w:t>
      </w:r>
    </w:p>
  </w:footnote>
  <w:footnote w:id="89">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61–66.</w:t>
      </w:r>
    </w:p>
  </w:footnote>
  <w:footnote w:id="90">
    <w:p>
      <w:pPr>
        <w:pStyle w:val="FootnoteText"/>
      </w:pPr>
      <w:r>
        <w:rPr>
          <w:rStyle w:val="FootnoteReference"/>
        </w:rPr>
        <w:footnoteRef/>
      </w:r>
      <w:r>
        <w:t xml:space="preserve"> </w:t>
      </w:r>
      <w:r>
        <w:t xml:space="preserve">Minsky H.P. The Financial Instability Hypothesis: Working Paper No. 74. – Annandale-on-Hudson: The Jerome Levy Economics Institute of Bard College, 1992. – 10 p.</w:t>
      </w:r>
    </w:p>
  </w:footnote>
  <w:footnote w:id="91">
    <w:p>
      <w:pPr>
        <w:pStyle w:val="FootnoteText"/>
      </w:pPr>
      <w:r>
        <w:rPr>
          <w:rStyle w:val="FootnoteReference"/>
        </w:rPr>
        <w:footnoteRef/>
      </w:r>
      <w:r>
        <w:t xml:space="preserve"> </w:t>
      </w:r>
      <w:r>
        <w:t xml:space="preserve">Hendrickson J.M. Regulation and Instability in U.S. Commercial Banking: A History of Crises. – Basingstoke: Palgrave Macmillan, 2011. – P. 5–6.</w:t>
      </w:r>
    </w:p>
  </w:footnote>
  <w:footnote w:id="92">
    <w:p>
      <w:pPr>
        <w:pStyle w:val="FootnoteText"/>
      </w:pPr>
      <w:r>
        <w:rPr>
          <w:rStyle w:val="FootnoteReference"/>
        </w:rPr>
        <w:footnoteRef/>
      </w:r>
      <w:r>
        <w:t xml:space="preserve"> </w:t>
      </w:r>
      <w:r>
        <w:t xml:space="preserve">Thakor A.V. Leverage, System Risk and Financial System Health: How Do We Develop a Healthy Financial System? // Governance, Regulation and Bank Stability / ed. by T. Lindblom, S. Sjögren, M. Willesson. – Basingstoke: Palgrave Macmillan, 2014. – P. 10–12.</w:t>
      </w:r>
    </w:p>
  </w:footnote>
  <w:footnote w:id="93">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16.</w:t>
      </w:r>
    </w:p>
  </w:footnote>
  <w:footnote w:id="94">
    <w:p>
      <w:pPr>
        <w:pStyle w:val="FootnoteText"/>
      </w:pPr>
      <w:r>
        <w:rPr>
          <w:rStyle w:val="FootnoteReference"/>
        </w:rPr>
        <w:footnoteRef/>
      </w:r>
      <w:r>
        <w:t xml:space="preserve"> </w:t>
      </w:r>
      <w:r>
        <w:t xml:space="preserve">Merton R.C. On the Pricing of Corporate Debt: The Risk Structure of Interest Rates // Journal of Finance. – 1974. – Vol. 29, No. 2. – P. 449–470.</w:t>
      </w:r>
    </w:p>
  </w:footnote>
  <w:footnote w:id="95">
    <w:p>
      <w:pPr>
        <w:pStyle w:val="FootnoteText"/>
      </w:pPr>
      <w:r>
        <w:rPr>
          <w:rStyle w:val="FootnoteReference"/>
        </w:rPr>
        <w:footnoteRef/>
      </w:r>
      <w:r>
        <w:t xml:space="preserve"> </w:t>
      </w:r>
      <w:r>
        <w:t xml:space="preserve">Roy A.D. Safety First and the Holding of Assets // Econometrica. – 1952. – Vol. 20, No. 3. – P. 431–449.</w:t>
      </w:r>
    </w:p>
  </w:footnote>
  <w:footnote w:id="96">
    <w:p>
      <w:pPr>
        <w:pStyle w:val="FootnoteText"/>
      </w:pPr>
      <w:r>
        <w:rPr>
          <w:rStyle w:val="FootnoteReference"/>
        </w:rPr>
        <w:footnoteRef/>
      </w:r>
      <w:r>
        <w:t xml:space="preserve"> </w:t>
      </w:r>
      <w:r>
        <w:t xml:space="preserve">Boyd J.H., Graham S.L. Risk, Regulation, and Bank Holding Company Expansion into Nonbanking // Federal Reserve Bank of Minneapolis Quarterly Review. – 1986. – Vol. 10, No. 2. – P. 2–17.</w:t>
      </w:r>
    </w:p>
  </w:footnote>
  <w:footnote w:id="97">
    <w:p>
      <w:pPr>
        <w:pStyle w:val="FootnoteText"/>
      </w:pPr>
      <w:r>
        <w:rPr>
          <w:rStyle w:val="FootnoteReference"/>
        </w:rPr>
        <w:footnoteRef/>
      </w:r>
      <w:r>
        <w:t xml:space="preserve"> </w:t>
      </w:r>
      <w:r>
        <w:t xml:space="preserve">Tadqiqot natijasida muallif tomonidan quyidagi manba ma’lumotlari asosida ishlab chiqildi: Chiaramonte L., Poli F. Predicting European Bank Distress: Evidence from the Recent Financial Crisis // Governance, Regulation and Bank Stability / ed. by T. Lindblom, S. Sjögren, M. Willesson. – Basingstoke: Palgrave Macmillan, 2014. – P. 92–95.</w:t>
      </w:r>
    </w:p>
  </w:footnote>
  <w:footnote w:id="98">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83–95.</w:t>
      </w:r>
    </w:p>
  </w:footnote>
  <w:footnote w:id="99">
    <w:p>
      <w:pPr>
        <w:pStyle w:val="FootnoteText"/>
      </w:pPr>
      <w:r>
        <w:rPr>
          <w:rStyle w:val="FootnoteReference"/>
        </w:rPr>
        <w:footnoteRef/>
      </w:r>
      <w:r>
        <w:t xml:space="preserve"> </w:t>
      </w:r>
      <w:r>
        <w:t xml:space="preserve">Borio C. Towards a Macroprudential Framework for Financial Supervision and Regulation?: BIS Working Papers No. 128. – Basel: Bank for International Settlements, 2003. – 32 p.</w:t>
      </w:r>
    </w:p>
  </w:footnote>
  <w:footnote w:id="100">
    <w:p>
      <w:pPr>
        <w:pStyle w:val="FootnoteText"/>
      </w:pPr>
      <w:r>
        <w:rPr>
          <w:rStyle w:val="FootnoteReference"/>
        </w:rPr>
        <w:footnoteRef/>
      </w:r>
      <w:r>
        <w:t xml:space="preserve"> </w:t>
      </w:r>
      <w:r>
        <w:t xml:space="preserve">Adrian T., Brunnermeier M.K. CoVaR // American Economic Review. – 2016. – Vol. 106, No. 7. – P. 1705–1741.</w:t>
      </w:r>
    </w:p>
  </w:footnote>
  <w:footnote w:id="101">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55–62.</w:t>
      </w:r>
    </w:p>
  </w:footnote>
  <w:footnote w:id="102">
    <w:p>
      <w:pPr>
        <w:pStyle w:val="FootnoteText"/>
      </w:pPr>
      <w:r>
        <w:rPr>
          <w:rStyle w:val="FootnoteReference"/>
        </w:rPr>
        <w:footnoteRef/>
      </w:r>
      <w:r>
        <w:t xml:space="preserve"> </w:t>
      </w:r>
      <w:r>
        <w:t xml:space="preserve">IFRS 9 Financial Instruments. – London: International Accounting Standards Board, 2014.</w:t>
      </w:r>
    </w:p>
  </w:footnote>
  <w:footnote w:id="103">
    <w:p>
      <w:pPr>
        <w:pStyle w:val="FootnoteText"/>
      </w:pPr>
      <w:r>
        <w:rPr>
          <w:rStyle w:val="FootnoteReference"/>
        </w:rPr>
        <w:footnoteRef/>
      </w:r>
      <w:r>
        <w:t xml:space="preserve"> </w:t>
      </w:r>
      <w:r>
        <w:t xml:space="preserve">Tadqiqot natijasida muallif tomonidan quyidagi manbalar asosida ishlab chiqildi: Diamond D.W., Dybvig P.H. Bank Runs, Deposit Insurance, and Liquidity // Journal of Political Economy. – 1983. – Vol. 91, No. 3. – P. 401–419; Minsky H.P. The Financial Instability Hypothesis: Working Paper No. 74. – Annandale-on-Hudson: The Jerome Levy Economics Institute of Bard College, 1992. – 10 p; Tarullo D.K. Banking on Basel: The Future of International Financial Regulation. – Washington, DC: Peterson Institute for International Economics, 2008. – P. 16; Merton R.C. On the Pricing of Corporate Debt: The Risk Structure of Interest Rates // Journal of Finance. – 1974. – Vol. 29, No. 2. – P. 449–470; Boyd J.H., Graham S.L. Risk, Regulation, and Bank Holding Company Expansion into Nonbanking // Federal Reserve Bank of Minneapolis Quarterly Review. – 1986. – Vol. 10, No. 2. – P. 2–17; Borio C. Towards a Macroprudential Framework for Financial Supervision and Regulation?: BIS Working Papers No. 128. – Basel: Bank for International Settlements, 2003. – 32 p; Adrian T., Brunnermeier M.K. CoVaR // American Economic Review. – 2016. – Vol. 106, No. 7. – P. 1705–1741; IFRS 9 Financial Instruments. – London: International Accounting Standards Board, 2014.</w:t>
      </w:r>
    </w:p>
  </w:footnote>
  <w:footnote w:id="104">
    <w:p>
      <w:pPr>
        <w:pStyle w:val="FootnoteText"/>
      </w:pPr>
      <w:r>
        <w:rPr>
          <w:rStyle w:val="FootnoteReference"/>
        </w:rPr>
        <w:footnoteRef/>
      </w:r>
      <w:r>
        <w:t xml:space="preserve"> </w:t>
      </w:r>
      <w:r>
        <w:t xml:space="preserve">Tadqiqot natijasida muallif tomonidan ishlab chiqildi.</w:t>
      </w:r>
    </w:p>
  </w:footnote>
  <w:footnote w:id="105">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4, 17.</w:t>
      </w:r>
    </w:p>
  </w:footnote>
  <w:footnote w:id="106">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19–23.</w:t>
      </w:r>
    </w:p>
  </w:footnote>
  <w:footnote w:id="107">
    <w:p>
      <w:pPr>
        <w:pStyle w:val="FootnoteText"/>
      </w:pPr>
      <w:r>
        <w:rPr>
          <w:rStyle w:val="FootnoteReference"/>
        </w:rPr>
        <w:footnoteRef/>
      </w:r>
      <w:r>
        <w:t xml:space="preserve"> </w:t>
      </w:r>
      <w:r>
        <w:t xml:space="preserve">Cargill T.F. The Financial System, Financial Regulation and Central Bank Policy. – Cambridge: Cambridge University Press, 2017. – P. 184–185.</w:t>
      </w:r>
    </w:p>
  </w:footnote>
  <w:footnote w:id="108">
    <w:p>
      <w:pPr>
        <w:pStyle w:val="FootnoteText"/>
      </w:pPr>
      <w:r>
        <w:rPr>
          <w:rStyle w:val="FootnoteReference"/>
        </w:rPr>
        <w:footnoteRef/>
      </w:r>
      <w:r>
        <w:t xml:space="preserve"> </w:t>
      </w:r>
      <w:r>
        <w:t xml:space="preserve">Peláez C.M., Peláez C.A. Regulation of Banks and Finance: Theory and Policy after the Credit Crisis. – Basingstoke: Palgrave Macmillan, 2009. – P. 61–62.</w:t>
      </w:r>
    </w:p>
  </w:footnote>
  <w:footnote w:id="109">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16, 27.</w:t>
      </w:r>
    </w:p>
  </w:footnote>
  <w:footnote w:id="110">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49–53.</w:t>
      </w:r>
    </w:p>
  </w:footnote>
  <w:footnote w:id="111">
    <w:p>
      <w:pPr>
        <w:pStyle w:val="FootnoteText"/>
      </w:pPr>
      <w:r>
        <w:rPr>
          <w:rStyle w:val="FootnoteReference"/>
        </w:rPr>
        <w:footnoteRef/>
      </w:r>
      <w:r>
        <w:t xml:space="preserve"> </w:t>
      </w:r>
      <w:r>
        <w:t xml:space="preserve">Tadqiqot natijasida muallif tomonidan quyidagi manbalar asosida ishlab chiqildi: Регулирование банковской сферы: учебник / под ред. О.Н. Афанасьевой, С.Е. Дубовой. – М.: КНОРУС. – С. 49–53; Tarullo D.K. Banking on Basel: The Future of International Financial Regulation. – Washington, DC: Peterson Institute for International Economics, 2008. – P. 16–23; Peláez C.M., Peláez C.A. Regulation of Banks and Finance: Theory and Policy after the Credit Crisis. – Basingstoke: Palgrave Macmillan, 2009. – P. 4, 17, 61–62; Cargill T.F. The Financial System, Financial Regulation and Central Bank Policy. – Cambridge: Cambridge University Press, 2017. – P. 184–185.</w:t>
      </w:r>
    </w:p>
  </w:footnote>
  <w:footnote w:id="11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49.</w:t>
      </w:r>
    </w:p>
  </w:footnote>
  <w:footnote w:id="113">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57–61.</w:t>
      </w:r>
    </w:p>
  </w:footnote>
  <w:footnote w:id="11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115">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100, 193–195.</w:t>
      </w:r>
    </w:p>
  </w:footnote>
  <w:footnote w:id="116">
    <w:p>
      <w:pPr>
        <w:pStyle w:val="FootnoteText"/>
      </w:pPr>
      <w:r>
        <w:rPr>
          <w:rStyle w:val="FootnoteReference"/>
        </w:rPr>
        <w:footnoteRef/>
      </w:r>
      <w:r>
        <w:t xml:space="preserve"> </w:t>
      </w:r>
      <w:r>
        <w:t xml:space="preserve">Čihák M. How Do Central Banks Write on Financial Stability?: IMF Working Paper WP/06/163. – Washington, DC: International Monetary Fund, 2006. – P. 19.</w:t>
      </w:r>
    </w:p>
  </w:footnote>
  <w:footnote w:id="11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62–69.</w:t>
      </w:r>
    </w:p>
  </w:footnote>
  <w:footnote w:id="118">
    <w:p>
      <w:pPr>
        <w:pStyle w:val="FootnoteText"/>
      </w:pPr>
      <w:r>
        <w:rPr>
          <w:rStyle w:val="FootnoteReference"/>
        </w:rPr>
        <w:footnoteRef/>
      </w:r>
      <w:r>
        <w:t xml:space="preserve"> </w:t>
      </w:r>
      <w:r>
        <w:t xml:space="preserve">Karaliyev T.M., Sayfiddinov I.F. Tijorat banklari faoliyatini tartibga solish va nazorati: darslik. – T.: Iqtisod-Moliya, 2019. – B. 213.</w:t>
      </w:r>
    </w:p>
  </w:footnote>
  <w:footnote w:id="119">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20.</w:t>
      </w:r>
    </w:p>
  </w:footnote>
  <w:footnote w:id="120">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56–57.</w:t>
      </w:r>
    </w:p>
  </w:footnote>
  <w:footnote w:id="121">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54–57.</w:t>
      </w:r>
    </w:p>
  </w:footnote>
  <w:footnote w:id="122">
    <w:p>
      <w:pPr>
        <w:pStyle w:val="FootnoteText"/>
      </w:pPr>
      <w:r>
        <w:rPr>
          <w:rStyle w:val="FootnoteReference"/>
        </w:rPr>
        <w:footnoteRef/>
      </w:r>
      <w:r>
        <w:t xml:space="preserve"> </w:t>
      </w:r>
      <w:r>
        <w:t xml:space="preserve">Modina M. Credit Rating and Bank–Firm Relationships: New Models to Better Evaluate SMEs. – Basingstoke: Palgrave Macmillan, 2015. – P. 33.</w:t>
      </w:r>
    </w:p>
  </w:footnote>
  <w:footnote w:id="123">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54–57; Устойчивость банковской системы и развитие банковской политики: монография / под ред. О.И. Лаврушина. – М.: КНОРУС, 2014. – С. 48–61; Карминский А.М. Кредитные рейтинги и их моделирование. – М.: Изд. дом НИУ ВШЭ, 2015. – С. 20, 208; Karaliyev T.M., Sayfiddinov I.F. Tijorat banklari faoliyatini tartibga solish va nazorati: darslik. – T.: Iqtisod-Moliya, 2019. – B. 195–213; Chiaramonte L., Poli F. Predicting European Bank Distress: Evidence from the Recent Financial Crisis // Governance, Regulation and Bank Stability / ed. by T. Lindblom, S. Sjögren, M. Willesson. – Basingstoke: Palgrave Macmillan, 2014. – P. 77–93; Cargill T.F. The Financial System, Financial Regulation and Central Bank Policy. – Cambridge: Cambridge University Press, 2017. – P. 194.</w:t>
      </w:r>
    </w:p>
  </w:footnote>
  <w:footnote w:id="124">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48.</w:t>
      </w:r>
    </w:p>
  </w:footnote>
  <w:footnote w:id="125">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 – Б. 18–19, 27.</w:t>
      </w:r>
    </w:p>
  </w:footnote>
  <w:footnote w:id="126">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83, 92–93.</w:t>
      </w:r>
    </w:p>
  </w:footnote>
  <w:footnote w:id="127">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208.</w:t>
      </w:r>
    </w:p>
  </w:footnote>
  <w:footnote w:id="128">
    <w:p>
      <w:pPr>
        <w:pStyle w:val="FootnoteText"/>
      </w:pPr>
      <w:r>
        <w:rPr>
          <w:rStyle w:val="FootnoteReference"/>
        </w:rPr>
        <w:footnoteRef/>
      </w:r>
      <w:r>
        <w:t xml:space="preserve"> </w:t>
      </w:r>
      <w:r>
        <w:t xml:space="preserve">Chiaramonte L., Poli F. Predicting European Bank Distress: Evidence from the Recent Financial Crisis // Governance, Regulation and Bank Stability / ed. by T. Lindblom, S. Sjögren, M. Willesson. – Basingstoke: Palgrave Macmillan, 2014. – P. 77–80.</w:t>
      </w:r>
    </w:p>
  </w:footnote>
  <w:footnote w:id="12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68.</w:t>
      </w:r>
    </w:p>
  </w:footnote>
  <w:footnote w:id="130">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50–51.</w:t>
      </w:r>
    </w:p>
  </w:footnote>
  <w:footnote w:id="131">
    <w:p>
      <w:pPr>
        <w:pStyle w:val="FootnoteText"/>
      </w:pPr>
      <w:r>
        <w:rPr>
          <w:rStyle w:val="FootnoteReference"/>
        </w:rPr>
        <w:footnoteRef/>
      </w:r>
      <w:r>
        <w:t xml:space="preserve"> </w:t>
      </w:r>
      <w:r>
        <w:t xml:space="preserve">Шаталова Е.П. Банковские рейтинги в системе риск-менеджмента: процедуры мониторинга кредитных рейтингов: учебное пособие. – 2020. – С. 23.</w:t>
      </w:r>
    </w:p>
  </w:footnote>
  <w:footnote w:id="132">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76, 84–85.</w:t>
      </w:r>
    </w:p>
  </w:footnote>
  <w:footnote w:id="133">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193.</w:t>
      </w:r>
    </w:p>
  </w:footnote>
  <w:footnote w:id="134">
    <w:p>
      <w:pPr>
        <w:pStyle w:val="FootnoteText"/>
      </w:pPr>
      <w:r>
        <w:rPr>
          <w:rStyle w:val="FootnoteReference"/>
        </w:rPr>
        <w:footnoteRef/>
      </w:r>
      <w:r>
        <w:t xml:space="preserve"> </w:t>
      </w:r>
      <w:r>
        <w:t xml:space="preserve">Tadqiqot natijasida muallif tomonidan quyidagi manbalar asosida ishlab chiqildi: Tarullo D.K. Banking on Basel: The Future of International Financial Regulation. – Washington, DC: Peterson Institute for International Economics, 2008. – P. 45–67; Tian W. Regulatory Capital Requirement in Basel III // Commercial Banking Risk Management: Regulation in the Wake of the Financial Crisis / ed. by W. Tian. – New York: Palgrave Macmillan, 2017. – P. 3–28; Карминский А.М. Кредитные рейтинги и их моделирование. – М.: Изд. дом НИУ ВШЭ, 2015. – С. 20–24.</w:t>
      </w:r>
    </w:p>
  </w:footnote>
  <w:footnote w:id="135">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55–59.</w:t>
      </w:r>
    </w:p>
  </w:footnote>
  <w:footnote w:id="136">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65–67, 77–83.</w:t>
      </w:r>
    </w:p>
  </w:footnote>
  <w:footnote w:id="137">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69–72.</w:t>
      </w:r>
    </w:p>
  </w:footnote>
  <w:footnote w:id="138">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162–165.</w:t>
      </w:r>
    </w:p>
  </w:footnote>
  <w:footnote w:id="139">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3.</w:t>
      </w:r>
    </w:p>
  </w:footnote>
  <w:footnote w:id="140">
    <w:p>
      <w:pPr>
        <w:pStyle w:val="FootnoteText"/>
      </w:pPr>
      <w:r>
        <w:rPr>
          <w:rStyle w:val="FootnoteReference"/>
        </w:rPr>
        <w:footnoteRef/>
      </w:r>
      <w:r>
        <w:t xml:space="preserve"> </w:t>
      </w:r>
      <w:r>
        <w:t xml:space="preserve">Modina M. Credit Rating and Bank–Firm Relationships: New Models to Better Evaluate SMEs. – Basingstoke: Palgrave Macmillan, 2015. – P. 45.</w:t>
      </w:r>
    </w:p>
  </w:footnote>
  <w:footnote w:id="141">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6–7, 15.</w:t>
      </w:r>
    </w:p>
  </w:footnote>
  <w:footnote w:id="142">
    <w:p>
      <w:pPr>
        <w:pStyle w:val="FootnoteText"/>
      </w:pPr>
      <w:r>
        <w:rPr>
          <w:rStyle w:val="FootnoteReference"/>
        </w:rPr>
        <w:footnoteRef/>
      </w:r>
      <w:r>
        <w:t xml:space="preserve"> </w:t>
      </w:r>
      <w:r>
        <w:t xml:space="preserve">Tadqiqot natijasida muallif tomonidan quyidagi manbalar asosida ishlab chiqildi: Modina M. Credit Rating and Bank–Firm Relationships: New Models to Better Evaluate SMEs. – Basingstoke: Palgrave Macmillan, 2015. – P. 46–47; Tian W. Regulatory Capital Requirement in Basel III // Commercial Banking Risk Management: Regulation in the Wake of the Financial Crisis / ed. by W. Tian. – New York: Palgrave Macmillan, 2017. – P. 6–7, 15.</w:t>
      </w:r>
    </w:p>
  </w:footnote>
  <w:footnote w:id="143">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9–10.</w:t>
      </w:r>
    </w:p>
  </w:footnote>
  <w:footnote w:id="144">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20–22.</w:t>
      </w:r>
    </w:p>
  </w:footnote>
  <w:footnote w:id="145">
    <w:p>
      <w:pPr>
        <w:pStyle w:val="FootnoteText"/>
      </w:pPr>
      <w:r>
        <w:rPr>
          <w:rStyle w:val="FootnoteReference"/>
        </w:rPr>
        <w:footnoteRef/>
      </w:r>
      <w:r>
        <w:t xml:space="preserve"> </w:t>
      </w:r>
      <w:r>
        <w:t xml:space="preserve">Tadqiqot natijasida muallif tomonidan quyidagi manbalar asosida ishlab chiqildi: Tian W. Regulatory Capital Requirement in Basel III // Commercial Banking Risk Management: Regulation in the Wake of the Financial Crisis / ed. by W. Tian. – New York: Palgrave Macmillan, 2017. – P. 20–22.</w:t>
      </w:r>
    </w:p>
  </w:footnote>
  <w:footnote w:id="146">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68–70.</w:t>
      </w:r>
    </w:p>
  </w:footnote>
  <w:footnote w:id="147">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15.</w:t>
      </w:r>
    </w:p>
  </w:footnote>
  <w:footnote w:id="148">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149">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150">
    <w:p>
      <w:pPr>
        <w:pStyle w:val="FootnoteText"/>
      </w:pPr>
      <w:r>
        <w:rPr>
          <w:rStyle w:val="FootnoteReference"/>
        </w:rPr>
        <w:footnoteRef/>
      </w:r>
      <w:r>
        <w:t xml:space="preserve"> </w:t>
      </w:r>
      <w:r>
        <w:t xml:space="preserve">Tadqiqot natijasida muallif tomonidan quyidagi manbalar asosida ishlab chiqildi: Basel Committee on Banking Supervision. Basel III: The Liquidity Coverage Ratio and liquidity risk monitoring tools. – Basel: BIS, January 2013; Basel Committee on Banking Supervision. Basel III: The Net Stable Funding Ratio. – Basel: BIS, October 2014;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69, 93–94.</w:t>
      </w:r>
    </w:p>
  </w:footnote>
  <w:footnote w:id="151">
    <w:p>
      <w:pPr>
        <w:pStyle w:val="FootnoteText"/>
      </w:pPr>
      <w:r>
        <w:rPr>
          <w:rStyle w:val="FootnoteReference"/>
        </w:rPr>
        <w:footnoteRef/>
      </w:r>
      <w:r>
        <w:t xml:space="preserve"> </w:t>
      </w:r>
      <w:r>
        <w:t xml:space="preserve">Basel Committee on Banking Supervision. Basel III: Finalising post-crisis reforms. – Basel: BIS, December 2017.</w:t>
      </w:r>
    </w:p>
  </w:footnote>
  <w:footnote w:id="152">
    <w:p>
      <w:pPr>
        <w:pStyle w:val="FootnoteText"/>
      </w:pPr>
      <w:r>
        <w:rPr>
          <w:rStyle w:val="FootnoteReference"/>
        </w:rPr>
        <w:footnoteRef/>
      </w:r>
      <w:r>
        <w:t xml:space="preserve"> </w:t>
      </w:r>
      <w:r>
        <w:t xml:space="preserve">Karaliyev T.M., Sayfiddinov I.F. Tijorat banklari faoliyatini tartibga solish va nazorati: darslik. – T.: Iqtisod-Moliya, 2019. – B. 185–186.</w:t>
      </w:r>
    </w:p>
  </w:footnote>
  <w:footnote w:id="153">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59–60.</w:t>
      </w:r>
    </w:p>
  </w:footnote>
  <w:footnote w:id="154">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155">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104.</w:t>
      </w:r>
    </w:p>
  </w:footnote>
  <w:footnote w:id="156">
    <w:p>
      <w:pPr>
        <w:pStyle w:val="FootnoteText"/>
      </w:pPr>
      <w:r>
        <w:rPr>
          <w:rStyle w:val="FootnoteReference"/>
        </w:rPr>
        <w:footnoteRef/>
      </w:r>
      <w:r>
        <w:t xml:space="preserve"> </w:t>
      </w:r>
      <w:r>
        <w:t xml:space="preserve">IFRS 9 Financial Instruments. – London: International Accounting Standards Board, 2014.</w:t>
      </w:r>
    </w:p>
  </w:footnote>
  <w:footnote w:id="157">
    <w:p>
      <w:pPr>
        <w:pStyle w:val="FootnoteText"/>
      </w:pPr>
      <w:r>
        <w:rPr>
          <w:rStyle w:val="FootnoteReference"/>
        </w:rPr>
        <w:footnoteRef/>
      </w:r>
      <w:r>
        <w:t xml:space="preserve"> </w:t>
      </w:r>
      <w:r>
        <w:t xml:space="preserve">Tadqiqot natijasida muallif tomonidan quyidagi manbalar asosida ishlab chiqildi: IFRS 9 Financial Instruments. – London: International Accounting Standards Board, 2014; 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 104.</w:t>
      </w:r>
    </w:p>
  </w:footnote>
  <w:footnote w:id="158">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108.</w:t>
      </w:r>
    </w:p>
  </w:footnote>
  <w:footnote w:id="159">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85–87.</w:t>
      </w:r>
    </w:p>
  </w:footnote>
  <w:footnote w:id="160">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54–55.</w:t>
      </w:r>
    </w:p>
  </w:footnote>
  <w:footnote w:id="161">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45.</w:t>
      </w:r>
    </w:p>
  </w:footnote>
  <w:footnote w:id="162">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163">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164">
    <w:p>
      <w:pPr>
        <w:pStyle w:val="FootnoteText"/>
      </w:pPr>
      <w:r>
        <w:rPr>
          <w:rStyle w:val="FootnoteReference"/>
        </w:rPr>
        <w:footnoteRef/>
      </w:r>
      <w:r>
        <w:t xml:space="preserve"> </w:t>
      </w:r>
      <w:r>
        <w:t xml:space="preserve">Tadqiqot natijasida muallif tomonidan ishlab chiqildi.</w:t>
      </w:r>
    </w:p>
  </w:footnote>
  <w:footnote w:id="165">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 – P. 293–294.</w:t>
      </w:r>
    </w:p>
  </w:footnote>
  <w:footnote w:id="166">
    <w:p>
      <w:pPr>
        <w:pStyle w:val="FootnoteText"/>
      </w:pPr>
      <w:r>
        <w:rPr>
          <w:rStyle w:val="FootnoteReference"/>
        </w:rPr>
        <w:footnoteRef/>
      </w:r>
      <w:r>
        <w:t xml:space="preserve"> </w:t>
      </w:r>
      <w:r>
        <w:t xml:space="preserve">Tadqiqot natijasida muallif tomonidan ishlab chiqildi.</w:t>
      </w:r>
    </w:p>
  </w:footnote>
  <w:footnote w:id="167">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85.</w:t>
      </w:r>
    </w:p>
  </w:footnote>
  <w:footnote w:id="168">
    <w:p>
      <w:pPr>
        <w:pStyle w:val="FootnoteText"/>
      </w:pPr>
      <w:r>
        <w:rPr>
          <w:rStyle w:val="FootnoteReference"/>
        </w:rPr>
        <w:footnoteRef/>
      </w:r>
      <w:r>
        <w:t xml:space="preserve"> </w:t>
      </w:r>
      <w:r>
        <w:t xml:space="preserve">Karaliyev T.M., Sayfiddinov I.F. Tijorat banklari faoliyatini tartibga solish va nazorati: darslik. – T.: Iqtisod-Moliya, 2019. – B. 195.</w:t>
      </w:r>
    </w:p>
  </w:footnote>
  <w:footnote w:id="169">
    <w:p>
      <w:pPr>
        <w:pStyle w:val="FootnoteText"/>
      </w:pPr>
      <w:r>
        <w:rPr>
          <w:rStyle w:val="FootnoteReference"/>
        </w:rPr>
        <w:footnoteRef/>
      </w:r>
      <w:r>
        <w:t xml:space="preserve"> </w:t>
      </w:r>
      <w:r>
        <w:t xml:space="preserve">Tadqiqot natijasida muallif tomonidan quyidagi manbalar asosida ishlab chiqildi: Устойчивость банковской системы и развитие банковской политики: монография / под ред. О.И. Лаврушина. – М.: КНОРУС, 2014. – С. 56–57; Karaliyev T.M., Sayfiddinov I.F. Tijorat banklari faoliyatini tartibga solish va nazorati: darslik. – T.: Iqtisod-Moliya, 2019. – B. 194–195.</w:t>
      </w:r>
    </w:p>
  </w:footnote>
  <w:footnote w:id="170">
    <w:p>
      <w:pPr>
        <w:pStyle w:val="FootnoteText"/>
      </w:pPr>
      <w:r>
        <w:rPr>
          <w:rStyle w:val="FootnoteReference"/>
        </w:rPr>
        <w:footnoteRef/>
      </w:r>
      <w:r>
        <w:t xml:space="preserve"> </w:t>
      </w:r>
      <w:r>
        <w:t xml:space="preserve">Tadqiqot natijasida muallif tomonidan quyidagi manbalar asosida ishlab chiqildi: Karaliyev T.M., Sayfiddinov I.F. Tijorat banklari faoliyatini tartibga solish va nazorati: darslik. – T.: Iqtisod-Moliya, 2019. – B. 194–195; Устойчивость банковской системы и развитие банковской политики: монография / под ред. О.И. Лаврушина. – М.: КНОРУС, 2014. – С. 57–61; Оценка финансовой устойчивости кредитной организации: учебник / под ред. О.И. Лаврушина, И.Д. Мамоновой. – М.: КНОРУС, 2011. – С. 92–115; Cargill T.F. The Financial System, Financial Regulation and Central Bank Policy. – Cambridge: Cambridge University Press, 2017. – P. 194–195.</w:t>
      </w:r>
    </w:p>
  </w:footnote>
  <w:footnote w:id="171">
    <w:p>
      <w:pPr>
        <w:pStyle w:val="FootnoteText"/>
      </w:pPr>
      <w:r>
        <w:rPr>
          <w:rStyle w:val="FootnoteReference"/>
        </w:rPr>
        <w:footnoteRef/>
      </w:r>
      <w:r>
        <w:t xml:space="preserve"> </w:t>
      </w:r>
      <w:r>
        <w:t xml:space="preserve">Hendrickson J.M. Regulation and Instability in U.S. Commercial Banking: A History of Crises. – Basingstoke: Palgrave Macmillan, 2011. – P. 1–2, 10–11.</w:t>
      </w:r>
    </w:p>
  </w:footnote>
  <w:footnote w:id="172">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29–31.</w:t>
      </w:r>
    </w:p>
  </w:footnote>
  <w:footnote w:id="173">
    <w:p>
      <w:pPr>
        <w:pStyle w:val="FootnoteText"/>
      </w:pPr>
      <w:r>
        <w:rPr>
          <w:rStyle w:val="FootnoteReference"/>
        </w:rPr>
        <w:footnoteRef/>
      </w:r>
      <w:r>
        <w:t xml:space="preserve"> </w:t>
      </w:r>
      <w:r>
        <w:t xml:space="preserve">Cargill T.F. The Financial System, Financial Regulation and Central Bank Policy. – Cambridge: Cambridge University Press, 2017. – P. 194–195.</w:t>
      </w:r>
    </w:p>
  </w:footnote>
  <w:footnote w:id="174">
    <w:p>
      <w:pPr>
        <w:pStyle w:val="FootnoteText"/>
      </w:pPr>
      <w:r>
        <w:rPr>
          <w:rStyle w:val="FootnoteReference"/>
        </w:rPr>
        <w:footnoteRef/>
      </w:r>
      <w:r>
        <w:t xml:space="preserve"> </w:t>
      </w:r>
      <w:r>
        <w:t xml:space="preserve">Cargill T.F. The Financial System, Financial Regulation and Central Bank Policy. – Cambridge: Cambridge University Press, 2017. – P. 193.</w:t>
      </w:r>
    </w:p>
  </w:footnote>
  <w:footnote w:id="175">
    <w:p>
      <w:pPr>
        <w:pStyle w:val="FootnoteText"/>
      </w:pPr>
      <w:r>
        <w:rPr>
          <w:rStyle w:val="FootnoteReference"/>
        </w:rPr>
        <w:footnoteRef/>
      </w:r>
      <w:r>
        <w:t xml:space="preserve"> </w:t>
      </w:r>
      <w:r>
        <w:t xml:space="preserve">Tadqiqot natijasida muallif tomonidan quyidagi manba asosida ishlab chiqildi: Cargill T.F. The Financial System, Financial Regulation and Central Bank Policy. – Cambridge: Cambridge University Press, 2017. – P. 193 (Table 9.3).</w:t>
      </w:r>
    </w:p>
  </w:footnote>
  <w:footnote w:id="176">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228–230.</w:t>
      </w:r>
    </w:p>
  </w:footnote>
  <w:footnote w:id="177">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107–114.</w:t>
      </w:r>
    </w:p>
  </w:footnote>
  <w:footnote w:id="178">
    <w:p>
      <w:pPr>
        <w:pStyle w:val="FootnoteText"/>
      </w:pPr>
      <w:r>
        <w:rPr>
          <w:rStyle w:val="FootnoteReference"/>
        </w:rPr>
        <w:footnoteRef/>
      </w:r>
      <w:r>
        <w:t xml:space="preserve"> </w:t>
      </w:r>
      <w:r>
        <w:t xml:space="preserve">Tadqiqot natijasida muallif tomonidan quyidagi manba ma’lumotlari asosida ishlab chiqildi: Оценка финансовой устойчивости кредитной организации: учебник / под ред. О.И. Лаврушина, И.Д. Мамоновой. – М.: КНОРУС, 2011. – С. 112–114.</w:t>
      </w:r>
    </w:p>
  </w:footnote>
  <w:footnote w:id="179">
    <w:p>
      <w:pPr>
        <w:pStyle w:val="FootnoteText"/>
      </w:pPr>
      <w:r>
        <w:rPr>
          <w:rStyle w:val="FootnoteReference"/>
        </w:rPr>
        <w:footnoteRef/>
      </w:r>
      <w:r>
        <w:t xml:space="preserve"> </w:t>
      </w:r>
      <w:r>
        <w:t xml:space="preserve">Cargill T.F. The Financial System, Financial Regulation and Central Bank Policy. – Cambridge: Cambridge University Press, 2017. – P. 195–196.</w:t>
      </w:r>
    </w:p>
  </w:footnote>
  <w:footnote w:id="180">
    <w:p>
      <w:pPr>
        <w:pStyle w:val="FootnoteText"/>
      </w:pPr>
      <w:r>
        <w:rPr>
          <w:rStyle w:val="FootnoteReference"/>
        </w:rPr>
        <w:footnoteRef/>
      </w:r>
      <w:r>
        <w:t xml:space="preserve"> </w:t>
      </w:r>
      <w:r>
        <w:t xml:space="preserve">Board of Governors of the Federal Reserve System. Revisions to the Large Financial Institution Rating System and Framework for the Supervision of Insurance Organizations // Federal Register. – 2025. – 17 November.</w:t>
      </w:r>
    </w:p>
  </w:footnote>
  <w:footnote w:id="181">
    <w:p>
      <w:pPr>
        <w:pStyle w:val="FootnoteText"/>
      </w:pPr>
      <w:r>
        <w:rPr>
          <w:rStyle w:val="FootnoteReference"/>
        </w:rPr>
        <w:footnoteRef/>
      </w:r>
      <w:r>
        <w:t xml:space="preserve"> </w:t>
      </w:r>
      <w:r>
        <w:t xml:space="preserve">Federal Financial Institutions Examination Council. Proposed Revisions to the Uniform Financial Institutions Rating System (CAMELS). – Washington, DC, 19 May 2026.</w:t>
      </w:r>
    </w:p>
  </w:footnote>
  <w:footnote w:id="182">
    <w:p>
      <w:pPr>
        <w:pStyle w:val="FootnoteText"/>
      </w:pPr>
      <w:r>
        <w:rPr>
          <w:rStyle w:val="FootnoteReference"/>
        </w:rPr>
        <w:footnoteRef/>
      </w:r>
      <w:r>
        <w:t xml:space="preserve"> </w:t>
      </w:r>
      <w:r>
        <w:t xml:space="preserve">Board of Governors of the Federal Reserve System. Modifications to the Capital Plan Rule and Stress Capital Buffer Requirement // Federal Register. – 2026. – 2 October; Federal Reserve Board finalizes changes to enhance the transparency and public accountability of its stress test: press release, 30 September 2026.</w:t>
      </w:r>
    </w:p>
  </w:footnote>
  <w:footnote w:id="183">
    <w:p>
      <w:pPr>
        <w:pStyle w:val="FootnoteText"/>
      </w:pPr>
      <w:r>
        <w:rPr>
          <w:rStyle w:val="FootnoteReference"/>
        </w:rPr>
        <w:footnoteRef/>
      </w:r>
      <w:r>
        <w:t xml:space="preserve"> </w:t>
      </w:r>
      <w:r>
        <w:t xml:space="preserve">Board of Governors of the Federal Reserve System, Federal Deposit Insurance Corporation, Office of the Comptroller of the Currency. Regulatory capital proposals implementing the final Basel III standards. – Washington, DC, 19 March 2026.</w:t>
      </w:r>
    </w:p>
  </w:footnote>
  <w:footnote w:id="184">
    <w:p>
      <w:pPr>
        <w:pStyle w:val="FootnoteText"/>
      </w:pPr>
      <w:r>
        <w:rPr>
          <w:rStyle w:val="FootnoteReference"/>
        </w:rPr>
        <w:footnoteRef/>
      </w:r>
      <w:r>
        <w:t xml:space="preserve"> </w:t>
      </w:r>
      <w:r>
        <w:t xml:space="preserve">Hendrickson J.M. Regulation and Instability in U.S. Commercial Banking: A History of Crises. – Basingstoke: Palgrave Macmillan, 2011. – P. 225–227.</w:t>
      </w:r>
    </w:p>
  </w:footnote>
  <w:footnote w:id="185">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92–104.</w:t>
      </w:r>
    </w:p>
  </w:footnote>
  <w:footnote w:id="186">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60–61.</w:t>
      </w:r>
    </w:p>
  </w:footnote>
  <w:footnote w:id="187">
    <w:p>
      <w:pPr>
        <w:pStyle w:val="FootnoteText"/>
      </w:pPr>
      <w:r>
        <w:rPr>
          <w:rStyle w:val="FootnoteReference"/>
        </w:rPr>
        <w:footnoteRef/>
      </w:r>
      <w:r>
        <w:t xml:space="preserve"> </w:t>
      </w:r>
      <w:r>
        <w:t xml:space="preserve">Tadqiqot natijasida muallif tomonidan quyidagi manba asosida ishlab chiqildi: Оценка финансовой устойчивости кредитной организации: учебник / под ред. О.И. Лаврушина, И.Д. Мамоновой. – М.: КНОРУС, 2011. – С. 105–106.</w:t>
      </w:r>
    </w:p>
  </w:footnote>
  <w:footnote w:id="188">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59.</w:t>
      </w:r>
    </w:p>
  </w:footnote>
  <w:footnote w:id="189">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114–115.</w:t>
      </w:r>
    </w:p>
  </w:footnote>
  <w:footnote w:id="190">
    <w:p>
      <w:pPr>
        <w:pStyle w:val="FootnoteText"/>
      </w:pPr>
      <w:r>
        <w:rPr>
          <w:rStyle w:val="FootnoteReference"/>
        </w:rPr>
        <w:footnoteRef/>
      </w:r>
      <w:r>
        <w:t xml:space="preserve"> </w:t>
      </w:r>
      <w:r>
        <w:t xml:space="preserve">Karaliyev T.M., Sayfiddinov I.F. Tijorat banklari faoliyatini tartibga solish va nazorati: darslik. – T.: Iqtisod-Moliya, 2019. – B. 194–195.</w:t>
      </w:r>
    </w:p>
  </w:footnote>
  <w:footnote w:id="191">
    <w:p>
      <w:pPr>
        <w:pStyle w:val="FootnoteText"/>
      </w:pPr>
      <w:r>
        <w:rPr>
          <w:rStyle w:val="FootnoteReference"/>
        </w:rPr>
        <w:footnoteRef/>
      </w:r>
      <w:r>
        <w:t xml:space="preserve"> </w:t>
      </w:r>
      <w:r>
        <w:t xml:space="preserve">Tutino F., Brugnoni G.C., Siena M.G. Italian Banks Facing Basel 3 Higher Capital Requirements: Which Strategies Are Actually Feasible? // Bank Risk, Governance and Regulation / ed. by E. Beccalli, F. Poli. – Basingstoke: Palgrave Macmillan, 2015. – P. 212–231.</w:t>
      </w:r>
    </w:p>
  </w:footnote>
  <w:footnote w:id="192">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199.</w:t>
      </w:r>
    </w:p>
  </w:footnote>
  <w:footnote w:id="193">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184–185.</w:t>
      </w:r>
    </w:p>
  </w:footnote>
  <w:footnote w:id="194">
    <w:p>
      <w:pPr>
        <w:pStyle w:val="FootnoteText"/>
      </w:pPr>
      <w:r>
        <w:rPr>
          <w:rStyle w:val="FootnoteReference"/>
        </w:rPr>
        <w:footnoteRef/>
      </w:r>
      <w:r>
        <w:t xml:space="preserve"> </w:t>
      </w:r>
      <w:r>
        <w:t xml:space="preserve">Cocozza R. Back to the Future: Prospective Bank Risk Management in a Financial Analysis Perspective // Bank Risk, Governance and Regulation / ed. by E. Beccalli, F. Poli. – Basingstoke: Palgrave Macmillan, 2015. – P. 111.</w:t>
      </w:r>
    </w:p>
  </w:footnote>
  <w:footnote w:id="195">
    <w:p>
      <w:pPr>
        <w:pStyle w:val="FootnoteText"/>
      </w:pPr>
      <w:r>
        <w:rPr>
          <w:rStyle w:val="FootnoteReference"/>
        </w:rPr>
        <w:footnoteRef/>
      </w:r>
      <w:r>
        <w:t xml:space="preserve"> </w:t>
      </w:r>
      <w:r>
        <w:t xml:space="preserve">Cocozza R. Back to the Future: Prospective Bank Risk Management in a Financial Analysis Perspective // Bank Risk, Governance and Regulation / ed. by E. Beccalli, F. Poli. – Basingstoke: Palgrave Macmillan, 2015. – P. 112–114.</w:t>
      </w:r>
    </w:p>
  </w:footnote>
  <w:footnote w:id="196">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191–195.</w:t>
      </w:r>
    </w:p>
  </w:footnote>
  <w:footnote w:id="197">
    <w:p>
      <w:pPr>
        <w:pStyle w:val="FootnoteText"/>
      </w:pPr>
      <w:r>
        <w:rPr>
          <w:rStyle w:val="FootnoteReference"/>
        </w:rPr>
        <w:footnoteRef/>
      </w:r>
      <w:r>
        <w:t xml:space="preserve"> </w:t>
      </w:r>
      <w:r>
        <w:t xml:space="preserve">Gualandri E., Noera M. Towards a Macroprudential Policy in the EU // Bank Risk, Governance and Regulation / ed. by E. Beccalli, F. Poli. – Basingstoke: Palgrave Macmillan, 2015. – P. 194–196.</w:t>
      </w:r>
    </w:p>
  </w:footnote>
  <w:footnote w:id="198">
    <w:p>
      <w:pPr>
        <w:pStyle w:val="FootnoteText"/>
      </w:pPr>
      <w:r>
        <w:rPr>
          <w:rStyle w:val="FootnoteReference"/>
        </w:rPr>
        <w:footnoteRef/>
      </w:r>
      <w:r>
        <w:t xml:space="preserve"> </w:t>
      </w:r>
      <w:r>
        <w:t xml:space="preserve">Regulation (EU) 2024/1623 of the European Parliament and of the Council of 31 May 2024 amending Regulation (EU) No 575/2013 as regards requirements for credit risk, credit valuation adjustment risk, operational risk, market risk and the output floor // Official Journal of the European Union. – 2024. – 19 June.</w:t>
      </w:r>
    </w:p>
  </w:footnote>
  <w:footnote w:id="199">
    <w:p>
      <w:pPr>
        <w:pStyle w:val="FootnoteText"/>
      </w:pPr>
      <w:r>
        <w:rPr>
          <w:rStyle w:val="FootnoteReference"/>
        </w:rPr>
        <w:footnoteRef/>
      </w:r>
      <w:r>
        <w:t xml:space="preserve"> </w:t>
      </w:r>
      <w:r>
        <w:t xml:space="preserve">Prudential Regulation Authority. The PRA announces a delay to the implementation of Basel 3.1: press release. – London: Bank of England, 17 January 2025.</w:t>
      </w:r>
    </w:p>
  </w:footnote>
  <w:footnote w:id="200">
    <w:p>
      <w:pPr>
        <w:pStyle w:val="FootnoteText"/>
      </w:pPr>
      <w:r>
        <w:rPr>
          <w:rStyle w:val="FootnoteReference"/>
        </w:rPr>
        <w:footnoteRef/>
      </w:r>
      <w:r>
        <w:t xml:space="preserve"> </w:t>
      </w:r>
      <w:r>
        <w:t xml:space="preserve">European Banking Authority. 2025 EU-wide stress test: Results. – Paris: EBA, 1 August 2025.</w:t>
      </w:r>
    </w:p>
  </w:footnote>
  <w:footnote w:id="201">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116–128;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104–106.</w:t>
      </w:r>
    </w:p>
  </w:footnote>
  <w:footnote w:id="20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135.</w:t>
      </w:r>
    </w:p>
  </w:footnote>
  <w:footnote w:id="203">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48–49.</w:t>
      </w:r>
    </w:p>
  </w:footnote>
  <w:footnote w:id="20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139.</w:t>
      </w:r>
    </w:p>
  </w:footnote>
  <w:footnote w:id="205">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72.</w:t>
      </w:r>
    </w:p>
  </w:footnote>
  <w:footnote w:id="206">
    <w:p>
      <w:pPr>
        <w:pStyle w:val="FootnoteText"/>
      </w:pPr>
      <w:r>
        <w:rPr>
          <w:rStyle w:val="FootnoteReference"/>
        </w:rPr>
        <w:footnoteRef/>
      </w:r>
      <w:r>
        <w:t xml:space="preserve"> </w:t>
      </w:r>
      <w:r>
        <w:t xml:space="preserve">Tadqiqot natijasida muallif tomonidan quyidagi manbalar ma’lumotlari asosida ishlab chiqildi: Basel Committee on Banking Supervision. Basel III: The Liquidity Coverage Ratio and liquidity risk monitoring tools. – Basel: BIS, 2013; 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70; Karaliyev T.M., Sayfiddinov I.F. Tijorat banklari faoliyatini tartibga solish va nazorati: darslik. – T.: Iqtisod-Moliya, 2019. – B. 185; 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 Национальный норматив краткосрочной ликвидности для СЗКО: порядок расчета: информация Банка России от 12 августа 2025 г. – https://www.cbr.ru/press/event/?id=26840</w:t>
      </w:r>
    </w:p>
  </w:footnote>
  <w:footnote w:id="207">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77, 79–80.</w:t>
      </w:r>
    </w:p>
  </w:footnote>
  <w:footnote w:id="208">
    <w:p>
      <w:pPr>
        <w:pStyle w:val="FootnoteText"/>
      </w:pPr>
      <w:r>
        <w:rPr>
          <w:rStyle w:val="FootnoteReference"/>
        </w:rPr>
        <w:footnoteRef/>
      </w:r>
      <w:r>
        <w:t xml:space="preserve"> </w:t>
      </w:r>
      <w:r>
        <w:t xml:space="preserve">Банк России устанавливает порядок выхода из послабления по нормативу краткосрочной ликвидности и предоставляет безотзывные кредитные линии: пресс-релиз Банка России. – М., 2023; ЦБ скорректировал условия кредитным линиям для банковского норматива краткосрочной ликвидности // Интерфакс. – 2025.</w:t>
      </w:r>
    </w:p>
  </w:footnote>
  <w:footnote w:id="209">
    <w:p>
      <w:pPr>
        <w:pStyle w:val="FootnoteText"/>
      </w:pPr>
      <w:r>
        <w:rPr>
          <w:rStyle w:val="FootnoteReference"/>
        </w:rPr>
        <w:footnoteRef/>
      </w:r>
      <w:r>
        <w:t xml:space="preserve"> </w:t>
      </w:r>
      <w:r>
        <w:t xml:space="preserve">Национальный норматив краткосрочной ликвидности для СЗКО: порядок расчета: информация Банка России от 12 августа 2025 г. – https://www.cbr.ru/press/event/?id=26840</w:t>
      </w:r>
    </w:p>
  </w:footnote>
  <w:footnote w:id="210">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211">
    <w:p>
      <w:pPr>
        <w:pStyle w:val="FootnoteText"/>
      </w:pPr>
      <w:r>
        <w:rPr>
          <w:rStyle w:val="FootnoteReference"/>
        </w:rPr>
        <w:footnoteRef/>
      </w:r>
      <w:r>
        <w:t xml:space="preserve"> </w:t>
      </w:r>
      <w:r>
        <w:t xml:space="preserve">Basel Committee on Banking Supervision. Report on the 2023 banking turmoil. – Basel: BIS, October 2023.</w:t>
      </w:r>
    </w:p>
  </w:footnote>
  <w:footnote w:id="212">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60–67.</w:t>
      </w:r>
    </w:p>
  </w:footnote>
  <w:footnote w:id="213">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47–49.</w:t>
      </w:r>
    </w:p>
  </w:footnote>
  <w:footnote w:id="214">
    <w:p>
      <w:pPr>
        <w:pStyle w:val="FootnoteText"/>
      </w:pPr>
      <w:r>
        <w:rPr>
          <w:rStyle w:val="FootnoteReference"/>
        </w:rPr>
        <w:footnoteRef/>
      </w:r>
      <w:r>
        <w:t xml:space="preserve"> </w:t>
      </w:r>
      <w:r>
        <w:t xml:space="preserve">Банк России. Национальная антициклическая надбавка: решение Совета директоров от 8 ноября 2024 г. – https://www.cbr.ru/finstab/instruments/ccb/</w:t>
      </w:r>
    </w:p>
  </w:footnote>
  <w:footnote w:id="215">
    <w:p>
      <w:pPr>
        <w:pStyle w:val="FootnoteText"/>
      </w:pPr>
      <w:r>
        <w:rPr>
          <w:rStyle w:val="FootnoteReference"/>
        </w:rPr>
        <w:footnoteRef/>
      </w:r>
      <w:r>
        <w:t xml:space="preserve"> </w:t>
      </w:r>
      <w:r>
        <w:t xml:space="preserve">Tadqiqot natijasida muallif tomonidan quyidagi manbalar asosida ishlab chiqildi: Регулирование банковской сферы: учебник / под ред. О.Н. Афанасьевой, С.Е. Дубовой. – М.: КНОРУС. – С. 48–49; Cargill T.F. The Financial System, Financial Regulation and Central Bank Policy. – Cambridge: Cambridge University Press, 2017. – P. 195–196.</w:t>
      </w:r>
    </w:p>
  </w:footnote>
  <w:footnote w:id="216">
    <w:p>
      <w:pPr>
        <w:pStyle w:val="FootnoteText"/>
      </w:pPr>
      <w:r>
        <w:rPr>
          <w:rStyle w:val="FootnoteReference"/>
        </w:rPr>
        <w:footnoteRef/>
      </w:r>
      <w:r>
        <w:t xml:space="preserve"> </w:t>
      </w:r>
      <w:r>
        <w:t xml:space="preserve">Регулирование банковской сферы: учебник / под ред. О.Н. Афанасьевой, С.Е. Дубовой. – М.: КНОРУС. – С. 53.</w:t>
      </w:r>
    </w:p>
  </w:footnote>
  <w:footnote w:id="217">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143, 146.</w:t>
      </w:r>
    </w:p>
  </w:footnote>
  <w:footnote w:id="218">
    <w:p>
      <w:pPr>
        <w:pStyle w:val="FootnoteText"/>
      </w:pPr>
      <w:r>
        <w:rPr>
          <w:rStyle w:val="FootnoteReference"/>
        </w:rPr>
        <w:footnoteRef/>
      </w:r>
      <w:r>
        <w:t xml:space="preserve"> </w:t>
      </w:r>
      <w:r>
        <w:t xml:space="preserve">He Wei Ping. Banking Regulation in China: The Role of Public and Private Sectors. – New York: Palgrave Macmillan, 2014. – P. 52.</w:t>
      </w:r>
    </w:p>
  </w:footnote>
  <w:footnote w:id="219">
    <w:p>
      <w:pPr>
        <w:pStyle w:val="FootnoteText"/>
      </w:pPr>
      <w:r>
        <w:rPr>
          <w:rStyle w:val="FootnoteReference"/>
        </w:rPr>
        <w:footnoteRef/>
      </w:r>
      <w:r>
        <w:t xml:space="preserve"> </w:t>
      </w:r>
      <w:r>
        <w:t xml:space="preserve">He Wei Ping. Banking Regulation in China: The Role of Public and Private Sectors. – New York: Palgrave Macmillan, 2014. – P. 55.</w:t>
      </w:r>
    </w:p>
  </w:footnote>
  <w:footnote w:id="220">
    <w:p>
      <w:pPr>
        <w:pStyle w:val="FootnoteText"/>
      </w:pPr>
      <w:r>
        <w:rPr>
          <w:rStyle w:val="FootnoteReference"/>
        </w:rPr>
        <w:footnoteRef/>
      </w:r>
      <w:r>
        <w:t xml:space="preserve"> </w:t>
      </w:r>
      <w:r>
        <w:t xml:space="preserve">Law of the People’s Republic of China on Commercial Banks (2015 Amendment). – Beijing: Standing Committee of the National People’s Congress, 29 August 2015.</w:t>
      </w:r>
    </w:p>
  </w:footnote>
  <w:footnote w:id="221">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2">
    <w:p>
      <w:pPr>
        <w:pStyle w:val="FootnoteText"/>
      </w:pPr>
      <w:r>
        <w:rPr>
          <w:rStyle w:val="FootnoteReference"/>
        </w:rPr>
        <w:footnoteRef/>
      </w:r>
      <w:r>
        <w:t xml:space="preserve"> </w:t>
      </w:r>
      <w:r>
        <w:t xml:space="preserve">National Financial Regulatory Administration. Measures for the Capital Management of Commercial Banks. – Beijing, 2023 (2024-yil 1-yanvardan kuchga kirgan).</w:t>
      </w:r>
    </w:p>
  </w:footnote>
  <w:footnote w:id="223">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142–144.</w:t>
      </w:r>
    </w:p>
  </w:footnote>
  <w:footnote w:id="224">
    <w:p>
      <w:pPr>
        <w:pStyle w:val="FootnoteText"/>
      </w:pPr>
      <w:r>
        <w:rPr>
          <w:rStyle w:val="FootnoteReference"/>
        </w:rPr>
        <w:footnoteRef/>
      </w:r>
      <w:r>
        <w:t xml:space="preserve"> </w:t>
      </w:r>
      <w:r>
        <w:t xml:space="preserve">International Monetary Fund. Global Financial Stability Report: Potent Policies for a Successful Normalization. – Washington, DC: IMF, April 2016.</w:t>
      </w:r>
    </w:p>
  </w:footnote>
  <w:footnote w:id="225">
    <w:p>
      <w:pPr>
        <w:pStyle w:val="FootnoteText"/>
      </w:pPr>
      <w:r>
        <w:rPr>
          <w:rStyle w:val="FootnoteReference"/>
        </w:rPr>
        <w:footnoteRef/>
      </w:r>
      <w:r>
        <w:t xml:space="preserve"> </w:t>
      </w:r>
      <w:r>
        <w:t xml:space="preserve">National Financial Regulatory Administration. Supervisory Statistics of the Banking and Insurance Sectors: 2023-yil IV chorak, 2024-yil IV chorak, 2025-yil III chorak. – https://www.nfra.gov.cn/en/</w:t>
      </w:r>
    </w:p>
  </w:footnote>
  <w:footnote w:id="226">
    <w:p>
      <w:pPr>
        <w:pStyle w:val="FootnoteText"/>
      </w:pPr>
      <w:r>
        <w:rPr>
          <w:rStyle w:val="FootnoteReference"/>
        </w:rPr>
        <w:footnoteRef/>
      </w:r>
      <w:r>
        <w:t xml:space="preserve"> </w:t>
      </w:r>
      <w:r>
        <w:t xml:space="preserve">International Monetary Fund. People’s Republic of China: 2025 Article IV Consultation – Press Release; Staff Report; and Statement by the Executive Director. IMF Country Report No. 26/44. – Washington, DC: IMF, 2026.</w:t>
      </w:r>
    </w:p>
  </w:footnote>
  <w:footnote w:id="227">
    <w:p>
      <w:pPr>
        <w:pStyle w:val="FootnoteText"/>
      </w:pPr>
      <w:r>
        <w:rPr>
          <w:rStyle w:val="FootnoteReference"/>
        </w:rPr>
        <w:footnoteRef/>
      </w:r>
      <w:r>
        <w:t xml:space="preserve"> </w:t>
      </w:r>
      <w:r>
        <w:t xml:space="preserve">Charoenwong B., Miao M., Ruan T. Nonperforming Loan Disposals Without Resolution // Management Science. – 2025. – Vol. 71, No. 1. – P. 898–916.</w:t>
      </w:r>
    </w:p>
  </w:footnote>
  <w:footnote w:id="228">
    <w:p>
      <w:pPr>
        <w:pStyle w:val="FootnoteText"/>
      </w:pPr>
      <w:r>
        <w:rPr>
          <w:rStyle w:val="FootnoteReference"/>
        </w:rPr>
        <w:footnoteRef/>
      </w:r>
      <w:r>
        <w:t xml:space="preserve"> </w:t>
      </w:r>
      <w:r>
        <w:t xml:space="preserve">Tadqiqot natijasida muallif tomonidan quyidagi manbalar ma’lumotlari asosida ishlab chiqildi: National Financial Regulatory Administration. Supervisory Statistics of the Banking and Insurance Sectors: 2023-yil IV chorak, 2024-yil IV chorak, 2025-yil III chorak. – https://www.nfra.gov.cn/en; International Monetary Fund. People’s Republic of China: 2025 Article IV Consultation – Press Release; Staff Report; and Statement by the Executive Director. IMF Country Report No. 26/44. – Washington, DC: IMF, 2026; Charoenwong B., Miao M., Ruan T. Nonperforming Loan Disposals Without Resolution // Management Science. – 2025. – Vol. 71, No. 1. – P. 898–916; International Monetary Fund. Global Financial Stability Report: Potent Policies for a Successful Normalization. – Washington, DC: IMF, April 2016.</w:t>
      </w:r>
    </w:p>
  </w:footnote>
  <w:footnote w:id="229">
    <w:p>
      <w:pPr>
        <w:pStyle w:val="FootnoteText"/>
      </w:pPr>
      <w:r>
        <w:rPr>
          <w:rStyle w:val="FootnoteReference"/>
        </w:rPr>
        <w:footnoteRef/>
      </w:r>
      <w:r>
        <w:t xml:space="preserve"> </w:t>
      </w:r>
      <w:r>
        <w:t xml:space="preserve">International Monetary Fund. People’s Republic of China: 2025 Article IV Consultation – Press Release; Staff Report; and Statement by the Executive Director. IMF Country Report No. 26/44. – Washington, DC: IMF, 2026.</w:t>
      </w:r>
    </w:p>
  </w:footnote>
  <w:footnote w:id="230">
    <w:p>
      <w:pPr>
        <w:pStyle w:val="FootnoteText"/>
      </w:pPr>
      <w:r>
        <w:rPr>
          <w:rStyle w:val="FootnoteReference"/>
        </w:rPr>
        <w:footnoteRef/>
      </w:r>
      <w:r>
        <w:t xml:space="preserve"> </w:t>
      </w:r>
      <w:r>
        <w:t xml:space="preserve">He Wei Ping. Banking Regulation in China: The Role of Public and Private Sectors. – New York: Palgrave Macmillan, 2014. – P. 68, 135.</w:t>
      </w:r>
    </w:p>
  </w:footnote>
  <w:footnote w:id="231">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118–124.</w:t>
      </w:r>
    </w:p>
  </w:footnote>
  <w:footnote w:id="232">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138–140.</w:t>
      </w:r>
    </w:p>
  </w:footnote>
  <w:footnote w:id="233">
    <w:p>
      <w:pPr>
        <w:pStyle w:val="FootnoteText"/>
      </w:pPr>
      <w:r>
        <w:rPr>
          <w:rStyle w:val="FootnoteReference"/>
        </w:rPr>
        <w:footnoteRef/>
      </w:r>
      <w:r>
        <w:t xml:space="preserve"> </w:t>
      </w:r>
      <w:r>
        <w:t xml:space="preserve">О приведении банковского регулирования в соответствие со стандартами Базельского комитета по банковскому надзору (Базель III) в условиях нестабильной экономической ситуации: монография / под ред. И.В. Ларионовой. – М.: КНОРУС. – С. 134.</w:t>
      </w:r>
    </w:p>
  </w:footnote>
  <w:footnote w:id="234">
    <w:p>
      <w:pPr>
        <w:pStyle w:val="FootnoteText"/>
      </w:pPr>
      <w:r>
        <w:rPr>
          <w:rStyle w:val="FootnoteReference"/>
        </w:rPr>
        <w:footnoteRef/>
      </w:r>
      <w:r>
        <w:t xml:space="preserve"> </w:t>
      </w:r>
      <w:r>
        <w:t xml:space="preserve">Tadqiqot natijasida muallif tomonidan ishlab chiqildi.</w:t>
      </w:r>
    </w:p>
  </w:footnote>
  <w:footnote w:id="235">
    <w:p>
      <w:pPr>
        <w:pStyle w:val="FootnoteText"/>
      </w:pPr>
      <w:r>
        <w:rPr>
          <w:rStyle w:val="FootnoteReference"/>
        </w:rPr>
        <w:footnoteRef/>
      </w:r>
      <w:r>
        <w:t xml:space="preserve"> </w:t>
      </w:r>
      <w:r>
        <w:t xml:space="preserve">Muallif tomonidan O‘zbekiston Respublikasi Markaziy bankining me’yoriy hujjatlari va quyidagi manba asosida tuzilgan: The Central Bank of the Republic of Uzbekistan. «Roadmap» aimed at further improving the bank regulation and supervision system in 2025–2028. – Tashkent, 17.11.2025.</w:t>
      </w:r>
    </w:p>
  </w:footnote>
  <w:footnote w:id="236">
    <w:p>
      <w:pPr>
        <w:pStyle w:val="FootnoteText"/>
      </w:pPr>
      <w:r>
        <w:rPr>
          <w:rStyle w:val="FootnoteReference"/>
        </w:rPr>
        <w:footnoteRef/>
      </w:r>
      <w:r>
        <w:t xml:space="preserve"> </w:t>
      </w:r>
      <w:r>
        <w:t xml:space="preserve">The Central Bank of the Republic of Uzbekistan. «Roadmap» aimed at further improving the bank regulation and supervision system in 2025–2028. – Tashkent, 17.11.2025. – Items 6–8, 12–14; 2026-yil uchun mahalliy tizimli ahamiyatga molik banklar belgilandi // O‘zbekiston Respublikasi Markaziy banki. – https://cbu.uz/uz/financial-stability/press-releases/2982189/</w:t>
      </w:r>
    </w:p>
  </w:footnote>
  <w:footnote w:id="237">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https://lex.uz/docs/7793613</w:t>
      </w:r>
    </w:p>
  </w:footnote>
  <w:footnote w:id="238">
    <w:p>
      <w:pPr>
        <w:pStyle w:val="FootnoteText"/>
      </w:pPr>
      <w:r>
        <w:rPr>
          <w:rStyle w:val="FootnoteReference"/>
        </w:rPr>
        <w:footnoteRef/>
      </w:r>
      <w:r>
        <w:t xml:space="preserve"> </w:t>
      </w:r>
      <w:r>
        <w:t xml:space="preserve">Muallif ishlanmasi.</w:t>
      </w:r>
    </w:p>
  </w:footnote>
  <w:footnote w:id="239">
    <w:p>
      <w:pPr>
        <w:pStyle w:val="FootnoteText"/>
      </w:pPr>
      <w:r>
        <w:rPr>
          <w:rStyle w:val="FootnoteReference"/>
        </w:rPr>
        <w:footnoteRef/>
      </w:r>
      <w:r>
        <w:t xml:space="preserve"> </w:t>
      </w:r>
      <w:r>
        <w:t xml:space="preserve">Muallif tomonidan quyidagi manbalar asosida tuzilgan: 3697-son va 2693-son nizomlar // lex.uz; IMF. Republic of Uzbekistan: Financial Sector Assessment Program – Detailed Assessment of Observance – Basel Core Principles for Effective Banking Supervision. – IMF Country Report No. 25/227. – Washington, DC, 2025; The Central Bank of Uzbekistan. Financial Stability Report for 2025. – Tashkent, 2026; Karaliyev T.M., Sayfiddinov I.F. Tijorat banklari faoliyatini tartibga solish va nazorati: darslik. – T.: Iqtisod-Moliya, 2019. – B. 185–186; Бердияров Б.Т. Ўзбекистон Республикаси тижорат банкларининг ликвидлилиги ва тўлов қобилиятини таъминлаш масалалари: монография. – Т.: BMA, 2020. – Б. 92–93.</w:t>
      </w:r>
    </w:p>
  </w:footnote>
  <w:footnote w:id="240">
    <w:p>
      <w:pPr>
        <w:pStyle w:val="FootnoteText"/>
      </w:pPr>
      <w:r>
        <w:rPr>
          <w:rStyle w:val="FootnoteReference"/>
        </w:rPr>
        <w:footnoteRef/>
      </w:r>
      <w:r>
        <w:t xml:space="preserve"> </w:t>
      </w:r>
      <w:r>
        <w:t xml:space="preserve">Бердияров Б.Т. Ko‘rsatilgan asar. – Б. 27.</w:t>
      </w:r>
    </w:p>
  </w:footnote>
  <w:footnote w:id="241">
    <w:p>
      <w:pPr>
        <w:pStyle w:val="FootnoteText"/>
      </w:pPr>
      <w:r>
        <w:rPr>
          <w:rStyle w:val="FootnoteReference"/>
        </w:rPr>
        <w:footnoteRef/>
      </w:r>
      <w:r>
        <w:t xml:space="preserve"> </w:t>
      </w:r>
      <w:r>
        <w:t xml:space="preserve">Karaliyev T.M., Sayfiddinov I.F. Ko‘rsatilgan asar. – B. 208.</w:t>
      </w:r>
    </w:p>
  </w:footnote>
  <w:footnote w:id="242">
    <w:p>
      <w:pPr>
        <w:pStyle w:val="FootnoteText"/>
      </w:pPr>
      <w:r>
        <w:rPr>
          <w:rStyle w:val="FootnoteReference"/>
        </w:rPr>
        <w:footnoteRef/>
      </w:r>
      <w:r>
        <w:t xml:space="preserve"> </w:t>
      </w:r>
      <w:r>
        <w:t xml:space="preserve">The Central Bank of the Republic of Uzbekistan. «Roadmap»… – Item 13.</w:t>
      </w:r>
    </w:p>
  </w:footnote>
  <w:footnote w:id="243">
    <w:p>
      <w:pPr>
        <w:pStyle w:val="FootnoteText"/>
      </w:pPr>
      <w:r>
        <w:rPr>
          <w:rStyle w:val="FootnoteReference"/>
        </w:rPr>
        <w:footnoteRef/>
      </w:r>
      <w:r>
        <w:t xml:space="preserve"> </w:t>
      </w:r>
      <w:r>
        <w:t xml:space="preserve">Karaliyev T.M., Sayfiddinov I.F. Ko‘rsatilgan asar. – B. 213.</w:t>
      </w:r>
    </w:p>
  </w:footnote>
  <w:footnote w:id="244">
    <w:p>
      <w:pPr>
        <w:pStyle w:val="FootnoteText"/>
      </w:pPr>
      <w:r>
        <w:rPr>
          <w:rStyle w:val="FootnoteReference"/>
        </w:rPr>
        <w:footnoteRef/>
      </w:r>
      <w:r>
        <w:t xml:space="preserve"> </w:t>
      </w:r>
      <w:r>
        <w:t xml:space="preserve">The Central Bank of the Republic of Uzbekistan. «Roadmap»… – Item 13.</w:t>
      </w:r>
    </w:p>
  </w:footnote>
  <w:footnote w:id="245">
    <w:p>
      <w:pPr>
        <w:pStyle w:val="FootnoteText"/>
      </w:pPr>
      <w:r>
        <w:rPr>
          <w:rStyle w:val="FootnoteReference"/>
        </w:rPr>
        <w:footnoteRef/>
      </w:r>
      <w:r>
        <w:t xml:space="preserve"> </w:t>
      </w:r>
      <w:r>
        <w:t xml:space="preserve">Countercyclical capital buffer // The Central Bank of the Republic of Uzbekistan. – https://cbu.uz/en/financial-stability/macroprudential-policy-tools/countercyclical-capital-buffer/</w:t>
      </w:r>
    </w:p>
  </w:footnote>
  <w:footnote w:id="246">
    <w:p>
      <w:pPr>
        <w:pStyle w:val="FootnoteText"/>
      </w:pPr>
      <w:r>
        <w:rPr>
          <w:rStyle w:val="FootnoteReference"/>
        </w:rPr>
        <w:footnoteRef/>
      </w:r>
      <w:r>
        <w:t xml:space="preserve"> </w:t>
      </w:r>
      <w:r>
        <w:t xml:space="preserve">2026-yil uchun mahalliy tizimli ahamiyatga molik banklar belgilandi // O‘zbekiston Respublikasi Markaziy banki.</w:t>
      </w:r>
    </w:p>
  </w:footnote>
  <w:footnote w:id="247">
    <w:p>
      <w:pPr>
        <w:pStyle w:val="FootnoteText"/>
      </w:pPr>
      <w:r>
        <w:rPr>
          <w:rStyle w:val="FootnoteReference"/>
        </w:rPr>
        <w:footnoteRef/>
      </w:r>
      <w:r>
        <w:t xml:space="preserve"> </w:t>
      </w:r>
      <w:r>
        <w:t xml:space="preserve">IMF Country Report No. 25/227, 2025.</w:t>
      </w:r>
    </w:p>
  </w:footnote>
  <w:footnote w:id="248">
    <w:p>
      <w:pPr>
        <w:pStyle w:val="FootnoteText"/>
      </w:pPr>
      <w:r>
        <w:rPr>
          <w:rStyle w:val="FootnoteReference"/>
        </w:rPr>
        <w:footnoteRef/>
      </w:r>
      <w:r>
        <w:t xml:space="preserve"> </w:t>
      </w:r>
      <w:r>
        <w:t xml:space="preserve">The Financial Stability Report for 2024 has been published // The Central Bank of the Republic of Uzbekistan. – https://cbu.uz/en/press_center/releases/2489245/; The Central Bank of Uzbekistan. Financial Stability Report for 2025.</w:t>
      </w:r>
    </w:p>
  </w:footnote>
  <w:footnote w:id="249">
    <w:p>
      <w:pPr>
        <w:pStyle w:val="FootnoteText"/>
      </w:pPr>
      <w:r>
        <w:rPr>
          <w:rStyle w:val="FootnoteReference"/>
        </w:rPr>
        <w:footnoteRef/>
      </w:r>
      <w:r>
        <w:t xml:space="preserve"> </w:t>
      </w:r>
      <w:r>
        <w:t xml:space="preserve">Countercyclical capital buffer // The Central Bank of the Republic of Uzbekistan.</w:t>
      </w:r>
    </w:p>
  </w:footnote>
  <w:footnote w:id="250">
    <w:p>
      <w:pPr>
        <w:pStyle w:val="FootnoteText"/>
      </w:pPr>
      <w:r>
        <w:rPr>
          <w:rStyle w:val="FootnoteReference"/>
        </w:rPr>
        <w:footnoteRef/>
      </w:r>
      <w:r>
        <w:t xml:space="preserve"> </w:t>
      </w:r>
      <w:r>
        <w:t xml:space="preserve">Muallif tomonidan quyidagi manbalar asosida tuzilgan: IMF Country Report No. 25/227, 2025; The Central Bank of Uzbekistan. Financial Stability Report for 2024; Financial Stability Report for H1 2025; Financial Stability Report for 2025; Countercyclical capital buffer // cbu.uz.</w:t>
      </w:r>
    </w:p>
  </w:footnote>
  <w:footnote w:id="251">
    <w:p>
      <w:pPr>
        <w:pStyle w:val="FootnoteText"/>
      </w:pPr>
      <w:r>
        <w:rPr>
          <w:rStyle w:val="FootnoteReference"/>
        </w:rPr>
        <w:footnoteRef/>
      </w:r>
      <w:r>
        <w:t xml:space="preserve"> </w:t>
      </w:r>
      <w:r>
        <w:t xml:space="preserve">The Central Bank of Uzbekistan. Financial Stability Report for 2025.</w:t>
      </w:r>
    </w:p>
  </w:footnote>
  <w:footnote w:id="252">
    <w:p>
      <w:pPr>
        <w:pStyle w:val="FootnoteText"/>
      </w:pPr>
      <w:r>
        <w:rPr>
          <w:rStyle w:val="FootnoteReference"/>
        </w:rPr>
        <w:footnoteRef/>
      </w:r>
      <w:r>
        <w:t xml:space="preserve"> </w:t>
      </w:r>
      <w:r>
        <w:t xml:space="preserve">The Central Bank of Uzbekistan. Financial Stability Report for H1 2025. – Tashkent, 2025. – https://cbu.uz/upload/medialibrary/fea/zc1m2epsxmcmn8u19j8q8n4so1d7eqsz/Financial-Stability-Report-for-H1-2025.pdf</w:t>
      </w:r>
    </w:p>
  </w:footnote>
  <w:footnote w:id="253">
    <w:p>
      <w:pPr>
        <w:pStyle w:val="FootnoteText"/>
      </w:pPr>
      <w:r>
        <w:rPr>
          <w:rStyle w:val="FootnoteReference"/>
        </w:rPr>
        <w:footnoteRef/>
      </w:r>
      <w:r>
        <w:t xml:space="preserve"> </w:t>
      </w:r>
      <w:r>
        <w:t xml:space="preserve">Muallif tomonidan quyidagi manbalar asosida tuzilgan: The Central Bank of Uzbekistan. Financial Stability Report for H1 2025; Financial Stability Report for 2025.</w:t>
      </w:r>
    </w:p>
  </w:footnote>
  <w:footnote w:id="254">
    <w:p>
      <w:pPr>
        <w:pStyle w:val="FootnoteText"/>
      </w:pPr>
      <w:r>
        <w:rPr>
          <w:rStyle w:val="FootnoteReference"/>
        </w:rPr>
        <w:footnoteRef/>
      </w:r>
      <w:r>
        <w:t xml:space="preserve"> </w:t>
      </w:r>
      <w:r>
        <w:t xml:space="preserve">IMF Country Report No. 25/227, 2025.</w:t>
      </w:r>
    </w:p>
  </w:footnote>
  <w:footnote w:id="255">
    <w:p>
      <w:pPr>
        <w:pStyle w:val="FootnoteText"/>
      </w:pPr>
      <w:r>
        <w:rPr>
          <w:rStyle w:val="FootnoteReference"/>
        </w:rPr>
        <w:footnoteRef/>
      </w:r>
      <w:r>
        <w:t xml:space="preserve"> </w:t>
      </w:r>
      <w:r>
        <w:t xml:space="preserve">Muallif tomonidan quyidagi manbalar asosida tuzilgan: IMF Country Report No. 25/227, 2025; IMF. Republic of Uzbekistan: Financial Sector Assessment Program – Financial System Stability Assessment. – IMF Country Report No. 25/145. – Washington, DC, 2025; The Central Bank of the Republic of Uzbekistan. «Roadmap»… – Items 1–5, 7, 9, 15, 17, 20.</w:t>
      </w:r>
    </w:p>
  </w:footnote>
  <w:footnote w:id="256">
    <w:p>
      <w:pPr>
        <w:pStyle w:val="FootnoteText"/>
      </w:pPr>
      <w:r>
        <w:rPr>
          <w:rStyle w:val="FootnoteReference"/>
        </w:rPr>
        <w:footnoteRef/>
      </w:r>
      <w:r>
        <w:t xml:space="preserve"> </w:t>
      </w:r>
      <w:r>
        <w:t xml:space="preserve">Muallif ishlanmasi.</w:t>
      </w:r>
    </w:p>
  </w:footnote>
  <w:footnote w:id="257">
    <w:p>
      <w:pPr>
        <w:pStyle w:val="FootnoteText"/>
      </w:pPr>
      <w:r>
        <w:rPr>
          <w:rStyle w:val="FootnoteReference"/>
        </w:rPr>
        <w:footnoteRef/>
      </w:r>
      <w:r>
        <w:t xml:space="preserve"> </w:t>
      </w:r>
      <w:r>
        <w:t xml:space="preserve">IMF Country Report No. 25/227, 2025.</w:t>
      </w:r>
    </w:p>
  </w:footnote>
  <w:footnote w:id="258">
    <w:p>
      <w:pPr>
        <w:pStyle w:val="FootnoteText"/>
      </w:pPr>
      <w:r>
        <w:rPr>
          <w:rStyle w:val="FootnoteReference"/>
        </w:rPr>
        <w:footnoteRef/>
      </w:r>
      <w:r>
        <w:t xml:space="preserve"> </w:t>
      </w:r>
      <w:r>
        <w:t xml:space="preserve">IMF Country Report No. 25/145, 2025.</w:t>
      </w:r>
    </w:p>
  </w:footnote>
  <w:footnote w:id="259">
    <w:p>
      <w:pPr>
        <w:pStyle w:val="FootnoteText"/>
      </w:pPr>
      <w:r>
        <w:rPr>
          <w:rStyle w:val="FootnoteReference"/>
        </w:rPr>
        <w:footnoteRef/>
      </w:r>
      <w:r>
        <w:t xml:space="preserve"> </w:t>
      </w:r>
      <w:r>
        <w:t xml:space="preserve">The Central Bank of the Republic of Uzbekistan. «Roadmap»… – Item 3.</w:t>
      </w:r>
    </w:p>
  </w:footnote>
  <w:footnote w:id="260">
    <w:p>
      <w:pPr>
        <w:pStyle w:val="FootnoteText"/>
      </w:pPr>
      <w:r>
        <w:rPr>
          <w:rStyle w:val="FootnoteReference"/>
        </w:rPr>
        <w:footnoteRef/>
      </w:r>
      <w:r>
        <w:t xml:space="preserve"> </w:t>
      </w:r>
      <w:r>
        <w:t xml:space="preserve">O‘sha joyda. – Items 5, 19.</w:t>
      </w:r>
    </w:p>
  </w:footnote>
  <w:footnote w:id="261">
    <w:p>
      <w:pPr>
        <w:pStyle w:val="FootnoteText"/>
      </w:pPr>
      <w:r>
        <w:rPr>
          <w:rStyle w:val="FootnoteReference"/>
        </w:rPr>
        <w:footnoteRef/>
      </w:r>
      <w:r>
        <w:t xml:space="preserve"> </w:t>
      </w:r>
      <w:r>
        <w:t xml:space="preserve">IMF Country Report No. 25/145, 2025.</w:t>
      </w:r>
    </w:p>
  </w:footnote>
  <w:footnote w:id="262">
    <w:p>
      <w:pPr>
        <w:pStyle w:val="FootnoteText"/>
      </w:pPr>
      <w:r>
        <w:rPr>
          <w:rStyle w:val="FootnoteReference"/>
        </w:rPr>
        <w:footnoteRef/>
      </w:r>
      <w:r>
        <w:t xml:space="preserve"> </w:t>
      </w:r>
      <w:r>
        <w:t xml:space="preserve">The Central Bank of the Republic of Uzbekistan. «Roadmap»… – Items 7, 16.</w:t>
      </w:r>
    </w:p>
  </w:footnote>
  <w:footnote w:id="263">
    <w:p>
      <w:pPr>
        <w:pStyle w:val="FootnoteText"/>
      </w:pPr>
      <w:r>
        <w:rPr>
          <w:rStyle w:val="FootnoteReference"/>
        </w:rPr>
        <w:footnoteRef/>
      </w:r>
      <w:r>
        <w:t xml:space="preserve"> </w:t>
      </w:r>
      <w:r>
        <w:t xml:space="preserve">IMF. Uzbekistan: Staff Concluding Statement of the 2026 Article IV Mission. – 13.04.2026. – https://www.imf.org/en/news/articles/2026/04/13/mcs041326-uzbekistan</w:t>
      </w:r>
    </w:p>
  </w:footnote>
  <w:footnote w:id="264">
    <w:p>
      <w:pPr>
        <w:pStyle w:val="FootnoteText"/>
      </w:pPr>
      <w:r>
        <w:rPr>
          <w:rStyle w:val="FootnoteReference"/>
        </w:rPr>
        <w:footnoteRef/>
      </w:r>
      <w:r>
        <w:t xml:space="preserve"> </w:t>
      </w:r>
      <w:r>
        <w:t xml:space="preserve">The Central Bank of the Republic of Uzbekistan. «Roadmap»… – Item 9.</w:t>
      </w:r>
    </w:p>
  </w:footnote>
  <w:footnote w:id="265">
    <w:p>
      <w:pPr>
        <w:pStyle w:val="FootnoteText"/>
      </w:pPr>
      <w:r>
        <w:rPr>
          <w:rStyle w:val="FootnoteReference"/>
        </w:rPr>
        <w:footnoteRef/>
      </w:r>
      <w:r>
        <w:t xml:space="preserve"> </w:t>
      </w:r>
      <w:r>
        <w:t xml:space="preserve">O‘sha joyda. – Item 31.</w:t>
      </w:r>
    </w:p>
  </w:footnote>
  <w:footnote w:id="266">
    <w:p>
      <w:pPr>
        <w:pStyle w:val="FootnoteText"/>
      </w:pPr>
      <w:r>
        <w:rPr>
          <w:rStyle w:val="FootnoteReference"/>
        </w:rPr>
        <w:footnoteRef/>
      </w:r>
      <w:r>
        <w:t xml:space="preserve"> </w:t>
      </w:r>
      <w:r>
        <w:t xml:space="preserve">The Central Bank of the Republic of Uzbekistan. «Roadmap»… – Items 2–4, 7, 9.</w:t>
      </w:r>
    </w:p>
  </w:footnote>
  <w:footnote w:id="267">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45.</w:t>
      </w:r>
    </w:p>
  </w:footnote>
  <w:footnote w:id="268">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269">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270">
    <w:p>
      <w:pPr>
        <w:pStyle w:val="FootnoteText"/>
      </w:pPr>
      <w:r>
        <w:rPr>
          <w:rStyle w:val="FootnoteReference"/>
        </w:rPr>
        <w:footnoteRef/>
      </w:r>
      <w:r>
        <w:t xml:space="preserve"> </w:t>
      </w:r>
      <w:r>
        <w:t xml:space="preserve">World Bank. Uzbekistan Financial Sector Reform Project: Project Appraisal Document. Report No. PAD4468. – Washington, DC: World Bank, 2022.</w:t>
      </w:r>
    </w:p>
  </w:footnote>
  <w:footnote w:id="271">
    <w:p>
      <w:pPr>
        <w:pStyle w:val="FootnoteText"/>
      </w:pPr>
      <w:r>
        <w:rPr>
          <w:rStyle w:val="FootnoteReference"/>
        </w:rPr>
        <w:footnoteRef/>
      </w:r>
      <w:r>
        <w:t xml:space="preserve"> </w:t>
      </w:r>
      <w:r>
        <w:t xml:space="preserve">World Bank. Republic of Uzbekistan: Financial Sector Assessment. – Washington, DC: World Bank, 2025.</w:t>
      </w:r>
    </w:p>
  </w:footnote>
  <w:footnote w:id="272">
    <w:p>
      <w:pPr>
        <w:pStyle w:val="FootnoteText"/>
      </w:pPr>
      <w:r>
        <w:rPr>
          <w:rStyle w:val="FootnoteReference"/>
        </w:rPr>
        <w:footnoteRef/>
      </w:r>
      <w:r>
        <w:t xml:space="preserve"> </w:t>
      </w:r>
      <w:r>
        <w:t xml:space="preserve">Non-Bank Financial Institutions &amp; Private Credit in Uzbekistan 2026 // Kilde. – https://www.kilde.sg/post/non-bank-financial-institutions-and-private-credit-investment-in-uzbekistan-2026-update</w:t>
      </w:r>
    </w:p>
  </w:footnote>
  <w:footnote w:id="273">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74">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w:t>
      </w:r>
    </w:p>
  </w:footnote>
  <w:footnote w:id="275">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276">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International Monetary Fund. Republic of Uzbekistan: 2022 Article IV Consultation – Press Release; Staff Report; and Statement by the Executive Director for the Republic of Uzbekistan. IMF Country Report No. 22/189. – Washington, DC: IMF, 2022. – P. 30 (Table 7); O‘zbekiston Respublikasi Markaziy banki. Moliyaviy barqarorlik sharhi: 2022-yil. – Toshkent, 2023; The Central Bank of the Republic of Uzbekistan. Annual Report 2023. – Tashkent, 2024. – P. 57; The Central Bank of the Republic of Uzbekistan. Financial Stability Report for 2023. – Tashkent, 2024; O‘zbekiston Respublikasi Markaziy banki. 2024-yil uchun moliyaviy barqarorlik sharhi. – Toshkent, 2025; The Central Bank of the Republic of Uzbekistan. Financial Stability Report for 2025. – Tashkent, 2026.</w:t>
      </w:r>
    </w:p>
  </w:footnote>
  <w:footnote w:id="277">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78">
    <w:p>
      <w:pPr>
        <w:pStyle w:val="FootnoteText"/>
      </w:pPr>
      <w:r>
        <w:rPr>
          <w:rStyle w:val="FootnoteReference"/>
        </w:rPr>
        <w:footnoteRef/>
      </w:r>
      <w:r>
        <w:t xml:space="preserve"> </w:t>
      </w:r>
      <w:r>
        <w:t xml:space="preserve">Tadqiqot natijasida muallif tomonidan 2.2.1-jadval ma’lumotlari asosida ishlab chiqildi.</w:t>
      </w:r>
    </w:p>
  </w:footnote>
  <w:footnote w:id="279">
    <w:p>
      <w:pPr>
        <w:pStyle w:val="FootnoteText"/>
      </w:pPr>
      <w:r>
        <w:rPr>
          <w:rStyle w:val="FootnoteReference"/>
        </w:rPr>
        <w:footnoteRef/>
      </w:r>
      <w:r>
        <w:t xml:space="preserve"> </w:t>
      </w:r>
      <w:r>
        <w:t xml:space="preserve">Tian W. Regulatory Capital Requirement in Basel III // Commercial Banking Risk Management: Regulation in the Wake of the Financial Crisis / ed. by W. Tian. – New York: Palgrave Macmillan, 2017. – P. 6–7, 15.</w:t>
      </w:r>
    </w:p>
  </w:footnote>
  <w:footnote w:id="280">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80.</w:t>
      </w:r>
    </w:p>
  </w:footnote>
  <w:footnote w:id="281">
    <w:p>
      <w:pPr>
        <w:pStyle w:val="FootnoteText"/>
      </w:pPr>
      <w:r>
        <w:rPr>
          <w:rStyle w:val="FootnoteReference"/>
        </w:rPr>
        <w:footnoteRef/>
      </w:r>
      <w:r>
        <w:t xml:space="preserve"> </w:t>
      </w:r>
      <w:r>
        <w:t xml:space="preserve">International Monetary Fund. Republic of Uzbekistan: Financial Sector Assessment Program – Detailed Assessment of Observance – Basel Core Principles for Effective Banking Supervision. IMF Country Report No. 25/227. – Washington, DC: IMF, 2025.</w:t>
      </w:r>
    </w:p>
  </w:footnote>
  <w:footnote w:id="282">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283">
    <w:p>
      <w:pPr>
        <w:pStyle w:val="FootnoteText"/>
      </w:pPr>
      <w:r>
        <w:rPr>
          <w:rStyle w:val="FootnoteReference"/>
        </w:rPr>
        <w:footnoteRef/>
      </w:r>
      <w:r>
        <w:t xml:space="preserve"> </w:t>
      </w:r>
      <w:r>
        <w:t xml:space="preserve">The Central Bank of the Republic of Uzbekistan. Financial Stability Report for 2025. – Tashkent, 2026.</w:t>
      </w:r>
    </w:p>
  </w:footnote>
  <w:footnote w:id="284">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85">
    <w:p>
      <w:pPr>
        <w:pStyle w:val="FootnoteText"/>
      </w:pPr>
      <w:r>
        <w:rPr>
          <w:rStyle w:val="FootnoteReference"/>
        </w:rPr>
        <w:footnoteRef/>
      </w:r>
      <w:r>
        <w:t xml:space="preserve"> </w:t>
      </w:r>
      <w:r>
        <w:t xml:space="preserve">O‘zbekiston Respublikasi Markaziy banki. Moliyaviy barqarorlik sharhi: 2022-yil. – Toshkent, 2023.</w:t>
      </w:r>
    </w:p>
  </w:footnote>
  <w:footnote w:id="286">
    <w:p>
      <w:pPr>
        <w:pStyle w:val="FootnoteText"/>
      </w:pPr>
      <w:r>
        <w:rPr>
          <w:rStyle w:val="FootnoteReference"/>
        </w:rPr>
        <w:footnoteRef/>
      </w:r>
      <w:r>
        <w:t xml:space="preserve"> </w:t>
      </w:r>
      <w:r>
        <w:t xml:space="preserve">The Central Bank of the Republic of Uzbekistan. Annual Report 2023. – Tashkent, 2024. – P. 57.</w:t>
      </w:r>
    </w:p>
  </w:footnote>
  <w:footnote w:id="287">
    <w:p>
      <w:pPr>
        <w:pStyle w:val="FootnoteText"/>
      </w:pPr>
      <w:r>
        <w:rPr>
          <w:rStyle w:val="FootnoteReference"/>
        </w:rPr>
        <w:footnoteRef/>
      </w:r>
      <w:r>
        <w:t xml:space="preserve"> </w:t>
      </w:r>
      <w:r>
        <w:t xml:space="preserve">The Central Bank of the Republic of Uzbekistan. Financial Stability Report for 2025. – Tashkent, 2026.</w:t>
      </w:r>
    </w:p>
  </w:footnote>
  <w:footnote w:id="288">
    <w:p>
      <w:pPr>
        <w:pStyle w:val="FootnoteText"/>
      </w:pPr>
      <w:r>
        <w:rPr>
          <w:rStyle w:val="FootnoteReference"/>
        </w:rPr>
        <w:footnoteRef/>
      </w:r>
      <w:r>
        <w:t xml:space="preserve"> </w:t>
      </w:r>
      <w:r>
        <w:t xml:space="preserve">World Bank. Republic of Uzbekistan: Financial Sector Assessment. – Washington, DC: World Bank, 2025.</w:t>
      </w:r>
    </w:p>
  </w:footnote>
  <w:footnote w:id="289">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O‘zbekiston Respublikasi Markaziy banki. Moliyaviy barqarorlik sharhi: 2022-yil. – Toshkent, 2023; The Central Bank of the Republic of Uzbekistan. Annual Report 2023. – Tashkent, 2024. – P. 57; O‘zbekiston Respublikasi Markaziy banki. 2024-yil uchun moliyaviy barqarorlik sharhi. – Toshkent, 2025; The Central Bank of the Republic of Uzbekistan. Financial Stability Report for 2025. – Tashkent, 2026.</w:t>
      </w:r>
    </w:p>
  </w:footnote>
  <w:footnote w:id="290">
    <w:p>
      <w:pPr>
        <w:pStyle w:val="FootnoteText"/>
      </w:pPr>
      <w:r>
        <w:rPr>
          <w:rStyle w:val="FootnoteReference"/>
        </w:rPr>
        <w:footnoteRef/>
      </w:r>
      <w:r>
        <w:t xml:space="preserve"> </w:t>
      </w:r>
      <w:r>
        <w:t xml:space="preserve">International Monetary Fund. Republic of Uzbekistan: 2022 Article IV Consultation – Press Release; Staff Report; and Statement by the Executive Director for the Republic of Uzbekistan. IMF Country Report No. 22/189. – Washington, DC: IMF, 2022. – P. 30 (Table 7).</w:t>
      </w:r>
    </w:p>
  </w:footnote>
  <w:footnote w:id="291">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92">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293">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53.</w:t>
      </w:r>
    </w:p>
  </w:footnote>
  <w:footnote w:id="294">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95">
    <w:p>
      <w:pPr>
        <w:pStyle w:val="FootnoteText"/>
      </w:pPr>
      <w:r>
        <w:rPr>
          <w:rStyle w:val="FootnoteReference"/>
        </w:rPr>
        <w:footnoteRef/>
      </w:r>
      <w:r>
        <w:t xml:space="preserve"> </w:t>
      </w:r>
      <w:r>
        <w:t xml:space="preserve">Tadqiqot natijasida muallif tomonidan 2.2.1-jadval ma’lumotlari asosida ishlab chiqildi.</w:t>
      </w:r>
    </w:p>
  </w:footnote>
  <w:footnote w:id="29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84–85.</w:t>
      </w:r>
    </w:p>
  </w:footnote>
  <w:footnote w:id="297">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98">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299">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0">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1">
    <w:p>
      <w:pPr>
        <w:pStyle w:val="FootnoteText"/>
      </w:pPr>
      <w:r>
        <w:rPr>
          <w:rStyle w:val="FootnoteReference"/>
        </w:rPr>
        <w:footnoteRef/>
      </w:r>
      <w:r>
        <w:t xml:space="preserve"> </w:t>
      </w:r>
      <w:r>
        <w:t xml:space="preserve">Hendrickson J.M. Regulation and Instability in U.S. Commercial Banking: A History of Crises. – Basingstoke: Palgrave Macmillan, 2011. – P. 225–227.</w:t>
      </w:r>
    </w:p>
  </w:footnote>
  <w:footnote w:id="302">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03">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28–31.</w:t>
      </w:r>
    </w:p>
  </w:footnote>
  <w:footnote w:id="304">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05">
    <w:p>
      <w:pPr>
        <w:pStyle w:val="FootnoteText"/>
      </w:pPr>
      <w:r>
        <w:rPr>
          <w:rStyle w:val="FootnoteReference"/>
        </w:rPr>
        <w:footnoteRef/>
      </w:r>
      <w:r>
        <w:t xml:space="preserve"> </w:t>
      </w:r>
      <w:r>
        <w:t xml:space="preserve">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06">
    <w:p>
      <w:pPr>
        <w:pStyle w:val="FootnoteText"/>
      </w:pPr>
      <w:r>
        <w:rPr>
          <w:rStyle w:val="FootnoteReference"/>
        </w:rPr>
        <w:footnoteRef/>
      </w:r>
      <w:r>
        <w:t xml:space="preserve"> </w:t>
      </w:r>
      <w:r>
        <w:t xml:space="preserve">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40.</w:t>
      </w:r>
    </w:p>
  </w:footnote>
  <w:footnote w:id="307">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28–31.</w:t>
      </w:r>
    </w:p>
  </w:footnote>
  <w:footnote w:id="308">
    <w:p>
      <w:pPr>
        <w:pStyle w:val="FootnoteText"/>
      </w:pPr>
      <w:r>
        <w:rPr>
          <w:rStyle w:val="FootnoteReference"/>
        </w:rPr>
        <w:footnoteRef/>
      </w:r>
      <w:r>
        <w:t xml:space="preserve"> </w:t>
      </w:r>
      <w:r>
        <w:t xml:space="preserve">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09">
    <w:p>
      <w:pPr>
        <w:pStyle w:val="FootnoteText"/>
      </w:pPr>
      <w:r>
        <w:rPr>
          <w:rStyle w:val="FootnoteReference"/>
        </w:rPr>
        <w:footnoteRef/>
      </w:r>
      <w:r>
        <w:t xml:space="preserve"> </w:t>
      </w:r>
      <w:r>
        <w:t xml:space="preserve">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46.</w:t>
      </w:r>
    </w:p>
  </w:footnote>
  <w:footnote w:id="310">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1">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12">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13">
    <w:p>
      <w:pPr>
        <w:pStyle w:val="FootnoteText"/>
      </w:pPr>
      <w:r>
        <w:rPr>
          <w:rStyle w:val="FootnoteReference"/>
        </w:rPr>
        <w:footnoteRef/>
      </w:r>
      <w:r>
        <w:t xml:space="preserve"> </w:t>
      </w:r>
      <w:r>
        <w:t xml:space="preserve">Tadqiqot natijasida muallif tomonidan quyidagi manbalar ma’lumotlari asosida ishlab chiqildi: O‘zbekiston Respublikasi Markaziy banki. Statistik byulleten: 2021-yil. – Toshkent, 2022. – 5.1.8b-jadval; O‘zbekiston Respublikasi Markaziy banki. Statistik byulleten: 2026-yil mart. – Toshkent, 2026. – 5.1.2, 5.1.3, 5.1.4, 5.1.6, 5.1.7, 5.1.8-jadvallar. – https://cbu.uz/uz/statistics/buleten; The Central Bank of the Republic of Uzbekistan. Financial Stability Report for 2025. – Tashkent, 2026; World Bank. Republic of Uzbekistan: Financial Sector Assessment. – Washington, DC: World Bank, 2025;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28–31;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14">
    <w:p>
      <w:pPr>
        <w:pStyle w:val="FootnoteText"/>
      </w:pPr>
      <w:r>
        <w:rPr>
          <w:rStyle w:val="FootnoteReference"/>
        </w:rPr>
        <w:footnoteRef/>
      </w:r>
      <w:r>
        <w:t xml:space="preserve"> </w:t>
      </w:r>
      <w:r>
        <w:t xml:space="preserve">O‘zbekiston Respublikasi Prezidentining 2020-yil 24-fevraldagi PQ-4611-son «Moliyaviy hisobotning xalqaro standartlariga o‘tish bo‘yicha qo‘shimcha chora-tadbirlar to‘g‘risida»gi qarori // Qonunchilik ma’lumotlari milliy bazasi, 25.02.2020-y.</w:t>
      </w:r>
    </w:p>
  </w:footnote>
  <w:footnote w:id="315">
    <w:p>
      <w:pPr>
        <w:pStyle w:val="FootnoteText"/>
      </w:pPr>
      <w:r>
        <w:rPr>
          <w:rStyle w:val="FootnoteReference"/>
        </w:rPr>
        <w:footnoteRef/>
      </w:r>
      <w:r>
        <w:t xml:space="preserve"> </w:t>
      </w:r>
      <w:r>
        <w:t xml:space="preserve">O‘zbekiston Respublikasining 2019-yil 5-noyabrdagi O‘RQ-580-son «Banklar va bank faoliyati to‘g‘risida»gi Qonuni // Qonunchilik ma’lumotlari milliy bazasi, 06.11.2019-y.</w:t>
      </w:r>
    </w:p>
  </w:footnote>
  <w:footnote w:id="316">
    <w:p>
      <w:pPr>
        <w:pStyle w:val="FootnoteText"/>
      </w:pPr>
      <w:r>
        <w:rPr>
          <w:rStyle w:val="FootnoteReference"/>
        </w:rPr>
        <w:footnoteRef/>
      </w:r>
      <w:r>
        <w:t xml:space="preserve"> </w:t>
      </w:r>
      <w:r>
        <w:t xml:space="preserve">Basel Committee on Banking Supervision. Regulatory treatment of accounting provisions – interim approach and transitional arrangements. – Basel: Bank for International Settlements, March 2017.</w:t>
      </w:r>
    </w:p>
  </w:footnote>
  <w:footnote w:id="317">
    <w:p>
      <w:pPr>
        <w:pStyle w:val="FootnoteText"/>
      </w:pPr>
      <w:r>
        <w:rPr>
          <w:rStyle w:val="FootnoteReference"/>
        </w:rPr>
        <w:footnoteRef/>
      </w:r>
      <w:r>
        <w:t xml:space="preserve"> </w:t>
      </w:r>
      <w:r>
        <w:t xml:space="preserve">Basel Committee on Banking Supervision. Guidance on credit risk and accounting for expected credit losses. – Basel: Bank for International Settlements, December 2015.</w:t>
      </w:r>
    </w:p>
  </w:footnote>
  <w:footnote w:id="318">
    <w:p>
      <w:pPr>
        <w:pStyle w:val="FootnoteText"/>
      </w:pPr>
      <w:r>
        <w:rPr>
          <w:rStyle w:val="FootnoteReference"/>
        </w:rPr>
        <w:footnoteRef/>
      </w:r>
      <w:r>
        <w:t xml:space="preserve"> </w:t>
      </w:r>
      <w:r>
        <w:t xml:space="preserve">Huizinga H., Laeven L. Bank valuation and accounting discretion during a financial crisis // Journal of Financial Economics. – 2012. – Vol. 106, No. 3. – P. 614–634.</w:t>
      </w:r>
    </w:p>
  </w:footnote>
  <w:footnote w:id="319">
    <w:p>
      <w:pPr>
        <w:pStyle w:val="FootnoteText"/>
      </w:pPr>
      <w:r>
        <w:rPr>
          <w:rStyle w:val="FootnoteReference"/>
        </w:rPr>
        <w:footnoteRef/>
      </w:r>
      <w:r>
        <w:t xml:space="preserve"> </w:t>
      </w:r>
      <w:r>
        <w:t xml:space="preserve">Bholat D., Lastra R.M., Markose S.M., Miglionico A., Sen K. Non-performing loans at the dawn of IFRS 9: regulatory and accounting treatment of asset quality // Journal of Banking Regulation. – 2018. – Vol. 19, No. 1. – P. 33–54.</w:t>
      </w:r>
    </w:p>
  </w:footnote>
  <w:footnote w:id="320">
    <w:p>
      <w:pPr>
        <w:pStyle w:val="FootnoteText"/>
      </w:pPr>
      <w:r>
        <w:rPr>
          <w:rStyle w:val="FootnoteReference"/>
        </w:rPr>
        <w:footnoteRef/>
      </w:r>
      <w:r>
        <w:t xml:space="preserve"> </w:t>
      </w:r>
      <w:r>
        <w:t xml:space="preserve">Abad J., Suarez J. Assessing the cyclical implications of IFRS 9 – a recursive model // European Systemic Risk Board Occasional Paper Series. – 2017. – No. 12. – 48 p.</w:t>
      </w:r>
    </w:p>
  </w:footnote>
  <w:footnote w:id="321">
    <w:p>
      <w:pPr>
        <w:pStyle w:val="FootnoteText"/>
      </w:pPr>
      <w:r>
        <w:rPr>
          <w:rStyle w:val="FootnoteReference"/>
        </w:rPr>
        <w:footnoteRef/>
      </w:r>
      <w:r>
        <w:t xml:space="preserve"> </w:t>
      </w:r>
      <w:r>
        <w:t xml:space="preserve">Соколинская Н.Э. Анализ и оценка финансового состояния коммерческого банка на основе международных стандартов финансовой отчетности: учебное пособие. – М.: РУСАЙНС. – С. 94–95.</w:t>
      </w:r>
    </w:p>
  </w:footnote>
  <w:footnote w:id="322">
    <w:p>
      <w:pPr>
        <w:pStyle w:val="FootnoteText"/>
      </w:pPr>
      <w:r>
        <w:rPr>
          <w:rStyle w:val="FootnoteReference"/>
        </w:rPr>
        <w:footnoteRef/>
      </w:r>
      <w:r>
        <w:t xml:space="preserve"> </w:t>
      </w:r>
      <w:r>
        <w:t xml:space="preserve">Tadqiqot natijasida muallif tomonidan quyidagi manbalar asosida ishlab chiqildi: 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 IFRS 9 Financial Instruments. – London: International Accounting Standards Board, 2014;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23">
    <w:p>
      <w:pPr>
        <w:pStyle w:val="FootnoteText"/>
      </w:pPr>
      <w:r>
        <w:rPr>
          <w:rStyle w:val="FootnoteReference"/>
        </w:rPr>
        <w:footnoteRef/>
      </w:r>
      <w:r>
        <w:t xml:space="preserve"> </w:t>
      </w:r>
      <w:r>
        <w:t xml:space="preserve">Tijorat banklarida aktivlar sifatini tasniflash va aktivlar bo‘yicha ehtimoliy yo‘qotishlarni qoplash uchun zaxiralarni shakllantirish hamda ulardan foydalanish tartibi to‘g‘risidagi nizom (O‘zbekiston Respublikasi Markaziy banki Boshqaruvining qarori, ro‘yxat raqami 2696, 14.07.2015) // https://lex.uz</w:t>
      </w:r>
    </w:p>
  </w:footnote>
  <w:footnote w:id="324">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25">
    <w:p>
      <w:pPr>
        <w:pStyle w:val="FootnoteText"/>
      </w:pPr>
      <w:r>
        <w:rPr>
          <w:rStyle w:val="FootnoteReference"/>
        </w:rPr>
        <w:footnoteRef/>
      </w:r>
      <w:r>
        <w:t xml:space="preserve"> </w:t>
      </w:r>
      <w:r>
        <w:t xml:space="preserve">IFRS 9 Financial Instruments. – London: International Accounting Standards Board, 2014.</w:t>
      </w:r>
    </w:p>
  </w:footnote>
  <w:footnote w:id="326">
    <w:p>
      <w:pPr>
        <w:pStyle w:val="FootnoteText"/>
      </w:pPr>
      <w:r>
        <w:rPr>
          <w:rStyle w:val="FootnoteReference"/>
        </w:rPr>
        <w:footnoteRef/>
      </w:r>
      <w:r>
        <w:t xml:space="preserve"> </w:t>
      </w:r>
      <w:r>
        <w:t xml:space="preserve">Tadqiqot natijasida muallif tomonidan ishlab chiqildi.</w:t>
      </w:r>
    </w:p>
  </w:footnote>
  <w:footnote w:id="327">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28">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329">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0">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 Joint Stock Commercial Bank «Uzbek Industrial and Construction Bank» and its subsidiaries. Consolidated Financial Statements for the year ended 31 December 2025 and Independent Auditor’s Report. – Tashkent, 2026. – P. 3.</w:t>
      </w:r>
    </w:p>
  </w:footnote>
  <w:footnote w:id="331">
    <w:p>
      <w:pPr>
        <w:pStyle w:val="FootnoteText"/>
      </w:pPr>
      <w:r>
        <w:rPr>
          <w:rStyle w:val="FootnoteReference"/>
        </w:rPr>
        <w:footnoteRef/>
      </w:r>
      <w:r>
        <w:t xml:space="preserve"> </w:t>
      </w:r>
      <w:r>
        <w:t xml:space="preserve">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3.</w:t>
      </w:r>
    </w:p>
  </w:footnote>
  <w:footnote w:id="332">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w:t>
      </w:r>
    </w:p>
  </w:footnote>
  <w:footnote w:id="333">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w:t>
      </w:r>
    </w:p>
  </w:footnote>
  <w:footnote w:id="334">
    <w:p>
      <w:pPr>
        <w:pStyle w:val="FootnoteText"/>
      </w:pPr>
      <w:r>
        <w:rPr>
          <w:rStyle w:val="FootnoteReference"/>
        </w:rPr>
        <w:footnoteRef/>
      </w:r>
      <w:r>
        <w:t xml:space="preserve"> </w:t>
      </w:r>
      <w:r>
        <w:t xml:space="preserve">Tadqiqot natijasida muallif tomonidan quyidagi manbalar ma’lumotlari asosida ishlab chiqildi: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w:t>
      </w:r>
    </w:p>
  </w:footnote>
  <w:footnote w:id="335">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37–38.</w:t>
      </w:r>
    </w:p>
  </w:footnote>
  <w:footnote w:id="336">
    <w:p>
      <w:pPr>
        <w:pStyle w:val="FootnoteText"/>
      </w:pPr>
      <w:r>
        <w:rPr>
          <w:rStyle w:val="FootnoteReference"/>
        </w:rPr>
        <w:footnoteRef/>
      </w:r>
      <w:r>
        <w:t xml:space="preserve"> </w:t>
      </w:r>
      <w:r>
        <w:t xml:space="preserve">Tadqiqot natijasida muallif tomonidan quyidagi manbalar ma’lumotlari asosida ishlab chiqildi: Joint Stock Commercial Bank «Uzbek Industrial and Construction Bank» and its subsidiaries. Consolidated Financial Statements for the year ended 31 December 2025 and Independent Auditor’s Report. – Tashkent, 2026. – P. 37–38.</w:t>
      </w:r>
    </w:p>
  </w:footnote>
  <w:footnote w:id="337">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37.</w:t>
      </w:r>
    </w:p>
  </w:footnote>
  <w:footnote w:id="338">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Акционерный коммерческий банк «Узбекский промышленно-строительный банк» и его дочерние организации. Консолидированная финансовая отчетность за год, закончившийся 31 декабря 2021 года, и аудиторское заключение. – Ташкент, 2022. – С. 8–9; Акционерный коммерческий банк «Узбекский промышленно-строительный банк» и его дочерние организации. Консолидированная финансовая отчетность и аудиторское заключение за годы, закончившиеся 31 декабря 2023, 2022 и 2021 гг. – Ташкент, 2024. – С. 2–3, 39–40; Joint Stock Commercial Bank «Uzbek Industrial and Construction Bank» and its subsidiaries. Consolidated Financial Statements for the year ended 31 December 2025 and Independent Auditor’s Report. – Tashkent, 2026. – P. 2–3, 28–31, 37–38, 74;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39">
    <w:p>
      <w:pPr>
        <w:pStyle w:val="FootnoteText"/>
      </w:pPr>
      <w:r>
        <w:rPr>
          <w:rStyle w:val="FootnoteReference"/>
        </w:rPr>
        <w:footnoteRef/>
      </w:r>
      <w:r>
        <w:t xml:space="preserve"> </w:t>
      </w:r>
      <w:r>
        <w:t xml:space="preserve">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0">
    <w:p>
      <w:pPr>
        <w:pStyle w:val="FootnoteText"/>
      </w:pPr>
      <w:r>
        <w:rPr>
          <w:rStyle w:val="FootnoteReference"/>
        </w:rPr>
        <w:footnoteRef/>
      </w:r>
      <w:r>
        <w:t xml:space="preserve"> </w:t>
      </w:r>
      <w:r>
        <w:t xml:space="preserve">Tadqiqot natijasida muallif tomonidan quyidagi manbalar ma’lumotlari asosida hisoblandi: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6–7;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7–8;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42–43; Акционерно-коммерческий банк «Микрокредитбанк». Консолидированная финансовая отчетность за год, закончившийся 31 декабря 2024 года, и заключение независимых аудиторов. – Ташкент, 2025. – С. 49–51; Акционерно-коммерческий банк «Микрокредитбанк». Финансовая отчетность за год, закончившийся 31 декабря 2022 года, и заключение независимых аудиторов. – Ташкент, 2023. – С. 42–43;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48. – https://mkbank.uz/uz/shareholders/financial-indicators/audit-report/.</w:t>
      </w:r>
    </w:p>
  </w:footnote>
  <w:footnote w:id="341">
    <w:p>
      <w:pPr>
        <w:pStyle w:val="FootnoteText"/>
      </w:pPr>
      <w:r>
        <w:rPr>
          <w:rStyle w:val="FootnoteReference"/>
        </w:rPr>
        <w:footnoteRef/>
      </w:r>
      <w:r>
        <w:t xml:space="preserve"> </w:t>
      </w:r>
      <w:r>
        <w:t xml:space="preserve">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w:t>
      </w:r>
    </w:p>
  </w:footnote>
  <w:footnote w:id="342">
    <w:p>
      <w:pPr>
        <w:pStyle w:val="FootnoteText"/>
      </w:pPr>
      <w:r>
        <w:rPr>
          <w:rStyle w:val="FootnoteReference"/>
        </w:rPr>
        <w:footnoteRef/>
      </w:r>
      <w:r>
        <w:t xml:space="preserve"> </w:t>
      </w:r>
      <w:r>
        <w:t xml:space="preserve">Tadqiqot natijasida muallif tomonidan quyidagi manbalar ma’lumotlari asosida ishlab chiqildi: «Mikrokreditbank» ATB ning Markaziy bankka taqdim etilgan prudensial hisobot shakllari (crs005C, crs005L, crs005O): bank balansi, daromadlar, regulyativ kapital hisob-kitobi, aktivlarni tasniflash va prudensial me’yorlar jadvallari, 2020–2025-yillar 30-dekabr holatiga; Акционерно-коммерческий банк «Микрокредитбанк». Финансовая отчетность за год, закончившийся 31 декабря 2021 года, и заключение независимых аудиторов. – Ташкент, 2022. – С. 7; Акционерно-коммерческий банк «Микрокредитбанк». Финансовая отчетность за год, закончившийся 31 декабря 2023 года, и заключение независимых аудиторов. – Ташкент, 2024. – С. 8;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12.</w:t>
      </w:r>
    </w:p>
  </w:footnote>
  <w:footnote w:id="343">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74.</w:t>
      </w:r>
    </w:p>
  </w:footnote>
  <w:footnote w:id="344">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345">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346">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47">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348">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Basel Committee on Banking Supervision. Basel III: The Net Stable Funding Ratio. – Basel: BIS, October 2014; Basel Committee on Banking Supervision. Basel III: The Liquidity Coverage Ratio and liquidity risk monitoring tools. – Basel: BIS, January 2013.</w:t>
      </w:r>
    </w:p>
  </w:footnote>
  <w:footnote w:id="349">
    <w:p>
      <w:pPr>
        <w:pStyle w:val="FootnoteText"/>
      </w:pPr>
      <w:r>
        <w:rPr>
          <w:rStyle w:val="FootnoteReference"/>
        </w:rPr>
        <w:footnoteRef/>
      </w:r>
      <w:r>
        <w:t xml:space="preserve"> </w:t>
      </w:r>
      <w:r>
        <w:t xml:space="preserve">Tadqiqot natijasida muallif tomonidan 2.3.4-jadval ma’lumotlari asosida ishlab chiqildi.</w:t>
      </w:r>
    </w:p>
  </w:footnote>
  <w:footnote w:id="350">
    <w:p>
      <w:pPr>
        <w:pStyle w:val="FootnoteText"/>
      </w:pPr>
      <w:r>
        <w:rPr>
          <w:rStyle w:val="FootnoteReference"/>
        </w:rPr>
        <w:footnoteRef/>
      </w:r>
      <w:r>
        <w:t xml:space="preserve"> </w:t>
      </w:r>
      <w:r>
        <w:t xml:space="preserve">International Monetary Fund. Republic of Uzbekistan: Financial Sector Assessment Program – Financial System Stability Assessment. IMF Country Report No. 25/145. – Washington, DC: IMF, 2025.</w:t>
      </w:r>
    </w:p>
  </w:footnote>
  <w:footnote w:id="351">
    <w:p>
      <w:pPr>
        <w:pStyle w:val="FootnoteText"/>
      </w:pPr>
      <w:r>
        <w:rPr>
          <w:rStyle w:val="FootnoteReference"/>
        </w:rPr>
        <w:footnoteRef/>
      </w:r>
      <w:r>
        <w:t xml:space="preserve"> </w:t>
      </w:r>
      <w:r>
        <w:t xml:space="preserve">O‘zbekiston Respublikasi Markaziy banki. Moliya sektorini baholash dasturi (FSAP) tavsiyalarini amalga oshirish bo‘yicha 2025–2028-yillarga mo‘ljallangan «yo‘l xaritasi».</w:t>
      </w:r>
    </w:p>
  </w:footnote>
  <w:footnote w:id="352">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47.</w:t>
      </w:r>
    </w:p>
  </w:footnote>
  <w:footnote w:id="353">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w:t>
      </w:r>
    </w:p>
  </w:footnote>
  <w:footnote w:id="354">
    <w:p>
      <w:pPr>
        <w:pStyle w:val="FootnoteText"/>
      </w:pPr>
      <w:r>
        <w:rPr>
          <w:rStyle w:val="FootnoteReference"/>
        </w:rPr>
        <w:footnoteRef/>
      </w:r>
      <w:r>
        <w:t xml:space="preserve"> </w:t>
      </w:r>
      <w:r>
        <w:t xml:space="preserve">Karaliyev T.M., Sayfiddinov I.F. Tijorat banklari faoliyatini tartibga solish va nazorati: darslik. – T.: Iqtisod-Moliya, 2019. – B. 195–213.</w:t>
      </w:r>
    </w:p>
  </w:footnote>
  <w:footnote w:id="355">
    <w:p>
      <w:pPr>
        <w:pStyle w:val="FootnoteText"/>
      </w:pPr>
      <w:r>
        <w:rPr>
          <w:rStyle w:val="FootnoteReference"/>
        </w:rPr>
        <w:footnoteRef/>
      </w:r>
      <w:r>
        <w:t xml:space="preserve"> </w:t>
      </w:r>
      <w:r>
        <w:t xml:space="preserve">Karaliyev T.M., Sayfiddinov I.F. Tijorat banklari faoliyatini tartibga solish va nazorati: darslik. – T.: Iqtisod-Moliya, 2019. – B. 213.</w:t>
      </w:r>
    </w:p>
  </w:footnote>
  <w:footnote w:id="356">
    <w:p>
      <w:pPr>
        <w:pStyle w:val="FootnoteText"/>
      </w:pPr>
      <w:r>
        <w:rPr>
          <w:rStyle w:val="FootnoteReference"/>
        </w:rPr>
        <w:footnoteRef/>
      </w:r>
      <w:r>
        <w:t xml:space="preserve"> </w:t>
      </w:r>
      <w:r>
        <w:t xml:space="preserve">Tadqiqot natijasida muallif tomonidan dissertatsiyaning 2.1–2.3-paragraflari natijalari asosida ishlab chiqildi.</w:t>
      </w:r>
    </w:p>
  </w:footnote>
  <w:footnote w:id="357">
    <w:p>
      <w:pPr>
        <w:pStyle w:val="FootnoteText"/>
      </w:pPr>
      <w:r>
        <w:rPr>
          <w:rStyle w:val="FootnoteReference"/>
        </w:rPr>
        <w:footnoteRef/>
      </w:r>
      <w:r>
        <w:t xml:space="preserve"> </w:t>
      </w:r>
      <w:r>
        <w:t xml:space="preserve">Tadqiqot natijasida muallif tomonidan ishlab chiqildi.</w:t>
      </w:r>
    </w:p>
  </w:footnote>
  <w:footnote w:id="358">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359">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91.</w:t>
      </w:r>
    </w:p>
  </w:footnote>
  <w:footnote w:id="360">
    <w:p>
      <w:pPr>
        <w:pStyle w:val="FootnoteText"/>
      </w:pPr>
      <w:r>
        <w:rPr>
          <w:rStyle w:val="FootnoteReference"/>
        </w:rPr>
        <w:footnoteRef/>
      </w:r>
      <w:r>
        <w:t xml:space="preserve"> </w:t>
      </w:r>
      <w:r>
        <w:t xml:space="preserve">Tadqiqot natijasida muallif tomonidan quyidagi manbalar asosida ishlab chiqildi: Basel Committee on Banking Supervision. Basel III: A global regulatory framework for more resilient banks and banking systems. – Basel: Bank for International Settlements, December 2010 (rev. June 2011); Basel Committee on Banking Supervision. A framework for dealing with domestic systemically important banks. – Basel: Bank for International Settlements, October 2012; Basel Committee on Banking Supervision. Basel III: The Liquidity Coverage Ratio and liquidity risk monitoring tools. – Basel: BIS, January 2013; Basel Committee on Banking Supervision. Basel III: The Net Stable Funding Ratio. – Basel: BIS, October 2014; IFRS 9 Financial Instruments. – London: International Accounting Standards Board, 2014; International Monetary Fund. 2019 Financial Soundness Indicators Compilation Guide. – Washington, DC: IMF, 2019; Banklar kapitalining monandligiga qo‘yiladigan talablar to‘g‘risidagi nizom (O‘zbekiston Respublikasi Markaziy banki Boshqaruvining 02.10.2025 dagi 21/6-son qarori, ro‘yxat raqami 3697, 28.10.2025) // https://lex.uz/docs/7793613;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Оценка финансовой устойчивости кредитной организации: учебник / под ред. О.И. Лаврушина, И.Д. Мамоновой. – М.: КНОРУС, 2011. – С. 135, 145–147; Устойчивость банковской системы и развитие банковской политики: монография / под ред. О.И. Лаврушина. – М.: КНОРУС, 2014. – С. 52–53; Tarullo D.K. Banking on Basel: The Future of International Financial Regulation. – Washington, DC: Peterson Institute for International Economics, 2008. – P. 228–230.</w:t>
      </w:r>
    </w:p>
  </w:footnote>
  <w:footnote w:id="361">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135.</w:t>
      </w:r>
    </w:p>
  </w:footnote>
  <w:footnote w:id="362">
    <w:p>
      <w:pPr>
        <w:pStyle w:val="FootnoteText"/>
      </w:pPr>
      <w:r>
        <w:rPr>
          <w:rStyle w:val="FootnoteReference"/>
        </w:rPr>
        <w:footnoteRef/>
      </w:r>
      <w:r>
        <w:t xml:space="preserve"> </w:t>
      </w:r>
      <w:r>
        <w:t xml:space="preserve">Banklar kapitalining monandligiga qo‘yiladigan talablar to‘g‘risidagi nizom (O‘zbekiston Respublikasi Markaziy banki Boshqaruvining 02.10.2025 dagi 21/6-son qarori, ro‘yxat raqami 3697, 28.10.2025) // https://lex.uz/docs/7793613</w:t>
      </w:r>
    </w:p>
  </w:footnote>
  <w:footnote w:id="363">
    <w:p>
      <w:pPr>
        <w:pStyle w:val="FootnoteText"/>
      </w:pPr>
      <w:r>
        <w:rPr>
          <w:rStyle w:val="FootnoteReference"/>
        </w:rPr>
        <w:footnoteRef/>
      </w:r>
      <w:r>
        <w:t xml:space="preserve"> </w:t>
      </w:r>
      <w:r>
        <w:t xml:space="preserve">Basel Committee on Banking Supervision. Basel III: A global regulatory framework for more resilient banks and banking systems. – Basel: Bank for International Settlements, December 2010 (rev. June 2011).</w:t>
      </w:r>
    </w:p>
  </w:footnote>
  <w:footnote w:id="364">
    <w:p>
      <w:pPr>
        <w:pStyle w:val="FootnoteText"/>
      </w:pPr>
      <w:r>
        <w:rPr>
          <w:rStyle w:val="FootnoteReference"/>
        </w:rPr>
        <w:footnoteRef/>
      </w:r>
      <w:r>
        <w:t xml:space="preserve"> </w:t>
      </w:r>
      <w:r>
        <w:t xml:space="preserve">Basel Committee on Banking Supervision. A framework for dealing with domestic systemically important banks. – Basel: Bank for International Settlements, October 2012.</w:t>
      </w:r>
    </w:p>
  </w:footnote>
  <w:footnote w:id="365">
    <w:p>
      <w:pPr>
        <w:pStyle w:val="FootnoteText"/>
      </w:pPr>
      <w:r>
        <w:rPr>
          <w:rStyle w:val="FootnoteReference"/>
        </w:rPr>
        <w:footnoteRef/>
      </w:r>
      <w:r>
        <w:t xml:space="preserve"> </w:t>
      </w:r>
      <w:r>
        <w:t xml:space="preserve">Tarullo D.K. Banking on Basel: The Future of International Financial Regulation. – Washington, DC: Peterson Institute for International Economics, 2008. – P. 228–230.</w:t>
      </w:r>
    </w:p>
  </w:footnote>
  <w:footnote w:id="366">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45.</w:t>
      </w:r>
    </w:p>
  </w:footnote>
  <w:footnote w:id="367">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52–53.</w:t>
      </w:r>
    </w:p>
  </w:footnote>
  <w:footnote w:id="368">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369">
    <w:p>
      <w:pPr>
        <w:pStyle w:val="FootnoteText"/>
      </w:pPr>
      <w:r>
        <w:rPr>
          <w:rStyle w:val="FootnoteReference"/>
        </w:rPr>
        <w:footnoteRef/>
      </w:r>
      <w:r>
        <w:t xml:space="preserve"> </w:t>
      </w:r>
      <w:r>
        <w:t xml:space="preserve">Basel Committee on Banking Supervision. Basel III: The Liquidity Coverage Ratio and liquidity risk monitoring tools. – Basel: BIS, January 2013.</w:t>
      </w:r>
    </w:p>
  </w:footnote>
  <w:footnote w:id="370">
    <w:p>
      <w:pPr>
        <w:pStyle w:val="FootnoteText"/>
      </w:pPr>
      <w:r>
        <w:rPr>
          <w:rStyle w:val="FootnoteReference"/>
        </w:rPr>
        <w:footnoteRef/>
      </w:r>
      <w:r>
        <w:t xml:space="preserve"> </w:t>
      </w:r>
      <w:r>
        <w:t xml:space="preserve">Basel Committee on Banking Supervision. Basel III: The Net Stable Funding Ratio. – Basel: BIS, October 2014.</w:t>
      </w:r>
    </w:p>
  </w:footnote>
  <w:footnote w:id="371">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372">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52–53.</w:t>
      </w:r>
    </w:p>
  </w:footnote>
  <w:footnote w:id="373">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145–147.</w:t>
      </w:r>
    </w:p>
  </w:footnote>
  <w:footnote w:id="374">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145–147.</w:t>
      </w:r>
    </w:p>
  </w:footnote>
  <w:footnote w:id="375">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85.</w:t>
      </w:r>
    </w:p>
  </w:footnote>
  <w:footnote w:id="376">
    <w:p>
      <w:pPr>
        <w:pStyle w:val="FootnoteText"/>
      </w:pPr>
      <w:r>
        <w:rPr>
          <w:rStyle w:val="FootnoteReference"/>
        </w:rPr>
        <w:footnoteRef/>
      </w:r>
      <w:r>
        <w:t xml:space="preserve"> </w:t>
      </w:r>
      <w:r>
        <w:t xml:space="preserve">Tadqiqot natijasida muallif tomonidan 3.1.2-jadval asosida ishlab chiqildi.</w:t>
      </w:r>
    </w:p>
  </w:footnote>
  <w:footnote w:id="377">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89–91.</w:t>
      </w:r>
    </w:p>
  </w:footnote>
  <w:footnote w:id="378">
    <w:p>
      <w:pPr>
        <w:pStyle w:val="FootnoteText"/>
      </w:pPr>
      <w:r>
        <w:rPr>
          <w:rStyle w:val="FootnoteReference"/>
        </w:rPr>
        <w:footnoteRef/>
      </w:r>
      <w:r>
        <w:t xml:space="preserve"> </w:t>
      </w:r>
      <w:r>
        <w:t xml:space="preserve">Оценка финансовой устойчивости кредитной организации: учебник / под ред. О.И. Лаврушина, И.Д. Мамоновой. – М.: КНОРУС, 2011. – С. 68.</w:t>
      </w:r>
    </w:p>
  </w:footnote>
  <w:footnote w:id="379">
    <w:p>
      <w:pPr>
        <w:pStyle w:val="FootnoteText"/>
      </w:pPr>
      <w:r>
        <w:rPr>
          <w:rStyle w:val="FootnoteReference"/>
        </w:rPr>
        <w:footnoteRef/>
      </w:r>
      <w:r>
        <w:t xml:space="preserve"> </w:t>
      </w:r>
      <w:r>
        <w:t xml:space="preserve">Устойчивость банковской системы и развитие банковской политики: монография / под ред. О.И. Лаврушина. – М.: КНОРУС, 2014. – С. 51.</w:t>
      </w:r>
    </w:p>
  </w:footnote>
  <w:footnote w:id="380">
    <w:p>
      <w:pPr>
        <w:pStyle w:val="FootnoteText"/>
      </w:pPr>
      <w:r>
        <w:rPr>
          <w:rStyle w:val="FootnoteReference"/>
        </w:rPr>
        <w:footnoteRef/>
      </w:r>
      <w:r>
        <w:t xml:space="preserve"> </w:t>
      </w:r>
      <w:r>
        <w:t xml:space="preserve">Tadqiqot natijasida muallif tomonidan quyidagi manbalar asosida ishlab chiqildi: Karaliyev T.M., Sayfiddinov I.F. Tijorat banklari faoliyatini tartibga solish va nazorati: darslik. – T.: Iqtisod-Moliya, 2019. – B. 213; Оценка финансовой устойчивости кредитной организации: учебник / под ред. О.И. Лаврушина, И.Д. Мамоновой. – М.: КНОРУС, 2011. – С. 68; Izzi L., Oricchio G., Vitale L. Basel III Credit Rating Systems: An Applied Guide to Quantitative and Qualitative Models. – Basingstoke: Palgrave Macmillan, 2012. – P. 76, 85.</w:t>
      </w:r>
    </w:p>
  </w:footnote>
  <w:footnote w:id="381">
    <w:p>
      <w:pPr>
        <w:pStyle w:val="FootnoteText"/>
      </w:pPr>
      <w:r>
        <w:rPr>
          <w:rStyle w:val="FootnoteReference"/>
        </w:rPr>
        <w:footnoteRef/>
      </w:r>
      <w:r>
        <w:t xml:space="preserve"> </w:t>
      </w:r>
      <w:r>
        <w:t xml:space="preserve">Karaliyev T.M., Sayfiddinov I.F. Tijorat banklari faoliyatini tartibga solish va nazorati: darslik. – T.: Iqtisod-Moliya, 2019. – B. 213.</w:t>
      </w:r>
    </w:p>
  </w:footnote>
  <w:footnote w:id="382">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 – P. 76.</w:t>
      </w:r>
    </w:p>
  </w:footnote>
  <w:footnote w:id="383">
    <w:p>
      <w:pPr>
        <w:pStyle w:val="FootnoteText"/>
      </w:pPr>
      <w:r>
        <w:rPr>
          <w:rStyle w:val="FootnoteReference"/>
        </w:rPr>
        <w:footnoteRef/>
      </w:r>
      <w:r>
        <w:t xml:space="preserve"> </w:t>
      </w:r>
      <w:r>
        <w:t xml:space="preserve">Tadqiqot natijasida muallif tomonidan quyidagi manbalar asosida ishlab chiqildi: Cargill T.F. The Financial System, Financial Regulation and Central Bank Policy. – Cambridge: Cambridge University Press, 2017. – P. 193; Оценка финансовой устойчивости кредитной организации: учебник / под ред. О.И. Лаврушина, И.Д. Мамоновой. – М.: КНОРУС, 2011. – С. 91–92.</w:t>
      </w:r>
    </w:p>
  </w:footnote>
  <w:footnote w:id="384">
    <w:p>
      <w:pPr>
        <w:pStyle w:val="FootnoteText"/>
      </w:pPr>
      <w:r>
        <w:rPr>
          <w:rStyle w:val="FootnoteReference"/>
        </w:rPr>
        <w:footnoteRef/>
      </w:r>
      <w:r>
        <w:t xml:space="preserve"> </w:t>
      </w:r>
      <w:r>
        <w:t xml:space="preserve">Cargill T.F. The Financial System, Financial Regulation and Central Bank Policy. – Cambridge: Cambridge University Press, 2017. – P. 193.</w:t>
      </w:r>
    </w:p>
  </w:footnote>
  <w:footnote w:id="385">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37–38,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48.</w:t>
      </w:r>
    </w:p>
  </w:footnote>
  <w:footnote w:id="386">
    <w:p>
      <w:pPr>
        <w:pStyle w:val="FootnoteText"/>
      </w:pPr>
      <w:r>
        <w:rPr>
          <w:rStyle w:val="FootnoteReference"/>
        </w:rPr>
        <w:footnoteRef/>
      </w:r>
      <w:r>
        <w:t xml:space="preserve"> </w:t>
      </w:r>
      <w:r>
        <w:t xml:space="preserve">Tadqiqot natijasida muallif tomonidan 3.1.5-jadval ma’lumotlari asosida ishlab chiqildi.</w:t>
      </w:r>
    </w:p>
  </w:footnote>
  <w:footnote w:id="387">
    <w:p>
      <w:pPr>
        <w:pStyle w:val="FootnoteText"/>
      </w:pPr>
      <w:r>
        <w:rPr>
          <w:rStyle w:val="FootnoteReference"/>
        </w:rPr>
        <w:footnoteRef/>
      </w:r>
      <w:r>
        <w:t xml:space="preserve"> </w:t>
      </w:r>
      <w:r>
        <w:t xml:space="preserve">Tadqiqot natijasida muallif tomonidan 3.1.3 va 3.1.5-jadvallar ma’lumotlari asosida hisoblandi.</w:t>
      </w:r>
    </w:p>
  </w:footnote>
  <w:footnote w:id="388">
    <w:p>
      <w:pPr>
        <w:pStyle w:val="FootnoteText"/>
      </w:pPr>
      <w:r>
        <w:rPr>
          <w:rStyle w:val="FootnoteReference"/>
        </w:rPr>
        <w:footnoteRef/>
      </w:r>
      <w:r>
        <w:t xml:space="preserve"> </w:t>
      </w:r>
      <w:r>
        <w:t xml:space="preserve">Tadqiqot natijasida muallif tomonidan quyidagi manbalar asosida ishlab chiqildi: Оценка финансовой устойчивости кредитной организации: учебник / под ред. О.И. Лаврушина, И.Д. Мамоновой. – М.: КНОРУС, 2011. – С. 91–92, 135–154; Cargill T.F. The Financial System, Financial Regulation and Central Bank Policy. – Cambridge: Cambridge University Press, 2017. – P. 193; International Monetary Fund. 2019 Financial Soundness Indicators Compilation Guide. – Washington, DC: IMF, 2019; Karaliyev T.M., Sayfiddinov I.F. Tijorat banklari faoliyatini tartibga solish va nazorati: darslik. – T.: Iqtisod-Moliya, 2019. – B. 208–213.</w:t>
      </w:r>
    </w:p>
  </w:footnote>
  <w:footnote w:id="389">
    <w:p>
      <w:pPr>
        <w:pStyle w:val="FootnoteText"/>
      </w:pPr>
      <w:r>
        <w:rPr>
          <w:rStyle w:val="FootnoteReference"/>
        </w:rPr>
        <w:footnoteRef/>
      </w:r>
      <w:r>
        <w:t xml:space="preserve"> </w:t>
      </w:r>
      <w:r>
        <w:t xml:space="preserve">Карминский А.М. Кредитные рейтинги и их моделирование. – М.: Изд. дом НИУ ВШЭ, 2015. – С. 89–91.</w:t>
      </w:r>
    </w:p>
  </w:footnote>
  <w:footnote w:id="390">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w:t>
      </w:r>
    </w:p>
  </w:footnote>
  <w:footnote w:id="391">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w:t>
      </w:r>
    </w:p>
  </w:footnote>
  <w:footnote w:id="392">
    <w:p>
      <w:pPr>
        <w:pStyle w:val="FootnoteText"/>
      </w:pPr>
      <w:r>
        <w:rPr>
          <w:rStyle w:val="FootnoteReference"/>
        </w:rPr>
        <w:footnoteRef/>
      </w:r>
      <w:r>
        <w:t xml:space="preserve"> </w:t>
      </w:r>
      <w:r>
        <w:t xml:space="preserve">O‘zbekiston Respublikasi Markaziy banki. Statistik byulleten: 2021-yil. – Toshkent, 2022. – 5.1.8b-jadval; O‘zbekiston Respublikasi Markaziy banki. Statistik byulleten: 2026-yil mart. – Toshkent, 2026. – 5.1.2, 5.1.3, 5.1.4, 5.1.6, 5.1.7, 5.1.8-jadvallar. – https://cbu.uz/uz/statistics/buleten/</w:t>
      </w:r>
    </w:p>
  </w:footnote>
  <w:footnote w:id="393">
    <w:p>
      <w:pPr>
        <w:pStyle w:val="FootnoteText"/>
      </w:pPr>
      <w:r>
        <w:rPr>
          <w:rStyle w:val="FootnoteReference"/>
        </w:rPr>
        <w:footnoteRef/>
      </w:r>
      <w:r>
        <w:t xml:space="preserve"> </w:t>
      </w:r>
      <w:r>
        <w:t xml:space="preserve">Joint Stock Commercial Bank «Uzbek Industrial and Construction Bank» and its subsidiaries. Consolidated Financial Statements for the year ended 31 December 2025 and Independent Auditor’s Report. – Tashkent, 2026. – P. 2–3.</w:t>
      </w:r>
    </w:p>
  </w:footnote>
  <w:footnote w:id="394">
    <w:p>
      <w:pPr>
        <w:pStyle w:val="FootnoteText"/>
      </w:pPr>
      <w:r>
        <w:rPr>
          <w:rStyle w:val="FootnoteReference"/>
        </w:rPr>
        <w:footnoteRef/>
      </w:r>
      <w:r>
        <w:t xml:space="preserve"> </w:t>
      </w:r>
      <w:r>
        <w:t xml:space="preserve">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395">
    <w:p>
      <w:pPr>
        <w:pStyle w:val="FootnoteText"/>
      </w:pPr>
      <w:r>
        <w:rPr>
          <w:rStyle w:val="FootnoteReference"/>
        </w:rPr>
        <w:footnoteRef/>
      </w:r>
      <w:r>
        <w:t xml:space="preserve"> </w:t>
      </w:r>
      <w:r>
        <w:t xml:space="preserve">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w:t>
      </w:r>
    </w:p>
  </w:footnote>
  <w:footnote w:id="396">
    <w:p>
      <w:pPr>
        <w:pStyle w:val="FootnoteText"/>
      </w:pPr>
      <w:r>
        <w:rPr>
          <w:rStyle w:val="FootnoteReference"/>
        </w:rPr>
        <w:footnoteRef/>
      </w:r>
      <w:r>
        <w:t xml:space="preserve"> </w:t>
      </w:r>
      <w:r>
        <w:t xml:space="preserve">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w:t>
      </w:r>
    </w:p>
  </w:footnote>
  <w:footnote w:id="397">
    <w:p>
      <w:pPr>
        <w:pStyle w:val="FootnoteText"/>
      </w:pPr>
      <w:r>
        <w:rPr>
          <w:rStyle w:val="FootnoteReference"/>
        </w:rPr>
        <w:footnoteRef/>
      </w:r>
      <w:r>
        <w:t xml:space="preserve"> </w:t>
      </w:r>
      <w:r>
        <w:t xml:space="preserve">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398">
    <w:p>
      <w:pPr>
        <w:pStyle w:val="FootnoteText"/>
      </w:pPr>
      <w:r>
        <w:rPr>
          <w:rStyle w:val="FootnoteReference"/>
        </w:rPr>
        <w:footnoteRef/>
      </w:r>
      <w:r>
        <w:t xml:space="preserve"> </w:t>
      </w:r>
      <w:r>
        <w:t xml:space="preserve">Joint-Stock Commercial</w:t>
      </w:r>
      <w:r>
        <w:t xml:space="preserve"> </w:t>
      </w:r>
      <w:r>
        <w:t xml:space="preserve">“</w:t>
      </w:r>
      <w:r>
        <w:t xml:space="preserve">Xalq Bank</w:t>
      </w:r>
      <w:r>
        <w:t xml:space="preserve">”</w:t>
      </w:r>
      <w:r>
        <w:t xml:space="preserve">. Consolidated financial statements and independent auditor’s report for the year ended 31 December 2022. – Tashkent: Ernst &amp; Young, 2023. – P. 8–10.</w:t>
      </w:r>
    </w:p>
  </w:footnote>
  <w:footnote w:id="399">
    <w:p>
      <w:pPr>
        <w:pStyle w:val="FootnoteText"/>
      </w:pPr>
      <w:r>
        <w:rPr>
          <w:rStyle w:val="FootnoteReference"/>
        </w:rPr>
        <w:footnoteRef/>
      </w:r>
      <w:r>
        <w:t xml:space="preserve"> </w:t>
      </w:r>
      <w:r>
        <w:t xml:space="preserve">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2023. – Tashkent: Ernst &amp; Young, 2024.</w:t>
      </w:r>
    </w:p>
  </w:footnote>
  <w:footnote w:id="400">
    <w:p>
      <w:pPr>
        <w:pStyle w:val="FootnoteText"/>
      </w:pPr>
      <w:r>
        <w:rPr>
          <w:rStyle w:val="FootnoteReference"/>
        </w:rPr>
        <w:footnoteRef/>
      </w:r>
      <w:r>
        <w:t xml:space="preserve"> </w:t>
      </w:r>
      <w:r>
        <w:t xml:space="preserve">Tadqiqot natijasida muallif tomonidan quyidagi manbalar asosida ishlab chiqildi: International Monetary Fund. 2019 Financial Soundness Indicators Compilation Guide. – Washington, DC: IMF, 2019; 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 «SNS» reyting agentligi. O‘zbekiston tijorat banklarining asosiy ko‘rsatkichlari bazasi (Banks_2025_IV, Banks_2026_II): 36 bank, 2021-yil IV chorak – 2026-yil II chorak.</w:t>
      </w:r>
    </w:p>
  </w:footnote>
  <w:footnote w:id="401">
    <w:p>
      <w:pPr>
        <w:pStyle w:val="FootnoteText"/>
      </w:pPr>
      <w:r>
        <w:rPr>
          <w:rStyle w:val="FootnoteReference"/>
        </w:rPr>
        <w:footnoteRef/>
      </w:r>
      <w:r>
        <w:t xml:space="preserve"> </w:t>
      </w:r>
      <w:r>
        <w:t xml:space="preserve">International Monetary Fund. 2019 Financial Soundness Indicators Compilation Guide. – Washington, DC: IMF, 2019.</w:t>
      </w:r>
    </w:p>
  </w:footnote>
  <w:footnote w:id="402">
    <w:p>
      <w:pPr>
        <w:pStyle w:val="FootnoteText"/>
      </w:pPr>
      <w:r>
        <w:rPr>
          <w:rStyle w:val="FootnoteReference"/>
        </w:rPr>
        <w:footnoteRef/>
      </w:r>
      <w:r>
        <w:t xml:space="preserve"> </w:t>
      </w:r>
      <w:r>
        <w:t xml:space="preserve">O‘zbekiston Respublikasi Markaziy banki Boshqaruvining 2015-yil 22-iyuldagi 19/14-son qarori bilan tasdiqlangan «Tijorat banklarining likvidliligini boshqarishga qo‘yiladigan talablar to‘g‘risida»gi nizom (ro‘yxat raqami 2709) // O‘zbekiston Respublikasi qonun hujjatlari to‘plami. – 2015. – 32 (688)-son. – 437-modda.</w:t>
      </w:r>
    </w:p>
  </w:footnote>
  <w:footnote w:id="403">
    <w:p>
      <w:pPr>
        <w:pStyle w:val="FootnoteText"/>
      </w:pPr>
      <w:r>
        <w:rPr>
          <w:rStyle w:val="FootnoteReference"/>
        </w:rPr>
        <w:footnoteRef/>
      </w:r>
      <w:r>
        <w:t xml:space="preserve"> </w:t>
      </w:r>
      <w:r>
        <w:t xml:space="preserve">«SNS» reyting agentligi. O‘zbekiston tijorat banklarining asosiy ko‘rsatkichlari bazasi (Banks_2025_IV, Banks_2026_II): 36 bank, 2021-yil IV chorak – 2026-yil II chorak.</w:t>
      </w:r>
    </w:p>
  </w:footnote>
  <w:footnote w:id="404">
    <w:p>
      <w:pPr>
        <w:pStyle w:val="FootnoteText"/>
      </w:pPr>
      <w:r>
        <w:rPr>
          <w:rStyle w:val="FootnoteReference"/>
        </w:rPr>
        <w:footnoteRef/>
      </w:r>
      <w:r>
        <w:t xml:space="preserve"> </w:t>
      </w:r>
      <w:r>
        <w:t xml:space="preserve">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w:t>
      </w:r>
    </w:p>
  </w:footnote>
  <w:footnote w:id="405">
    <w:p>
      <w:pPr>
        <w:pStyle w:val="FootnoteText"/>
      </w:pPr>
      <w:r>
        <w:rPr>
          <w:rStyle w:val="FootnoteReference"/>
        </w:rPr>
        <w:footnoteRef/>
      </w:r>
      <w:r>
        <w:t xml:space="preserve"> </w:t>
      </w:r>
      <w:r>
        <w:t xml:space="preserve">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w:t>
      </w:r>
    </w:p>
  </w:footnote>
  <w:footnote w:id="406">
    <w:p>
      <w:pPr>
        <w:pStyle w:val="FootnoteText"/>
      </w:pPr>
      <w:r>
        <w:rPr>
          <w:rStyle w:val="FootnoteReference"/>
        </w:rPr>
        <w:footnoteRef/>
      </w:r>
      <w:r>
        <w:t xml:space="preserve"> </w:t>
      </w:r>
      <w:r>
        <w:t xml:space="preserve">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w:t>
      </w:r>
    </w:p>
  </w:footnote>
  <w:footnote w:id="407">
    <w:p>
      <w:pPr>
        <w:pStyle w:val="FootnoteText"/>
      </w:pPr>
      <w:r>
        <w:rPr>
          <w:rStyle w:val="FootnoteReference"/>
        </w:rPr>
        <w:footnoteRef/>
      </w:r>
      <w:r>
        <w:t xml:space="preserve"> </w:t>
      </w:r>
      <w:r>
        <w:t xml:space="preserve">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408">
    <w:p>
      <w:pPr>
        <w:pStyle w:val="FootnoteText"/>
      </w:pPr>
      <w:r>
        <w:rPr>
          <w:rStyle w:val="FootnoteReference"/>
        </w:rPr>
        <w:footnoteRef/>
      </w:r>
      <w:r>
        <w:t xml:space="preserve"> </w:t>
      </w:r>
      <w:r>
        <w:t xml:space="preserve">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 «SNS» reyting agentligi. O‘zbekiston tijorat banklarining asosiy ko‘rsatkichlari bazasi (Banks_2025_IV, Banks_2026_II): 36 bank, 2021-yil IV chorak – 2026-yil II chorak.</w:t>
      </w:r>
    </w:p>
  </w:footnote>
  <w:footnote w:id="409">
    <w:p>
      <w:pPr>
        <w:pStyle w:val="FootnoteText"/>
      </w:pPr>
      <w:r>
        <w:rPr>
          <w:rStyle w:val="FootnoteReference"/>
        </w:rPr>
        <w:footnoteRef/>
      </w:r>
      <w:r>
        <w:t xml:space="preserve"> </w:t>
      </w:r>
      <w:r>
        <w:t xml:space="preserve">Tadqiqot natijasida muallif tomonidan 3.2.2-jadval ma’lumotlari asosida ishlab chiqildi.</w:t>
      </w:r>
    </w:p>
  </w:footnote>
  <w:footnote w:id="410">
    <w:p>
      <w:pPr>
        <w:pStyle w:val="FootnoteText"/>
      </w:pPr>
      <w:r>
        <w:rPr>
          <w:rStyle w:val="FootnoteReference"/>
        </w:rPr>
        <w:footnoteRef/>
      </w:r>
      <w:r>
        <w:t xml:space="preserve"> </w:t>
      </w:r>
      <w:r>
        <w:t xml:space="preserve">Tadqiqot natijasida muallif tomonidan 3.2.1-rasm ma’lumotlari asosida ishlab chiqildi.</w:t>
      </w:r>
    </w:p>
  </w:footnote>
  <w:footnote w:id="411">
    <w:p>
      <w:pPr>
        <w:pStyle w:val="FootnoteText"/>
      </w:pPr>
      <w:r>
        <w:rPr>
          <w:rStyle w:val="FootnoteReference"/>
        </w:rPr>
        <w:footnoteRef/>
      </w:r>
      <w:r>
        <w:t xml:space="preserve"> </w:t>
      </w:r>
      <w:r>
        <w:t xml:space="preserve">Tadqiqot natijasida muallif tomonidan hisoblandi: kapitalga kiritilgan mablag‘lar = xususiy kapitalning yillik o‘zgarishi − yil sof foydasi (boshqa umumlashgan daromad va dividendlar ham shu farqqa kiradi, shu sababli baho taxminiy). Manbalar: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412">
    <w:p>
      <w:pPr>
        <w:pStyle w:val="FootnoteText"/>
      </w:pPr>
      <w:r>
        <w:rPr>
          <w:rStyle w:val="FootnoteReference"/>
        </w:rPr>
        <w:footnoteRef/>
      </w:r>
      <w:r>
        <w:t xml:space="preserve"> </w:t>
      </w:r>
      <w:r>
        <w:t xml:space="preserve">Langohr H., Langohr P. The Rating Agencies and Their Credit Ratings: What They Are, How They Work and Why They Are Relevant. – Chichester: John Wiley &amp; Sons, 2008.</w:t>
      </w:r>
    </w:p>
  </w:footnote>
  <w:footnote w:id="413">
    <w:p>
      <w:pPr>
        <w:pStyle w:val="FootnoteText"/>
      </w:pPr>
      <w:r>
        <w:rPr>
          <w:rStyle w:val="FootnoteReference"/>
        </w:rPr>
        <w:footnoteRef/>
      </w:r>
      <w:r>
        <w:t xml:space="preserve"> </w:t>
      </w:r>
      <w:r>
        <w:t xml:space="preserve">Izzi L., Oricchio G., Vitale L. Basel III Credit Rating Systems: An Applied Guide to Quantitative and Qualitative Models. – Basingstoke: Palgrave Macmillan, 2012.</w:t>
      </w:r>
    </w:p>
  </w:footnote>
  <w:footnote w:id="414">
    <w:p>
      <w:pPr>
        <w:pStyle w:val="FootnoteText"/>
      </w:pPr>
      <w:r>
        <w:rPr>
          <w:rStyle w:val="FootnoteReference"/>
        </w:rPr>
        <w:footnoteRef/>
      </w:r>
      <w:r>
        <w:t xml:space="preserve"> </w:t>
      </w:r>
      <w:r>
        <w:t xml:space="preserve">Tadqiqot natijasida muallif tomonidan quyidagi manbalar ma’lumotlari asosida hisoblandi: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 Joint-Stock Commercial Bank</w:t>
      </w:r>
      <w:r>
        <w:t xml:space="preserve"> </w:t>
      </w:r>
      <w:r>
        <w:t xml:space="preserve">“</w:t>
      </w:r>
      <w:r>
        <w:t xml:space="preserve">Business Development Bank</w:t>
      </w:r>
      <w:r>
        <w:t xml:space="preserve">”</w:t>
      </w:r>
      <w:r>
        <w:t xml:space="preserve">. Consolidated Financial Statements for the year ended 31 December 2025 and Independent Auditors’ Report. – Tashkent: KPMG Audit, 2026. – https://brb.uz/bank-haqida/moliyaviy-korsatkichlar – P. 8–9, 33, 69; Joint-stock commercial</w:t>
      </w:r>
      <w:r>
        <w:t xml:space="preserve"> </w:t>
      </w:r>
      <w:r>
        <w:t xml:space="preserve">“</w:t>
      </w:r>
      <w:r>
        <w:t xml:space="preserve">Xalq Bank</w:t>
      </w:r>
      <w:r>
        <w:t xml:space="preserve">”</w:t>
      </w:r>
      <w:r>
        <w:t xml:space="preserve"> </w:t>
      </w:r>
      <w:r>
        <w:t xml:space="preserve">of the Republic of Uzbekistan. Consolidated financial statements and independent auditor’s report for the year ended 31 December 2025. – Tashkent: Ernst &amp; Young, 2026. – https://xb.uz/page/auditorlik-xulosalari-2 – P. 1–2, 12, 56; Joint Stock Commercial Mortgage Bank</w:t>
      </w:r>
      <w:r>
        <w:t xml:space="preserve"> </w:t>
      </w:r>
      <w:r>
        <w:t xml:space="preserve">“</w:t>
      </w:r>
      <w:r>
        <w:t xml:space="preserve">Ipoteka Bank</w:t>
      </w:r>
      <w:r>
        <w:t xml:space="preserve">”</w:t>
      </w:r>
      <w:r>
        <w:t xml:space="preserve"> </w:t>
      </w:r>
      <w:r>
        <w:t xml:space="preserve">and its subsidiaries. Consolidated Financial Statements and Independent Auditor’s Report for the year ended 31 December 2025. – Tashkent: Ernst &amp; Young, 2026. – https://www.ipotekabank.uz/en/about/investors/ – P. 1–2.</w:t>
      </w:r>
    </w:p>
  </w:footnote>
  <w:footnote w:id="415">
    <w:p>
      <w:pPr>
        <w:pStyle w:val="FootnoteText"/>
      </w:pPr>
      <w:r>
        <w:rPr>
          <w:rStyle w:val="FootnoteReference"/>
        </w:rPr>
        <w:footnoteRef/>
      </w:r>
      <w:r>
        <w:t xml:space="preserve"> </w:t>
      </w:r>
      <w:r>
        <w:t xml:space="preserve">«O‘zsanoatqurilishbank» ATB ning Markaziy bankka taqdim etilgan prudensial hisobot shakllari (crs003C, crs003L, crs003O): bank balansi, daromadlar, regulyativ kapital hisob-kitobi, aktivlarni tasniflash va prudensial me’yorlar jadvallari, 2020–2025-yillar 30-dekabr holatiga.</w:t>
      </w:r>
    </w:p>
  </w:footnote>
  <w:footnote w:id="416">
    <w:p>
      <w:pPr>
        <w:pStyle w:val="FootnoteText"/>
      </w:pPr>
      <w:r>
        <w:rPr>
          <w:rStyle w:val="FootnoteReference"/>
        </w:rPr>
        <w:footnoteRef/>
      </w:r>
      <w:r>
        <w:t xml:space="preserve"> </w:t>
      </w:r>
      <w:r>
        <w:t xml:space="preserve">«Mikrokreditbank» ATB ning Markaziy bankka taqdim etilgan prudensial hisobot shakllari (crs005C, crs005L, crs005O): bank balansi, daromadlar, regulyativ kapital hisob-kitobi, aktivlarni tasniflash va prudensial me’yorlar jadvallari, 2020–2025-yillar 30-dekabr holatiga.</w:t>
      </w:r>
    </w:p>
  </w:footnote>
  <w:footnote w:id="417">
    <w:p>
      <w:pPr>
        <w:pStyle w:val="FootnoteText"/>
      </w:pPr>
      <w:r>
        <w:rPr>
          <w:rStyle w:val="FootnoteReference"/>
        </w:rPr>
        <w:footnoteRef/>
      </w:r>
      <w:r>
        <w:t xml:space="preserve"> </w:t>
      </w:r>
      <w:r>
        <w:t xml:space="preserve">Tadqiqot natijasida muallif tomonidan quyidagi manbalar ma’lumotlari asosida hisoblandi: «O‘zsanoatqurilishbank» ATB ning Markaziy bankka taqdim etilgan prudensial hisobot shakllari (crs003C, crs003L, crs003O): bank balansi, daromadlar, regulyativ kapital hisob-kitobi, aktivlarni tasniflash va prudensial me’yorlar jadvallari, 2020–2025-yillar 30-dekabr holatiga; «Mikrokreditbank» ATB ning Markaziy bankka taqdim etilgan prudensial hisobot shakllari (crs005C, crs005L, crs005O): bank balansi, daromadlar, regulyativ kapital hisob-kitobi, aktivlarni tasniflash va prudensial me’yorlar jadvallari, 2020–2025-yillar 30-dekabr holatiga; Joint Stock Commercial Bank «Uzbek Industrial and Construction Bank» and its subsidiaries. Consolidated Financial Statements for the year ended 31 December 2025 and Independent Auditor’s Report. – Tashkent, 2026. – P. 2–3, 28–31, 74; Акционерно-коммерческий банк «Микрокредитбанк». Консолидированная финансовая отчетность за год, закончившийся 31 декабря 2025 года, и заключение независимых аудиторов. – Ташкент, 2026. – С. 11–12.</w:t>
      </w:r>
    </w:p>
  </w:footnote>
  <w:footnote w:id="418">
    <w:p>
      <w:pPr>
        <w:pStyle w:val="FootnoteText"/>
      </w:pPr>
      <w:r>
        <w:rPr>
          <w:rStyle w:val="FootnoteReference"/>
        </w:rPr>
        <w:footnoteRef/>
      </w:r>
      <w:r>
        <w:t xml:space="preserve"> </w:t>
      </w:r>
      <w:r>
        <w:t xml:space="preserve">Tadqiqot natijasida muallif tomonidan quyidagi manbalar ma’lumotlari asosida hisoblandi: «SNS» reyting agentligi. O‘zbekiston tijorat banklarining asosiy ko‘rsatkichlari bazasi (Banks_2025_IV, Banks_2026_II): 36 bank, 2021-yil IV chorak – 2026-yil II chorak.</w:t>
      </w:r>
    </w:p>
  </w:footnote>
  <w:footnote w:id="419">
    <w:p>
      <w:pPr>
        <w:pStyle w:val="FootnoteText"/>
      </w:pPr>
      <w:r>
        <w:rPr>
          <w:rStyle w:val="FootnoteReference"/>
        </w:rPr>
        <w:footnoteRef/>
      </w:r>
      <w:r>
        <w:t xml:space="preserve"> </w:t>
      </w:r>
      <w:r>
        <w:t xml:space="preserve">Tadqiqot natijasida muallif tomonidan quyidagi manbalar ma’lumotlari asosida hisoblandi: «SNS» reyting agentligi. O‘zbekiston tijorat banklarining asosiy ko‘rsatkichlari bazasi (Banks_2025_IV, Banks_2026_II): 36 bank, 2021-yil IV chorak – 2026-yil II chorak.</w:t>
      </w:r>
    </w:p>
  </w:footnote>
  <w:footnote w:id="420">
    <w:p>
      <w:pPr>
        <w:pStyle w:val="FootnoteText"/>
      </w:pPr>
      <w:r>
        <w:rPr>
          <w:rStyle w:val="FootnoteReference"/>
        </w:rPr>
        <w:footnoteRef/>
      </w:r>
      <w:r>
        <w:t xml:space="preserve"> </w:t>
      </w:r>
      <w:r>
        <w:t xml:space="preserve">Athanasoglou P.P., Brissimis S.N., Delis M.D. Bank-specific, industry-specific and macroeconomic determinants of bank profitability // Journal of International Financial Markets, Institutions and Money. – 2008. – Vol. 18, No. 2. – P. 121–136.</w:t>
      </w:r>
    </w:p>
  </w:footnote>
  <w:footnote w:id="421">
    <w:p>
      <w:pPr>
        <w:pStyle w:val="FootnoteText"/>
      </w:pPr>
      <w:r>
        <w:rPr>
          <w:rStyle w:val="FootnoteReference"/>
        </w:rPr>
        <w:footnoteRef/>
      </w:r>
      <w:r>
        <w:t xml:space="preserve"> </w:t>
      </w:r>
      <w:r>
        <w:t xml:space="preserve">Laeven L., Levine R. Bank governance, regulation and risk taking // Journal of Financial Economics. – 2009. – Vol. 93, No. 2. – P. 259–275.</w:t>
      </w:r>
    </w:p>
  </w:footnote>
  <w:footnote w:id="422">
    <w:p>
      <w:pPr>
        <w:pStyle w:val="FootnoteText"/>
      </w:pPr>
      <w:r>
        <w:rPr>
          <w:rStyle w:val="FootnoteReference"/>
        </w:rPr>
        <w:footnoteRef/>
      </w:r>
      <w:r>
        <w:t xml:space="preserve"> </w:t>
      </w:r>
      <w:r>
        <w:t xml:space="preserve">Бердияров Б.Т. Ўзбекистон Республикаси тижорат банкларининг ликвидлилиги ва тўлов қобилиятини таъминлаш масалалари: монография. – Т.: BMA, 2020.</w:t>
      </w:r>
    </w:p>
  </w:footnote>
  <w:footnote w:id="423">
    <w:p>
      <w:pPr>
        <w:pStyle w:val="FootnoteText"/>
      </w:pPr>
      <w:r>
        <w:rPr>
          <w:rStyle w:val="FootnoteReference"/>
        </w:rPr>
        <w:footnoteRef/>
      </w:r>
      <w:r>
        <w:t xml:space="preserve"> </w:t>
      </w:r>
      <w:r>
        <w:t xml:space="preserve">Tadqiqot natijasida muallif tomonidan quyidagi manbalar asosida ishlab chiqildi: Athanasoglou P.P., Brissimis S.N., Delis M.D. Bank-specific, industry-specific and macroeconomic determinants of bank profitability // Journal of International Financial Markets, Institutions and Money. – 2008. – Vol. 18, No. 2. – P. 121–136; Iannotta G., Nocera G., Sironi A. Ownership structure, risk and performance in the European banking industry // Journal of Banking &amp; Finance. – 2007. – Vol. 31, No. 7. – P. 2127–2149; Cornett M.M., Guo L., Khaksari S., Tehranian H. The impact of state ownership on performance differences in privately-owned versus state-owned banks: An international comparison // Journal of Financial Intermediation. – 2010. – Vol. 19, No. 1. – P. 74–94; Foos D., Norden L., Weber M. Loan growth and riskiness of banks // Journal of Banking &amp; Finance. – 2010. – Vol. 34, No. 12. – P. 2929–2940; Demirgüç-Kunt A., Huizinga H. Bank activity and funding strategies: The impact on risk and returns // Journal of Financial Economics. – 2010. – Vol. 98, No. 3. – P. 626–650; Louzis D.P., Vouldis A.T., Metaxas V.L. Macroeconomic and bank-specific determinants of non-performing loans in Greece: A comparative study of mortgage, business and consumer loan portfolios // Journal of Banking &amp; Finance. – 2012. – Vol. 36, No. 4. – P. 1012–1027; Beck R., Jakubík P., Piloiu A. Key Determinants of Non-performing Loans: New Evidence from a Global Sample // Open Economies Review. – 2015. – Vol. 26, No. 3. – P. 525–550.</w:t>
      </w:r>
    </w:p>
  </w:footnote>
  <w:footnote w:id="424">
    <w:p>
      <w:pPr>
        <w:pStyle w:val="FootnoteText"/>
      </w:pPr>
      <w:r>
        <w:rPr>
          <w:rStyle w:val="FootnoteReference"/>
        </w:rPr>
        <w:footnoteRef/>
      </w:r>
      <w:r>
        <w:t xml:space="preserve"> </w:t>
      </w:r>
      <w:r>
        <w:t xml:space="preserve">Iannotta G., Nocera G., Sironi A. Ownership structure, risk and performance in the European banking industry // Journal of Banking &amp; Finance. – 2007. – Vol. 31, No. 7. – P. 2127–2149.</w:t>
      </w:r>
    </w:p>
  </w:footnote>
  <w:footnote w:id="425">
    <w:p>
      <w:pPr>
        <w:pStyle w:val="FootnoteText"/>
      </w:pPr>
      <w:r>
        <w:rPr>
          <w:rStyle w:val="FootnoteReference"/>
        </w:rPr>
        <w:footnoteRef/>
      </w:r>
      <w:r>
        <w:t xml:space="preserve"> </w:t>
      </w:r>
      <w:r>
        <w:t xml:space="preserve">Cornett M.M., Guo L., Khaksari S., Tehranian H. The impact of state ownership on performance differences in privately-owned versus state-owned banks: An international comparison // Journal of Financial Intermediation. – 2010. – Vol. 19, No. 1. – P. 74–94.</w:t>
      </w:r>
    </w:p>
  </w:footnote>
  <w:footnote w:id="426">
    <w:p>
      <w:pPr>
        <w:pStyle w:val="FootnoteText"/>
      </w:pPr>
      <w:r>
        <w:rPr>
          <w:rStyle w:val="FootnoteReference"/>
        </w:rPr>
        <w:footnoteRef/>
      </w:r>
      <w:r>
        <w:t xml:space="preserve"> </w:t>
      </w:r>
      <w:r>
        <w:t xml:space="preserve">Foos D., Norden L., Weber M. Loan growth and riskiness of banks // Journal of Banking &amp; Finance. – 2010. – Vol. 34, No. 12. – P. 2929–2940.</w:t>
      </w:r>
    </w:p>
  </w:footnote>
  <w:footnote w:id="427">
    <w:p>
      <w:pPr>
        <w:pStyle w:val="FootnoteText"/>
      </w:pPr>
      <w:r>
        <w:rPr>
          <w:rStyle w:val="FootnoteReference"/>
        </w:rPr>
        <w:footnoteRef/>
      </w:r>
      <w:r>
        <w:t xml:space="preserve"> </w:t>
      </w:r>
      <w:r>
        <w:t xml:space="preserve">Demirgüç-Kunt A., Huizinga H. Bank activity and funding strategies: The impact on risk and returns // Journal of Financial Economics. – 2010. – Vol. 98, No. 3. – P. 626–650.</w:t>
      </w:r>
    </w:p>
  </w:footnote>
  <w:footnote w:id="428">
    <w:p>
      <w:pPr>
        <w:pStyle w:val="FootnoteText"/>
      </w:pPr>
      <w:r>
        <w:rPr>
          <w:rStyle w:val="FootnoteReference"/>
        </w:rPr>
        <w:footnoteRef/>
      </w:r>
      <w:r>
        <w:t xml:space="preserve"> </w:t>
      </w:r>
      <w:r>
        <w:t xml:space="preserve">Louzis D.P., Vouldis A.T., Metaxas V.L. Macroeconomic and bank-specific determinants of non-performing loans in Greece: A comparative study of mortgage, business and consumer loan portfolios // Journal of Banking &amp; Finance. – 2012. – Vol. 36, No. 4. – P. 1012–1027.</w:t>
      </w:r>
    </w:p>
  </w:footnote>
  <w:footnote w:id="429">
    <w:p>
      <w:pPr>
        <w:pStyle w:val="FootnoteText"/>
      </w:pPr>
      <w:r>
        <w:rPr>
          <w:rStyle w:val="FootnoteReference"/>
        </w:rPr>
        <w:footnoteRef/>
      </w:r>
      <w:r>
        <w:t xml:space="preserve"> </w:t>
      </w:r>
      <w:r>
        <w:t xml:space="preserve">Beck R., Jakubík P., Piloiu A. Key Determinants of Non-performing Loans: New Evidence from a Global Sample // Open Economies Review. – 2015. – Vol. 26, No. 3. – P. 525–550.</w:t>
      </w:r>
    </w:p>
  </w:footnote>
  <w:footnote w:id="430">
    <w:p>
      <w:pPr>
        <w:pStyle w:val="FootnoteText"/>
      </w:pPr>
      <w:r>
        <w:rPr>
          <w:rStyle w:val="FootnoteReference"/>
        </w:rPr>
        <w:footnoteRef/>
      </w:r>
      <w:r>
        <w:t xml:space="preserve"> </w:t>
      </w:r>
      <w:r>
        <w:t xml:space="preserve">Nkusu M. Nonperforming Loans and Macrofinancial Vulnerabilities in Advanced Economies: IMF Working Paper WP/11/161. – Washington, DC: International Monetary Fund, 2011.</w:t>
      </w:r>
    </w:p>
  </w:footnote>
  <w:footnote w:id="431">
    <w:p>
      <w:pPr>
        <w:pStyle w:val="FootnoteText"/>
      </w:pPr>
      <w:r>
        <w:rPr>
          <w:rStyle w:val="FootnoteReference"/>
        </w:rPr>
        <w:footnoteRef/>
      </w:r>
      <w:r>
        <w:t xml:space="preserve"> </w:t>
      </w:r>
      <w:r>
        <w:t xml:space="preserve">O‘zbekiston Respublikasi Markaziy banki. Banklar statistikasi: tijorat banklarining asosiy ko‘rsatkichlari va muammoli kreditlari to‘g‘risidagi oylik ma’lumotlar, 2021-yil aprel – 2026-yil yanvar. – https://cbu.uz/uz/statistics/bankstats/</w:t>
      </w:r>
    </w:p>
  </w:footnote>
  <w:footnote w:id="432">
    <w:p>
      <w:pPr>
        <w:pStyle w:val="FootnoteText"/>
      </w:pPr>
      <w:r>
        <w:rPr>
          <w:rStyle w:val="FootnoteReference"/>
        </w:rPr>
        <w:footnoteRef/>
      </w:r>
      <w:r>
        <w:t xml:space="preserve"> </w:t>
      </w:r>
      <w:r>
        <w:t xml:space="preserve">«SNS» reyting agentligi. O‘zbekiston tijorat banklarining asosiy ko‘rsatkichlari bazasi (Banks_2025_IV, Banks_2026_II): 36 bank, 2021-yil IV chorak – 2026-yil II chorak.</w:t>
      </w:r>
    </w:p>
  </w:footnote>
  <w:footnote w:id="433">
    <w:p>
      <w:pPr>
        <w:pStyle w:val="FootnoteText"/>
      </w:pPr>
      <w:r>
        <w:rPr>
          <w:rStyle w:val="FootnoteReference"/>
        </w:rPr>
        <w:footnoteRef/>
      </w:r>
      <w:r>
        <w:t xml:space="preserve"> </w:t>
      </w:r>
      <w:r>
        <w:t xml:space="preserve">O‘zbekiston Respublikasi Markaziy banki. Statistik byulleten: 2026-yil mart. – Toshkent, 2026. – 1.1, 1.2, 3.1, 3.7, 5.1-jadvallar. – https://cbu.uz/uz/statistics/buleten/</w:t>
      </w:r>
    </w:p>
  </w:footnote>
  <w:footnote w:id="434">
    <w:p>
      <w:pPr>
        <w:pStyle w:val="FootnoteText"/>
      </w:pPr>
      <w:r>
        <w:rPr>
          <w:rStyle w:val="FootnoteReference"/>
        </w:rPr>
        <w:footnoteRef/>
      </w:r>
      <w:r>
        <w:t xml:space="preserve"> </w:t>
      </w:r>
      <w:r>
        <w:t xml:space="preserve">Markaziy bank ma’lumotlari bilan «SNS» bazasi bank nomlari bo‘yicha birlashtirildi. «SNS» bazasidagi tekshiruvda aniqlangan xato qiymatlar («Mikrokreditbank» ATB ning 2021-yil IV va 2023-yil IV choraklaridagi, «Asaka bank» ATB ning 2022-yil I va 2023-yil I choraklaridagi, «Invest Finance bank» ATB ning 2022-yil IV choragidagi, «Tenge bank» ATB ning 2023-yil II choragidagi nolga teng kredit zaxiralari, «O‘zmilliybank» ATB ning 2022-yil IV choragidagi barcha qiymatlari) tahlildan chiqarildi. Manbalar: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w:t>
      </w:r>
    </w:p>
  </w:footnote>
  <w:footnote w:id="435">
    <w:p>
      <w:pPr>
        <w:pStyle w:val="FootnoteText"/>
      </w:pPr>
      <w:r>
        <w:rPr>
          <w:rStyle w:val="FootnoteReference"/>
        </w:rPr>
        <w:footnoteRef/>
      </w:r>
      <w:r>
        <w:t xml:space="preserve"> </w:t>
      </w:r>
      <w:r>
        <w:t xml:space="preserve">«Ipoteka-bank» ATB aksiyalarining nazorat paketi 2023-yilda OTP Bank guruhiga sotilganligi sababli bank 2023-yil III choragidan boshlab xususiy bank sifatida qaraldi. Tanlanmadagi boshqa davlat banklari: «O‘zmilliybank», «O‘zsanoatqurilishbank», «Agrobank», «Asaka bank», «Xalq banki», «Mikrokreditbank», «Biznesni rivojlantirish banki», «Aloqabank», «Turonbank» ATBlar.</w:t>
      </w:r>
    </w:p>
  </w:footnote>
  <w:footnote w:id="436">
    <w:p>
      <w:pPr>
        <w:pStyle w:val="FootnoteText"/>
      </w:pPr>
      <w:r>
        <w:rPr>
          <w:rStyle w:val="FootnoteReference"/>
        </w:rPr>
        <w:footnoteRef/>
      </w:r>
      <w:r>
        <w:t xml:space="preserve"> </w:t>
      </w:r>
      <w:r>
        <w:t xml:space="preserve">Roy A.D. Safety First and the Holding of Assets // Econometrica. – 1952. – Vol. 20, No. 3. – P. 431–449.</w:t>
      </w:r>
    </w:p>
  </w:footnote>
  <w:footnote w:id="437">
    <w:p>
      <w:pPr>
        <w:pStyle w:val="FootnoteText"/>
      </w:pPr>
      <w:r>
        <w:rPr>
          <w:rStyle w:val="FootnoteReference"/>
        </w:rPr>
        <w:footnoteRef/>
      </w:r>
      <w:r>
        <w:t xml:space="preserve"> </w:t>
      </w:r>
      <w:r>
        <w:t xml:space="preserve">Boyd J.H., Graham S.L. Risk, Regulation, and Bank Holding Company Expansion into Nonbanking // Federal Reserve Bank of Minneapolis Quarterly Review. – 1986. – Vol. 10, No. 2. – P. 2–17.</w:t>
      </w:r>
    </w:p>
  </w:footnote>
  <w:footnote w:id="438">
    <w:p>
      <w:pPr>
        <w:pStyle w:val="FootnoteText"/>
      </w:pPr>
      <w:r>
        <w:rPr>
          <w:rStyle w:val="FootnoteReference"/>
        </w:rPr>
        <w:footnoteRef/>
      </w:r>
      <w:r>
        <w:t xml:space="preserve"> </w:t>
      </w:r>
      <w:r>
        <w:t xml:space="preserve">Lepetit L., Strobel F. Bank insolvency risk and time-varying Z-score measures // Journal of International Financial Markets, Institutions and Money. – 2013. – Vol. 25. – P. 73–87.</w:t>
      </w:r>
    </w:p>
  </w:footnote>
  <w:footnote w:id="439">
    <w:p>
      <w:pPr>
        <w:pStyle w:val="FootnoteText"/>
      </w:pPr>
      <w:r>
        <w:rPr>
          <w:rStyle w:val="FootnoteReference"/>
        </w:rPr>
        <w:footnoteRef/>
      </w:r>
      <w:r>
        <w:t xml:space="preserve"> </w:t>
      </w:r>
      <w:r>
        <w:t xml:space="preserve">Tadqiqot natijasida muallif tomonidan quyidagi manbalar ma’lumotlari asosida hisoblandi: O‘zbekiston Respublikasi Markaziy banki. Banklar statistikasi: tijorat banklarining asosiy ko‘rsatkichlari va muammoli kreditlari to‘g‘risidagi oylik ma’lumotlar, 2021-yil aprel – 2026-yil yanvar. – https://cbu.uz/uz/statistics/bankstats/; «SNS» reyting agentligi. O‘zbekiston tijorat banklarining asosiy ko‘rsatkichlari bazasi (Banks_2025_IV, Banks_2026_II): 36 bank, 2021-yil IV chorak – 2026-yil II chorak; O‘zbekiston Respublikasi Markaziy banki. Statistik byulleten: 2026-yil mart. – Toshkent, 2026. – 1.1, 1.2, 3.1, 3.7, 5.1-jadvallar. – https://cbu.uz/uz/statistics/buleten/.</w:t>
      </w:r>
    </w:p>
  </w:footnote>
  <w:footnote w:id="440">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41">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42">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43">
    <w:p>
      <w:pPr>
        <w:pStyle w:val="FootnoteText"/>
      </w:pPr>
      <w:r>
        <w:rPr>
          <w:rStyle w:val="FootnoteReference"/>
        </w:rPr>
        <w:footnoteRef/>
      </w:r>
      <w:r>
        <w:t xml:space="preserve"> </w:t>
      </w:r>
      <w:r>
        <w:t xml:space="preserve">Baltagi B.H. Econometric Analysis of Panel Data. – 6th ed. – Cham: Springer, 2021.</w:t>
      </w:r>
    </w:p>
  </w:footnote>
  <w:footnote w:id="444">
    <w:p>
      <w:pPr>
        <w:pStyle w:val="FootnoteText"/>
      </w:pPr>
      <w:r>
        <w:rPr>
          <w:rStyle w:val="FootnoteReference"/>
        </w:rPr>
        <w:footnoteRef/>
      </w:r>
      <w:r>
        <w:t xml:space="preserve"> </w:t>
      </w:r>
      <w:r>
        <w:t xml:space="preserve">Wooldridge J.M. Econometric Analysis of Cross Section and Panel Data. – 2nd ed. – Cambridge, MA: MIT Press, 2010.</w:t>
      </w:r>
    </w:p>
  </w:footnote>
  <w:footnote w:id="445">
    <w:p>
      <w:pPr>
        <w:pStyle w:val="FootnoteText"/>
      </w:pPr>
      <w:r>
        <w:rPr>
          <w:rStyle w:val="FootnoteReference"/>
        </w:rPr>
        <w:footnoteRef/>
      </w:r>
      <w:r>
        <w:t xml:space="preserve"> </w:t>
      </w:r>
      <w:r>
        <w:t xml:space="preserve">Breusch T.S., Pagan A.R. The Lagrange Multiplier Test and its Applications to Model Specification in Econometrics // Review of Economic Studies. – 1980. – Vol. 47, No. 1. – P. 239–253.</w:t>
      </w:r>
    </w:p>
  </w:footnote>
  <w:footnote w:id="446">
    <w:p>
      <w:pPr>
        <w:pStyle w:val="FootnoteText"/>
      </w:pPr>
      <w:r>
        <w:rPr>
          <w:rStyle w:val="FootnoteReference"/>
        </w:rPr>
        <w:footnoteRef/>
      </w:r>
      <w:r>
        <w:t xml:space="preserve"> </w:t>
      </w:r>
      <w:r>
        <w:t xml:space="preserve">Hausman J.A. Specification Tests in Econometrics // Econometrica. – 1978. – Vol. 46, No. 6. – P. 1251–1271.</w:t>
      </w:r>
    </w:p>
  </w:footnote>
  <w:footnote w:id="447">
    <w:p>
      <w:pPr>
        <w:pStyle w:val="FootnoteText"/>
      </w:pPr>
      <w:r>
        <w:rPr>
          <w:rStyle w:val="FootnoteReference"/>
        </w:rPr>
        <w:footnoteRef/>
      </w:r>
      <w:r>
        <w:t xml:space="preserve"> </w:t>
      </w:r>
      <w:r>
        <w:t xml:space="preserve">Nickell S. Biases in Dynamic Models with Fixed Effects // Econometrica. – 1981. – Vol. 49, No. 6. – P. 1417–1426.</w:t>
      </w:r>
    </w:p>
  </w:footnote>
  <w:footnote w:id="448">
    <w:p>
      <w:pPr>
        <w:pStyle w:val="FootnoteText"/>
      </w:pPr>
      <w:r>
        <w:rPr>
          <w:rStyle w:val="FootnoteReference"/>
        </w:rPr>
        <w:footnoteRef/>
      </w:r>
      <w:r>
        <w:t xml:space="preserve"> </w:t>
      </w:r>
      <w:r>
        <w:t xml:space="preserve">Anderson T.W., Hsiao C. Estimation of Dynamic Models with Error Components // Journal of the American Statistical Association. – 1981. – Vol. 76, No. 375. – P. 598–606.</w:t>
      </w:r>
    </w:p>
  </w:footnote>
  <w:footnote w:id="449">
    <w:p>
      <w:pPr>
        <w:pStyle w:val="FootnoteText"/>
      </w:pPr>
      <w:r>
        <w:rPr>
          <w:rStyle w:val="FootnoteReference"/>
        </w:rPr>
        <w:footnoteRef/>
      </w:r>
      <w:r>
        <w:t xml:space="preserve"> </w:t>
      </w:r>
      <w:r>
        <w:t xml:space="preserve">Arellano M., Bond S. Some Tests of Specification for Panel Data: Monte Carlo Evidence and an Application to Employment Equations // Review of Economic Studies. – 1991. – Vol. 58, No. 2. – P. 277–297.</w:t>
      </w:r>
    </w:p>
  </w:footnote>
  <w:footnote w:id="450">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51">
    <w:p>
      <w:pPr>
        <w:pStyle w:val="FootnoteText"/>
      </w:pPr>
      <w:r>
        <w:rPr>
          <w:rStyle w:val="FootnoteReference"/>
        </w:rPr>
        <w:footnoteRef/>
      </w:r>
      <w:r>
        <w:t xml:space="preserve"> </w:t>
      </w:r>
      <w:r>
        <w:t xml:space="preserve">Demirgüç-Kunt A., Huizinga H. Bank activity and funding strategies: The impact on risk and returns // Journal of Financial Economics. – 2010. – Vol. 98, No. 3. – P. 626–650.</w:t>
      </w:r>
    </w:p>
  </w:footnote>
  <w:footnote w:id="452">
    <w:p>
      <w:pPr>
        <w:pStyle w:val="FootnoteText"/>
      </w:pPr>
      <w:r>
        <w:rPr>
          <w:rStyle w:val="FootnoteReference"/>
        </w:rPr>
        <w:footnoteRef/>
      </w:r>
      <w:r>
        <w:t xml:space="preserve"> </w:t>
      </w:r>
      <w:r>
        <w:t xml:space="preserve">Stock J.H., Yogo M. Testing for Weak Instruments in Linear IV Regression // Identification and Inference for Econometric Models: Essays in Honor of Thomas Rothenberg / ed. by D.W.K. Andrews, J.H. Stock. – Cambridge: Cambridge University Press, 2005. – P. 80–108.</w:t>
      </w:r>
    </w:p>
  </w:footnote>
  <w:footnote w:id="453">
    <w:p>
      <w:pPr>
        <w:pStyle w:val="FootnoteText"/>
      </w:pPr>
      <w:r>
        <w:rPr>
          <w:rStyle w:val="FootnoteReference"/>
        </w:rPr>
        <w:footnoteRef/>
      </w:r>
      <w:r>
        <w:t xml:space="preserve"> </w:t>
      </w:r>
      <w:r>
        <w:t xml:space="preserve">Athanasoglou P.P., Brissimis S.N., Delis M.D. Bank-specific, industry-specific and macroeconomic determinants of bank profitability // Journal of International Financial Markets, Institutions and Money. – 2008. – Vol. 18, No. 2. – P. 121–136.</w:t>
      </w:r>
    </w:p>
  </w:footnote>
  <w:footnote w:id="454">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55">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56">
    <w:p>
      <w:pPr>
        <w:pStyle w:val="FootnoteText"/>
      </w:pPr>
      <w:r>
        <w:rPr>
          <w:rStyle w:val="FootnoteReference"/>
        </w:rPr>
        <w:footnoteRef/>
      </w:r>
      <w:r>
        <w:t xml:space="preserve"> </w:t>
      </w:r>
      <w:r>
        <w:t xml:space="preserve">Foos D., Norden L., Weber M. Loan growth and riskiness of banks // Journal of Banking &amp; Finance. – 2010. – Vol. 34, No. 12. – P. 2929–2940.</w:t>
      </w:r>
    </w:p>
  </w:footnote>
  <w:footnote w:id="457">
    <w:p>
      <w:pPr>
        <w:pStyle w:val="FootnoteText"/>
      </w:pPr>
      <w:r>
        <w:rPr>
          <w:rStyle w:val="FootnoteReference"/>
        </w:rPr>
        <w:footnoteRef/>
      </w:r>
      <w:r>
        <w:t xml:space="preserve"> </w:t>
      </w:r>
      <w:r>
        <w:t xml:space="preserve">Tadqiqot natijasida muallif tomonidan 3.3.2-jadvalda ko‘rsatilgan manbalar ma’lumotlari asosida hisoblandi.</w:t>
      </w:r>
    </w:p>
  </w:footnote>
  <w:footnote w:id="458">
    <w:p>
      <w:pPr>
        <w:pStyle w:val="FootnoteText"/>
      </w:pPr>
      <w:r>
        <w:rPr>
          <w:rStyle w:val="FootnoteReference"/>
        </w:rPr>
        <w:footnoteRef/>
      </w:r>
      <w:r>
        <w:t xml:space="preserve"> </w:t>
      </w:r>
      <w:r>
        <w:t xml:space="preserve">Beck R., Jakubík P., Piloiu A. Key Determinants of Non-performing Loans: New Evidence from a Global Sample // Open Economies Review. – 2015. – Vol. 26, No. 3. – P. 525–550.</w:t>
      </w:r>
    </w:p>
  </w:footnote>
  <w:footnote w:id="459">
    <w:p>
      <w:pPr>
        <w:pStyle w:val="FootnoteText"/>
      </w:pPr>
      <w:r>
        <w:rPr>
          <w:rStyle w:val="FootnoteReference"/>
        </w:rPr>
        <w:footnoteRef/>
      </w:r>
      <w:r>
        <w:t xml:space="preserve"> </w:t>
      </w:r>
      <w:r>
        <w:t xml:space="preserve">Foos D., Norden L., Weber M. Loan growth and riskiness of banks // Journal of Banking &amp; Finance. – 2010. – Vol. 34, No. 12. – P. 2929–2940.</w:t>
      </w:r>
    </w:p>
  </w:footnote>
  <w:footnote w:id="460">
    <w:p>
      <w:pPr>
        <w:pStyle w:val="FootnoteText"/>
      </w:pPr>
      <w:r>
        <w:rPr>
          <w:rStyle w:val="FootnoteReference"/>
        </w:rPr>
        <w:footnoteRef/>
      </w:r>
      <w:r>
        <w:t xml:space="preserve"> </w:t>
      </w:r>
      <w:r>
        <w:t xml:space="preserve">Tadqiqot natijasida muallif tomonidan 3.3.3–3.3.6-jadvallar ma’lumotlari asosida ishlab chiqildi.</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027A7A79"/>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0">
    <w:nsid w:val="037D3990"/>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1">
    <w:nsid w:val="001476E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eastAsia="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jc w:val="center"/>
      <w:outlineLvl w:val="1"/>
    </w:pPr>
    <w:rPr>
      <w:rFonts w:asciiTheme="majorHAnsi" w:eastAsiaTheme="majorEastAsia" w:hAnsiTheme="majorHAnsi" w:cstheme="majorBidi" w:ascii="Times New Roman" w:hAnsi="Times New Roman" w:eastAsia="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customStyle="1" w:styleId="FirstParagraph" w:type="paragraph">
    <w:name w:val="First Paragraph"/>
    <w:basedOn w:val="BodyText"/>
    <w:next w:val="BodyText"/>
    <w:qFormat/>
    <w:rPr>
      <w:rFonts w:ascii="Times New Roman" w:hAnsi="Times New Roman"/>
    </w:rPr>
  </w:style>
  <w:style w:styleId="FootnoteReference" w:type="character">
    <w:name w:val="Footnote Reference"/>
    <w:basedOn w:val="BodyTextChar"/>
    <w:rPr>
      <w:rFonts w:ascii="Times New Roman" w:hAnsi="Times New Roman"/>
      <w:vertAlign w:val="superscript"/>
    </w:rPr>
  </w:style>
  <w:style w:styleId="FootnoteText" w:type="paragraph">
    <w:name w:val="Footnote Text"/>
    <w:basedOn w:val="Normal"/>
    <w:next w:val="FootnoteText"/>
    <w:uiPriority w:val="9"/>
    <w:unhideWhenUsed/>
    <w:qFormat/>
    <w:pPr>
      <w:spacing w:line="240" w:lineRule="auto" w:after="0"/>
      <w:ind w:firstLine="0"/>
      <w:jc w:val="both"/>
    </w:pPr>
    <w:rPr>
      <w:rFonts w:ascii="Times New Roman" w:hAnsi="Times New Roman"/>
      <w:sz w:val="20"/>
    </w:rPr>
  </w:style>
  <w:style w:default="1" w:styleId="Table" w:type="table">
    <w:name w:val="Table"/>
    <w:basedOn w:val="TableNormal"/>
    <w:semiHidden/>
    <w:unhideWhenUsed/>
    <w:qFormat/>
    <w:rPr>
      <w:rFonts w:ascii="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Compact" w:type="paragraph">
    <w:name w:val="Compact"/>
    <w:basedOn w:val="BodyText"/>
    <w:qFormat/>
    <w:pPr>
      <w:spacing w:after="36" w:before="36"/>
    </w:pPr>
    <w:rPr>
      <w:rFonts w:ascii="Times New Roman" w:hAnsi="Times New Roma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notes" Target="footnotes.xml"/><Relationship Id="rId11" Type="http://schemas.openxmlformats.org/officeDocument/2006/relationships/chart" Target="charts/chart1.xml"/><Relationship Id="rId12" Type="http://schemas.openxmlformats.org/officeDocument/2006/relationships/chart" Target="charts/chart2.xml"/><Relationship Id="rId13" Type="http://schemas.openxmlformats.org/officeDocument/2006/relationships/chart" Target="charts/chart3.xml"/><Relationship Id="rId14" Type="http://schemas.openxmlformats.org/officeDocument/2006/relationships/chart" Target="charts/chart4.xml"/><Relationship Id="rId15" Type="http://schemas.openxmlformats.org/officeDocument/2006/relationships/chart" Target="charts/chart5.xml"/><Relationship Id="rId16" Type="http://schemas.openxmlformats.org/officeDocument/2006/relationships/chart" Target="charts/chart6.xml"/><Relationship Id="rId17" Type="http://schemas.openxmlformats.org/officeDocument/2006/relationships/chart" Target="charts/chart7.xml"/><Relationship Id="rId18" Type="http://schemas.openxmlformats.org/officeDocument/2006/relationships/chart" Target="charts/chart8.xml"/><Relationship Id="rId19" Type="http://schemas.openxmlformats.org/officeDocument/2006/relationships/chart" Target="charts/chart9.xml"/><Relationship Id="rId20" Type="http://schemas.openxmlformats.org/officeDocument/2006/relationships/chart" Target="charts/chart10.xml"/><Relationship Id="rId21" Type="http://schemas.openxmlformats.org/officeDocument/2006/relationships/chart" Target="charts/chart11.xml"/><Relationship Id="rId22" Type="http://schemas.openxmlformats.org/officeDocument/2006/relationships/chart" Target="charts/chart12.xml"/><Relationship Id="rId23" Type="http://schemas.openxmlformats.org/officeDocument/2006/relationships/chart" Target="charts/chart13.xml"/><Relationship Id="rId24" Type="http://schemas.openxmlformats.org/officeDocument/2006/relationships/chart" Target="charts/chart14.xml"/><Relationship Id="rId25" Type="http://schemas.openxmlformats.org/officeDocument/2006/relationships/chart" Target="charts/chart15.xml"/><Relationship Id="rId26" Type="http://schemas.openxmlformats.org/officeDocument/2006/relationships/chart" Target="charts/chart16.xml"/><Relationship Id="rId27" Type="http://schemas.openxmlformats.org/officeDocument/2006/relationships/chart" Target="charts/chart17.xml"/><Relationship Id="rId28" Type="http://schemas.openxmlformats.org/officeDocument/2006/relationships/chart" Target="charts/chart18.xml"/><Relationship Id="rId29" Type="http://schemas.openxmlformats.org/officeDocument/2006/relationships/chart" Target="charts/chart19.xml"/><Relationship Id="rId30" Type="http://schemas.openxmlformats.org/officeDocument/2006/relationships/chart" Target="charts/chart20.xml"/><Relationship Id="rId31" Type="http://schemas.openxmlformats.org/officeDocument/2006/relationships/chart" Target="charts/chart21.xml"/><Relationship Id="rId32" Type="http://schemas.openxmlformats.org/officeDocument/2006/relationships/chart" Target="charts/chart22.xml"/><Relationship Id="rId33" Type="http://schemas.openxmlformats.org/officeDocument/2006/relationships/chart" Target="charts/chart23.xml"/><Relationship Id="rId34" Type="http://schemas.openxmlformats.org/officeDocument/2006/relationships/chart" Target="charts/chart24.xml"/><Relationship Id="rId35" Type="http://schemas.openxmlformats.org/officeDocument/2006/relationships/chart" Target="charts/chart25.xml"/><Relationship Id="rId36" Type="http://schemas.openxmlformats.org/officeDocument/2006/relationships/chart" Target="charts/chart26.xml"/><Relationship Id="rId37" Type="http://schemas.openxmlformats.org/officeDocument/2006/relationships/chart" Target="charts/chart27.xml"/><Relationship Id="rId38" Type="http://schemas.openxmlformats.org/officeDocument/2006/relationships/chart" Target="charts/chart28.xml"/><Relationship Id="rId39" Type="http://schemas.openxmlformats.org/officeDocument/2006/relationships/chart" Target="charts/chart29.xml"/><Relationship Id="rId40" Type="http://schemas.openxmlformats.org/officeDocument/2006/relationships/chart" Target="charts/chart30.xml"/><Relationship Id="rId41" Type="http://schemas.openxmlformats.org/officeDocument/2006/relationships/chart" Target="charts/chart31.xml"/><Relationship Id="rId42" Type="http://schemas.openxmlformats.org/officeDocument/2006/relationships/chart" Target="charts/chart32.xml"/><Relationship Id="rId43" Type="http://schemas.openxmlformats.org/officeDocument/2006/relationships/chart" Target="charts/chart33.xml"/><Relationship Id="rId44" Type="http://schemas.openxmlformats.org/officeDocument/2006/relationships/chart" Target="charts/chart3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Work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Worksheet4.xlsx"/></Relationships>
</file>

<file path=word/charts/_rels/chart5.xml.rels><?xml version='1.0' encoding='UTF-8' standalone='yes'?>
<Relationships xmlns="http://schemas.openxmlformats.org/package/2006/relationships"><Relationship Id="rId1" Type="http://schemas.openxmlformats.org/officeDocument/2006/relationships/package" Target="../embeddings/Microsoft_Excel_Worksheet5.xlsx"/></Relationships>
</file>

<file path=word/charts/_rels/chart6.xml.rels><?xml version='1.0' encoding='UTF-8' standalone='yes'?>
<Relationships xmlns="http://schemas.openxmlformats.org/package/2006/relationships"><Relationship Id="rId1" Type="http://schemas.openxmlformats.org/officeDocument/2006/relationships/package" Target="../embeddings/Microsoft_Excel_Worksheet6.xlsx"/></Relationships>
</file>

<file path=word/charts/_rels/chart7.xml.rels><?xml version='1.0' encoding='UTF-8' standalone='yes'?>
<Relationships xmlns="http://schemas.openxmlformats.org/package/2006/relationships"><Relationship Id="rId1" Type="http://schemas.openxmlformats.org/officeDocument/2006/relationships/package" Target="../embeddings/Microsoft_Excel_Worksheet7.xlsx"/></Relationships>
</file>

<file path=word/charts/_rels/chart8.xml.rels><?xml version='1.0' encoding='UTF-8' standalone='yes'?>
<Relationships xmlns="http://schemas.openxmlformats.org/package/2006/relationships"><Relationship Id="rId1" Type="http://schemas.openxmlformats.org/officeDocument/2006/relationships/package" Target="../embeddings/Microsoft_Excel_Worksheet8.xlsx"/></Relationships>
</file>

<file path=word/charts/_rels/chart9.xml.rels><?xml version='1.0' encoding='UTF-8' standalone='yes'?>
<Relationships xmlns="http://schemas.openxmlformats.org/package/2006/relationships"><Relationship Id="rId1" Type="http://schemas.openxmlformats.org/officeDocument/2006/relationships/package" Target="../embeddings/Microsoft_Excel_Worksheet9.xlsx"/></Relationships>
</file>

<file path=word/charts/_rels/chart10.xml.rels><?xml version='1.0' encoding='UTF-8' standalone='yes'?>
<Relationships xmlns="http://schemas.openxmlformats.org/package/2006/relationships"><Relationship Id="rId1" Type="http://schemas.openxmlformats.org/officeDocument/2006/relationships/package" Target="../embeddings/Microsoft_Excel_Worksheet10.xlsx"/></Relationships>
</file>

<file path=word/charts/_rels/chart11.xml.rels><?xml version='1.0' encoding='UTF-8' standalone='yes'?>
<Relationships xmlns="http://schemas.openxmlformats.org/package/2006/relationships"><Relationship Id="rId1" Type="http://schemas.openxmlformats.org/officeDocument/2006/relationships/package" Target="../embeddings/Microsoft_Excel_Worksheet11.xlsx"/></Relationships>
</file>

<file path=word/charts/_rels/chart12.xml.rels><?xml version='1.0' encoding='UTF-8' standalone='yes'?>
<Relationships xmlns="http://schemas.openxmlformats.org/package/2006/relationships"><Relationship Id="rId1" Type="http://schemas.openxmlformats.org/officeDocument/2006/relationships/package" Target="../embeddings/Microsoft_Excel_Worksheet12.xlsx"/></Relationships>
</file>

<file path=word/charts/_rels/chart13.xml.rels><?xml version='1.0' encoding='UTF-8' standalone='yes'?>
<Relationships xmlns="http://schemas.openxmlformats.org/package/2006/relationships"><Relationship Id="rId1" Type="http://schemas.openxmlformats.org/officeDocument/2006/relationships/package" Target="../embeddings/Microsoft_Excel_Worksheet13.xlsx"/></Relationships>
</file>

<file path=word/charts/_rels/chart14.xml.rels><?xml version='1.0' encoding='UTF-8' standalone='yes'?>
<Relationships xmlns="http://schemas.openxmlformats.org/package/2006/relationships"><Relationship Id="rId1" Type="http://schemas.openxmlformats.org/officeDocument/2006/relationships/package" Target="../embeddings/Microsoft_Excel_Worksheet14.xlsx"/></Relationships>
</file>

<file path=word/charts/_rels/chart15.xml.rels><?xml version='1.0' encoding='UTF-8' standalone='yes'?>
<Relationships xmlns="http://schemas.openxmlformats.org/package/2006/relationships"><Relationship Id="rId1" Type="http://schemas.openxmlformats.org/officeDocument/2006/relationships/package" Target="../embeddings/Microsoft_Excel_Worksheet15.xlsx"/></Relationships>
</file>

<file path=word/charts/_rels/chart16.xml.rels><?xml version='1.0' encoding='UTF-8' standalone='yes'?>
<Relationships xmlns="http://schemas.openxmlformats.org/package/2006/relationships"><Relationship Id="rId1" Type="http://schemas.openxmlformats.org/officeDocument/2006/relationships/package" Target="../embeddings/Microsoft_Excel_Worksheet16.xlsx"/></Relationships>
</file>

<file path=word/charts/_rels/chart17.xml.rels><?xml version='1.0' encoding='UTF-8' standalone='yes'?>
<Relationships xmlns="http://schemas.openxmlformats.org/package/2006/relationships"><Relationship Id="rId1" Type="http://schemas.openxmlformats.org/officeDocument/2006/relationships/package" Target="../embeddings/Microsoft_Excel_Worksheet17.xlsx"/></Relationships>
</file>

<file path=word/charts/_rels/chart18.xml.rels><?xml version='1.0' encoding='UTF-8' standalone='yes'?>
<Relationships xmlns="http://schemas.openxmlformats.org/package/2006/relationships"><Relationship Id="rId1" Type="http://schemas.openxmlformats.org/officeDocument/2006/relationships/package" Target="../embeddings/Microsoft_Excel_Worksheet18.xlsx"/></Relationships>
</file>

<file path=word/charts/_rels/chart19.xml.rels><?xml version='1.0' encoding='UTF-8' standalone='yes'?>
<Relationships xmlns="http://schemas.openxmlformats.org/package/2006/relationships"><Relationship Id="rId1" Type="http://schemas.openxmlformats.org/officeDocument/2006/relationships/package" Target="../embeddings/Microsoft_Excel_Worksheet19.xlsx"/></Relationships>
</file>

<file path=word/charts/_rels/chart20.xml.rels><?xml version='1.0' encoding='UTF-8' standalone='yes'?>
<Relationships xmlns="http://schemas.openxmlformats.org/package/2006/relationships"><Relationship Id="rId1" Type="http://schemas.openxmlformats.org/officeDocument/2006/relationships/package" Target="../embeddings/Microsoft_Excel_Worksheet20.xlsx"/></Relationships>
</file>

<file path=word/charts/_rels/chart21.xml.rels><?xml version='1.0' encoding='UTF-8' standalone='yes'?>
<Relationships xmlns="http://schemas.openxmlformats.org/package/2006/relationships"><Relationship Id="rId1" Type="http://schemas.openxmlformats.org/officeDocument/2006/relationships/package" Target="../embeddings/Microsoft_Excel_Worksheet21.xlsx"/></Relationships>
</file>

<file path=word/charts/_rels/chart22.xml.rels><?xml version='1.0' encoding='UTF-8' standalone='yes'?>
<Relationships xmlns="http://schemas.openxmlformats.org/package/2006/relationships"><Relationship Id="rId1" Type="http://schemas.openxmlformats.org/officeDocument/2006/relationships/package" Target="../embeddings/Microsoft_Excel_Worksheet22.xlsx"/></Relationships>
</file>

<file path=word/charts/_rels/chart23.xml.rels><?xml version='1.0' encoding='UTF-8' standalone='yes'?>
<Relationships xmlns="http://schemas.openxmlformats.org/package/2006/relationships"><Relationship Id="rId1" Type="http://schemas.openxmlformats.org/officeDocument/2006/relationships/package" Target="../embeddings/Microsoft_Excel_Worksheet23.xlsx"/></Relationships>
</file>

<file path=word/charts/_rels/chart24.xml.rels><?xml version='1.0' encoding='UTF-8' standalone='yes'?>
<Relationships xmlns="http://schemas.openxmlformats.org/package/2006/relationships"><Relationship Id="rId1" Type="http://schemas.openxmlformats.org/officeDocument/2006/relationships/package" Target="../embeddings/Microsoft_Excel_Worksheet24.xlsx"/></Relationships>
</file>

<file path=word/charts/_rels/chart25.xml.rels><?xml version='1.0' encoding='UTF-8' standalone='yes'?>
<Relationships xmlns="http://schemas.openxmlformats.org/package/2006/relationships"><Relationship Id="rId1" Type="http://schemas.openxmlformats.org/officeDocument/2006/relationships/package" Target="../embeddings/Microsoft_Excel_Worksheet25.xlsx"/></Relationships>
</file>

<file path=word/charts/_rels/chart26.xml.rels><?xml version='1.0' encoding='UTF-8' standalone='yes'?>
<Relationships xmlns="http://schemas.openxmlformats.org/package/2006/relationships"><Relationship Id="rId1" Type="http://schemas.openxmlformats.org/officeDocument/2006/relationships/package" Target="../embeddings/Microsoft_Excel_Worksheet26.xlsx"/></Relationships>
</file>

<file path=word/charts/_rels/chart27.xml.rels><?xml version='1.0' encoding='UTF-8' standalone='yes'?>
<Relationships xmlns="http://schemas.openxmlformats.org/package/2006/relationships"><Relationship Id="rId1" Type="http://schemas.openxmlformats.org/officeDocument/2006/relationships/package" Target="../embeddings/Microsoft_Excel_Worksheet27.xlsx"/></Relationships>
</file>

<file path=word/charts/_rels/chart28.xml.rels><?xml version='1.0' encoding='UTF-8' standalone='yes'?>
<Relationships xmlns="http://schemas.openxmlformats.org/package/2006/relationships"><Relationship Id="rId1" Type="http://schemas.openxmlformats.org/officeDocument/2006/relationships/package" Target="../embeddings/Microsoft_Excel_Worksheet28.xlsx"/></Relationships>
</file>

<file path=word/charts/_rels/chart29.xml.rels><?xml version='1.0' encoding='UTF-8' standalone='yes'?>
<Relationships xmlns="http://schemas.openxmlformats.org/package/2006/relationships"><Relationship Id="rId1" Type="http://schemas.openxmlformats.org/officeDocument/2006/relationships/package" Target="../embeddings/Microsoft_Excel_Worksheet29.xlsx"/></Relationships>
</file>

<file path=word/charts/_rels/chart30.xml.rels><?xml version='1.0' encoding='UTF-8' standalone='yes'?>
<Relationships xmlns="http://schemas.openxmlformats.org/package/2006/relationships"><Relationship Id="rId1" Type="http://schemas.openxmlformats.org/officeDocument/2006/relationships/package" Target="../embeddings/Microsoft_Excel_Worksheet30.xlsx"/></Relationships>
</file>

<file path=word/charts/_rels/chart31.xml.rels><?xml version='1.0' encoding='UTF-8' standalone='yes'?>
<Relationships xmlns="http://schemas.openxmlformats.org/package/2006/relationships"><Relationship Id="rId1" Type="http://schemas.openxmlformats.org/officeDocument/2006/relationships/package" Target="../embeddings/Microsoft_Excel_Worksheet31.xlsx"/></Relationships>
</file>

<file path=word/charts/_rels/chart32.xml.rels><?xml version='1.0' encoding='UTF-8' standalone='yes'?>
<Relationships xmlns="http://schemas.openxmlformats.org/package/2006/relationships"><Relationship Id="rId1" Type="http://schemas.openxmlformats.org/officeDocument/2006/relationships/package" Target="../embeddings/Microsoft_Excel_Worksheet32.xlsx"/></Relationships>
</file>

<file path=word/charts/_rels/chart33.xml.rels><?xml version='1.0' encoding='UTF-8' standalone='yes'?>
<Relationships xmlns="http://schemas.openxmlformats.org/package/2006/relationships"><Relationship Id="rId1" Type="http://schemas.openxmlformats.org/officeDocument/2006/relationships/package" Target="../embeddings/Microsoft_Excel_Worksheet33.xlsx"/></Relationships>
</file>

<file path=word/charts/_rels/chart34.xml.rels><?xml version='1.0' encoding='UTF-8' standalone='yes'?>
<Relationships xmlns="http://schemas.openxmlformats.org/package/2006/relationships"><Relationship Id="rId1" Type="http://schemas.openxmlformats.org/officeDocument/2006/relationships/package" Target="../embeddings/Microsoft_Excel_Worksheet3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banklar ulushi</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Aktivlar sifatining
yomonligi</c:v>
                </c:pt>
                <c:pt idx="1">
                  <c:v>Rejalashtirish va
boshqaruv zaifligi</c:v>
                </c:pt>
                <c:pt idx="2">
                  <c:v>Ichki auditning
yo‘qligi</c:v>
                </c:pt>
                <c:pt idx="3">
                  <c:v>Firibgarlik</c:v>
                </c:pt>
              </c:strCache>
            </c:strRef>
          </c:cat>
          <c:val>
            <c:numRef>
              <c:f>Sheet1!$B$2:$B$5</c:f>
              <c:numCache>
                <c:formatCode>General</c:formatCode>
                <c:ptCount val="4"/>
                <c:pt idx="0">
                  <c:v>98</c:v>
                </c:pt>
                <c:pt idx="1">
                  <c:v>90</c:v>
                </c:pt>
                <c:pt idx="2">
                  <c:v>25</c:v>
                </c:pt>
                <c:pt idx="3">
                  <c:v>11</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Muammoli banklar sonidagi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banklar to‘g‘ri aniqlangan</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Faqat Z-score</c:v>
                </c:pt>
                <c:pt idx="1">
                  <c:v>To‘liq model</c:v>
                </c:pt>
                <c:pt idx="2">
                  <c:v>To‘liq model
(inqiroz davri)</c:v>
                </c:pt>
              </c:strCache>
            </c:strRef>
          </c:cat>
          <c:val>
            <c:numRef>
              <c:f>Sheet1!$B$2:$B$4</c:f>
              <c:numCache>
                <c:formatCode>General</c:formatCode>
                <c:ptCount val="3"/>
                <c:pt idx="0">
                  <c:v>75</c:v>
                </c:pt>
                <c:pt idx="1">
                  <c:v>81</c:v>
                </c:pt>
                <c:pt idx="2">
                  <c:v>91</c:v>
                </c:pt>
              </c:numCache>
            </c:numRef>
          </c:val>
        </c:ser>
        <c:ser>
          <c:idx val="1"/>
          <c:order val="1"/>
          <c:tx>
            <c:strRef>
              <c:f>Sheet1!$C$1</c:f>
              <c:strCache>
                <c:ptCount val="1"/>
                <c:pt idx="0">
                  <c:v>Sog‘lom banklar to‘g‘ri aniqlangan</c:v>
                </c:pt>
              </c:strCache>
            </c:strRef>
          </c:tx>
          <c:spPr>
            <a:solidFill>
              <a:srgbClr val="2A78D6"/>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Faqat Z-score</c:v>
                </c:pt>
                <c:pt idx="1">
                  <c:v>To‘liq model</c:v>
                </c:pt>
                <c:pt idx="2">
                  <c:v>To‘liq model
(inqiroz davri)</c:v>
                </c:pt>
              </c:strCache>
            </c:strRef>
          </c:cat>
          <c:val>
            <c:numRef>
              <c:f>Sheet1!$C$2:$C$4</c:f>
              <c:numCache>
                <c:formatCode>General</c:formatCode>
                <c:ptCount val="3"/>
                <c:pt idx="0">
                  <c:v>81</c:v>
                </c:pt>
                <c:pt idx="1">
                  <c:v>87</c:v>
                </c:pt>
                <c:pt idx="2">
                  <c:v>83</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To‘g‘ri tasniflash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Asosiy kapital (CET1)</c:v>
                </c:pt>
              </c:strCache>
            </c:strRef>
          </c:tx>
          <c:spPr>
            <a:solidFill>
              <a:srgbClr val="1F4E79"/>
            </a:solidFill>
            <a:ln w="6350">
              <a:solidFill>
                <a:srgbClr val="FFFFFF"/>
              </a:solidFill>
            </a:ln>
          </c:spPr>
          <c:invertIfNegative val="0"/>
          <c:dLbls>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Sheet1!$B$2:$B$3</c:f>
              <c:numCache>
                <c:formatCode>General</c:formatCode>
                <c:ptCount val="2"/>
                <c:pt idx="0">
                  <c:v>2</c:v>
                </c:pt>
                <c:pt idx="1">
                  <c:v>4.5</c:v>
                </c:pt>
              </c:numCache>
            </c:numRef>
          </c:val>
        </c:ser>
        <c:ser>
          <c:idx val="1"/>
          <c:order val="1"/>
          <c:tx>
            <c:strRef>
              <c:f>Sheet1!$C$1</c:f>
              <c:strCache>
                <c:ptCount val="1"/>
                <c:pt idx="0">
                  <c:v>Qo‘shimcha birinchi darajali kapital</c:v>
                </c:pt>
              </c:strCache>
            </c:strRef>
          </c:tx>
          <c:spPr>
            <a:solidFill>
              <a:srgbClr val="9DC3E6"/>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Sheet1!$C$2:$C$3</c:f>
              <c:numCache>
                <c:formatCode>General</c:formatCode>
                <c:ptCount val="2"/>
                <c:pt idx="0">
                  <c:v>2</c:v>
                </c:pt>
                <c:pt idx="1">
                  <c:v>1.5</c:v>
                </c:pt>
              </c:numCache>
            </c:numRef>
          </c:val>
        </c:ser>
        <c:ser>
          <c:idx val="2"/>
          <c:order val="2"/>
          <c:tx>
            <c:strRef>
              <c:f>Sheet1!$D$1</c:f>
              <c:strCache>
                <c:ptCount val="1"/>
                <c:pt idx="0">
                  <c:v>Ikkinchi darajali kapital</c:v>
                </c:pt>
              </c:strCache>
            </c:strRef>
          </c:tx>
          <c:spPr>
            <a:solidFill>
              <a:srgbClr val="A5A5A5"/>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Sheet1!$D$2:$D$3</c:f>
              <c:numCache>
                <c:formatCode>General</c:formatCode>
                <c:ptCount val="2"/>
                <c:pt idx="0">
                  <c:v>4</c:v>
                </c:pt>
                <c:pt idx="1">
                  <c:v>2</c:v>
                </c:pt>
              </c:numCache>
            </c:numRef>
          </c:val>
        </c:ser>
        <c:ser>
          <c:idx val="3"/>
          <c:order val="3"/>
          <c:tx>
            <c:strRef>
              <c:f>Sheet1!$E$1</c:f>
              <c:strCache>
                <c:ptCount val="1"/>
                <c:pt idx="0">
                  <c:v>Konservatsiya buferi</c:v>
                </c:pt>
              </c:strCache>
            </c:strRef>
          </c:tx>
          <c:spPr>
            <a:solidFill>
              <a:srgbClr val="EB6834"/>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Sheet1!$E$2:$E$3</c:f>
              <c:numCache>
                <c:formatCode>General</c:formatCode>
                <c:ptCount val="2"/>
                <c:pt idx="1">
                  <c:v>2.5</c:v>
                </c:pt>
              </c:numCache>
            </c:numRef>
          </c:val>
        </c:ser>
        <c:ser>
          <c:idx val="4"/>
          <c:order val="4"/>
          <c:tx>
            <c:strRef>
              <c:f>Sheet1!$F$1</c:f>
              <c:strCache>
                <c:ptCount val="1"/>
                <c:pt idx="0">
                  <c:v>Kontrsiklik bufer (0–2,5%)</c:v>
                </c:pt>
              </c:strCache>
            </c:strRef>
          </c:tx>
          <c:spPr>
            <a:solidFill>
              <a:srgbClr val="FFC000"/>
            </a:solidFill>
            <a:ln w="6350">
              <a:solidFill>
                <a:srgbClr val="FFFFFF"/>
              </a:solidFill>
            </a:ln>
          </c:spPr>
          <c:invertIfNegative val="0"/>
          <c:dLbls>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Bazel II</c:v>
                </c:pt>
                <c:pt idx="1">
                  <c:v>Bazel III</c:v>
                </c:pt>
              </c:strCache>
            </c:strRef>
          </c:cat>
          <c:val>
            <c:numRef>
              <c:f>Sheet1!$F$2:$F$3</c:f>
              <c:numCache>
                <c:formatCode>General</c:formatCode>
                <c:ptCount val="2"/>
                <c:pt idx="1">
                  <c:v>2.5</c:v>
                </c:pt>
              </c:numCache>
            </c:numRef>
          </c:val>
        </c:ser>
        <c:gapWidth val="9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Taqsimlanmaydigan foyda ulushi</c:v>
                </c:pt>
              </c:strCache>
            </c:strRef>
          </c:tx>
          <c:spPr>
            <a:ln w="34925">
              <a:solidFill>
                <a:srgbClr val="2A78D6"/>
              </a:solidFill>
            </a:ln>
          </c:spPr>
          <c:marker>
            <c:symbol val="none"/>
          </c:marker>
          <c:xVal>
            <c:numRef>
              <c:f>Sheet1!$A$2:$A$11</c:f>
              <c:numCache>
                <c:formatCode>General</c:formatCode>
                <c:ptCount val="10"/>
                <c:pt idx="0">
                  <c:v>4.5</c:v>
                </c:pt>
                <c:pt idx="1">
                  <c:v>5.125</c:v>
                </c:pt>
                <c:pt idx="2">
                  <c:v>5.125</c:v>
                </c:pt>
                <c:pt idx="3">
                  <c:v>5.75</c:v>
                </c:pt>
                <c:pt idx="4">
                  <c:v>5.75</c:v>
                </c:pt>
                <c:pt idx="5">
                  <c:v>6.375</c:v>
                </c:pt>
                <c:pt idx="6">
                  <c:v>6.375</c:v>
                </c:pt>
                <c:pt idx="7">
                  <c:v>7.0</c:v>
                </c:pt>
                <c:pt idx="8">
                  <c:v>7.0</c:v>
                </c:pt>
                <c:pt idx="9">
                  <c:v>7.625</c:v>
                </c:pt>
              </c:numCache>
            </c:numRef>
          </c:xVal>
          <c:yVal>
            <c:numRef>
              <c:f>Sheet1!$B$2:$B$11</c:f>
              <c:numCache>
                <c:formatCode>General</c:formatCode>
                <c:ptCount val="10"/>
                <c:pt idx="0">
                  <c:v>100</c:v>
                </c:pt>
                <c:pt idx="1">
                  <c:v>100</c:v>
                </c:pt>
                <c:pt idx="2">
                  <c:v>80</c:v>
                </c:pt>
                <c:pt idx="3">
                  <c:v>80</c:v>
                </c:pt>
                <c:pt idx="4">
                  <c:v>60</c:v>
                </c:pt>
                <c:pt idx="5">
                  <c:v>60</c:v>
                </c:pt>
                <c:pt idx="6">
                  <c:v>40</c:v>
                </c:pt>
                <c:pt idx="7">
                  <c:v>40</c:v>
                </c:pt>
                <c:pt idx="8">
                  <c:v>0</c:v>
                </c:pt>
                <c:pt idx="9">
                  <c:v>0</c:v>
                </c:pt>
              </c:numCache>
            </c:numRef>
          </c:yVal>
          <c:smooth val="0"/>
        </c:ser>
        <c:ser>
          <c:idx val="1"/>
          <c:order val="1"/>
          <c:tx>
            <c:strRef>
              <c:f>Sheet1!$D$1</c:f>
              <c:strCache>
                <c:ptCount val="1"/>
                <c:pt idx="0">
                  <c:v>Pog‘ona chegaralari</c:v>
                </c:pt>
              </c:strCache>
            </c:strRef>
          </c:tx>
          <c:spPr>
            <a:ln>
              <a:noFill/>
            </a:ln>
          </c:spPr>
          <c:marker>
            <c:symbol val="circle"/>
            <c:size val="7"/>
            <c:spPr>
              <a:solidFill>
                <a:srgbClr val="EB6834"/>
              </a:solidFill>
              <a:ln>
                <a:noFill/>
              </a:ln>
            </c:spPr>
          </c:marker>
          <c:xVal>
            <c:numRef>
              <c:f>Sheet1!$C$2:$C$6</c:f>
              <c:numCache>
                <c:formatCode>General</c:formatCode>
                <c:ptCount val="5"/>
                <c:pt idx="0">
                  <c:v>4.5</c:v>
                </c:pt>
                <c:pt idx="1">
                  <c:v>5.125</c:v>
                </c:pt>
                <c:pt idx="2">
                  <c:v>5.75</c:v>
                </c:pt>
                <c:pt idx="3">
                  <c:v>6.375</c:v>
                </c:pt>
                <c:pt idx="4">
                  <c:v>7.0</c:v>
                </c:pt>
              </c:numCache>
            </c:numRef>
          </c:xVal>
          <c:yVal>
            <c:numRef>
              <c:f>Sheet1!$D$2:$D$6</c:f>
              <c:numCache>
                <c:formatCode>General</c:formatCode>
                <c:ptCount val="5"/>
                <c:pt idx="0">
                  <c:v>100</c:v>
                </c:pt>
                <c:pt idx="1">
                  <c:v>80</c:v>
                </c:pt>
                <c:pt idx="2">
                  <c:v>60</c:v>
                </c:pt>
                <c:pt idx="3">
                  <c:v>40</c:v>
                </c:pt>
                <c:pt idx="4">
                  <c:v>0</c:v>
                </c:pt>
              </c:numCache>
            </c:numRef>
          </c:yVal>
          <c:smooth val="0"/>
        </c:ser>
        <c:axId val="333"/>
        <c:axId val="444"/>
      </c:scatterChart>
      <c:valAx>
        <c:axId val="333"/>
        <c:scaling>
          <c:orientation val="minMax"/>
          <c:max val="7.625"/>
          <c:min val="4.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Asosiy kapital (CET1) yetarliligi, %</a:t>
                </a:r>
              </a:p>
            </c:rich>
          </c:tx>
          <c:overlay val="0"/>
        </c:title>
        <c:numFmt formatCode="0.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0.625"/>
      </c:valAx>
      <c:valAx>
        <c:axId val="444"/>
        <c:scaling>
          <c:orientation val="minMax"/>
          <c:max val="11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Taqsimlanmasdan qoldiriladigan foyda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UBSS tizimi</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To‘g‘ri bashorat</c:v>
                </c:pt>
                <c:pt idx="1">
                  <c:v>Birinchi tur xatosi</c:v>
                </c:pt>
                <c:pt idx="2">
                  <c:v>Ikkinchi tur xatosi</c:v>
                </c:pt>
              </c:strCache>
            </c:strRef>
          </c:cat>
          <c:val>
            <c:numRef>
              <c:f>Sheet1!$B$2:$B$4</c:f>
              <c:numCache>
                <c:formatCode>General</c:formatCode>
                <c:ptCount val="3"/>
                <c:pt idx="0">
                  <c:v>50</c:v>
                </c:pt>
                <c:pt idx="1">
                  <c:v>32.7</c:v>
                </c:pt>
                <c:pt idx="2">
                  <c:v>12.2</c:v>
                </c:pt>
              </c:numCache>
            </c:numRef>
          </c:val>
        </c:ser>
        <c:ser>
          <c:idx val="1"/>
          <c:order val="1"/>
          <c:tx>
            <c:strRef>
              <c:f>Sheet1!$C$1</c:f>
              <c:strCache>
                <c:ptCount val="1"/>
                <c:pt idx="0">
                  <c:v>FIMS modeli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Sheet1!$A$2:$A$4</c:f>
              <c:strCache>
                <c:ptCount val="3"/>
                <c:pt idx="0">
                  <c:v>To‘g‘ri bashorat</c:v>
                </c:pt>
                <c:pt idx="1">
                  <c:v>Birinchi tur xatosi</c:v>
                </c:pt>
                <c:pt idx="2">
                  <c:v>Ikkinchi tur xatosi</c:v>
                </c:pt>
              </c:strCache>
            </c:strRef>
          </c:cat>
          <c:val>
            <c:numRef>
              <c:f>Sheet1!$C$2:$C$4</c:f>
              <c:numCache>
                <c:formatCode>General</c:formatCode>
                <c:ptCount val="3"/>
                <c:pt idx="0">
                  <c:v>74.6</c:v>
                </c:pt>
                <c:pt idx="1">
                  <c:v>17</c:v>
                </c:pt>
                <c:pt idx="2">
                  <c:v>7.4</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8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Kuzatuvlar ulushi,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Bazel qo‘mitasi</c:v>
                </c:pt>
              </c:strCache>
            </c:strRef>
          </c:tx>
          <c:spPr>
            <a:ln w="76200">
              <a:solidFill>
                <a:srgbClr val="2A78D6">
                  <a:alpha val="35000"/>
                </a:srgbClr>
              </a:solidFill>
            </a:ln>
          </c:spPr>
          <c:marker>
            <c:symbol val="none"/>
          </c:marker>
          <c:dLbls>
            <c:dLbl>
              <c:idx val="5"/>
              <c:delete val="1"/>
            </c:dLbl>
            <c:dLbl>
              <c:idx val="6"/>
              <c:delete val="1"/>
            </c:dLbl>
            <c:dLbl>
              <c:idx val="7"/>
              <c:delete val="1"/>
            </c:dLbl>
            <c:dLbl>
              <c:idx val="8"/>
              <c:delete val="1"/>
            </c:dLbl>
            <c:dLbl>
              <c:idx val="9"/>
              <c:delete val="1"/>
            </c:dLbl>
            <c:dLbl>
              <c:idx val="10"/>
              <c:delete val="1"/>
            </c:dLbl>
            <c:dLbl>
              <c:idx val="11"/>
              <c:delete val="1"/>
            </c:dLbl>
            <c:spPr>
              <a:noFill/>
              <a:ln>
                <a:noFill/>
              </a:ln>
            </c:spPr>
            <c:txPr>
              <a:bodyPr/>
              <a:lstStyle/>
              <a:p>
                <a:pPr>
                  <a:defRPr sz="1000" b="1">
                    <a:solidFill>
                      <a:srgbClr val="1F4E79"/>
                    </a:solidFill>
                    <a:latin typeface="Times New Roman"/>
                    <a:cs typeface="Times New Roman"/>
                  </a:defRPr>
                </a:pPr>
                <a:endParaRPr lang="uz-Latn-UZ"/>
              </a:p>
            </c:txPr>
            <c:dLblPos val="b"/>
            <c:showLegendKey val="0"/>
            <c:showVal val="1"/>
            <c:showCatName val="0"/>
            <c:showSerName val="0"/>
            <c:showPercent val="0"/>
            <c:showBubbleSize val="0"/>
          </c:dLbls>
          <c:xVal>
            <c:numRef>
              <c:f>Sheet1!$A$2:$A$13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Sheet1!$B$2:$B$13</c:f>
              <c:numCache>
                <c:formatCode>General</c:formatCode>
                <c:ptCount val="12"/>
                <c:pt idx="0">
                  <c:v>60</c:v>
                </c:pt>
                <c:pt idx="1">
                  <c:v>70</c:v>
                </c:pt>
                <c:pt idx="2">
                  <c:v>80</c:v>
                </c:pt>
                <c:pt idx="3">
                  <c:v>90</c:v>
                </c:pt>
                <c:pt idx="4">
                  <c:v>100</c:v>
                </c:pt>
                <c:pt idx="5">
                  <c:v>100</c:v>
                </c:pt>
                <c:pt idx="6">
                  <c:v>100</c:v>
                </c:pt>
                <c:pt idx="7">
                  <c:v>100</c:v>
                </c:pt>
                <c:pt idx="8">
                  <c:v>100</c:v>
                </c:pt>
                <c:pt idx="9">
                  <c:v>100</c:v>
                </c:pt>
                <c:pt idx="10">
                  <c:v>100</c:v>
                </c:pt>
                <c:pt idx="11">
                  <c:v>100</c:v>
                </c:pt>
              </c:numCache>
            </c:numRef>
          </c:yVal>
          <c:smooth val="0"/>
        </c:ser>
        <c:ser>
          <c:idx val="1"/>
          <c:order val="1"/>
          <c:tx>
            <c:strRef>
              <c:f>Sheet1!$D$1</c:f>
              <c:strCache>
                <c:ptCount val="1"/>
                <c:pt idx="0">
                  <c:v>O‘zbekiston</c:v>
                </c:pt>
              </c:strCache>
            </c:strRef>
          </c:tx>
          <c:spPr>
            <a:ln w="22225">
              <a:solidFill>
                <a:srgbClr val="70AD47"/>
              </a:solidFill>
            </a:ln>
          </c:spPr>
          <c:marker>
            <c:symbol val="triangle"/>
            <c:size val="7"/>
            <c:spPr>
              <a:solidFill>
                <a:srgbClr val="70AD47"/>
              </a:solidFill>
              <a:ln>
                <a:noFill/>
              </a:ln>
            </c:spPr>
          </c:marker>
          <c:dLbls>
            <c:dLbl>
              <c:idx val="0"/>
              <c:delete val="1"/>
            </c:dLbl>
            <c:dLbl>
              <c:idx val="4"/>
              <c:delete val="1"/>
            </c:dLbl>
            <c:dLbl>
              <c:idx val="5"/>
              <c:delete val="1"/>
            </c:dLbl>
            <c:dLbl>
              <c:idx val="6"/>
              <c:delete val="1"/>
            </c:dLbl>
            <c:dLbl>
              <c:idx val="7"/>
              <c:delete val="1"/>
            </c:dLbl>
            <c:dLbl>
              <c:idx val="8"/>
              <c:delete val="1"/>
            </c:dLbl>
            <c:dLbl>
              <c:idx val="9"/>
              <c:delete val="1"/>
            </c:dLbl>
            <c:dLbl>
              <c:idx val="10"/>
              <c:delete val="1"/>
            </c:dLbl>
            <c:dLbl>
              <c:idx val="11"/>
              <c:delete val="1"/>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s>
          <c:xVal>
            <c:numRef>
              <c:f>Sheet1!$C$2:$C$13</c:f>
              <c:numCache>
                <c:formatCode>General</c:formatCode>
                <c:ptCount val="12"/>
                <c:pt idx="0">
                  <c:v>2015</c:v>
                </c:pt>
                <c:pt idx="1">
                  <c:v>2016</c:v>
                </c:pt>
                <c:pt idx="2">
                  <c:v>2017</c:v>
                </c:pt>
                <c:pt idx="3">
                  <c:v>2018</c:v>
                </c:pt>
                <c:pt idx="4">
                  <c:v>2019</c:v>
                </c:pt>
                <c:pt idx="5">
                  <c:v>2020</c:v>
                </c:pt>
                <c:pt idx="6">
                  <c:v>2021</c:v>
                </c:pt>
                <c:pt idx="7">
                  <c:v>2022</c:v>
                </c:pt>
                <c:pt idx="8">
                  <c:v>2023</c:v>
                </c:pt>
                <c:pt idx="9">
                  <c:v>2024</c:v>
                </c:pt>
                <c:pt idx="10">
                  <c:v>2025</c:v>
                </c:pt>
                <c:pt idx="11">
                  <c:v>2026</c:v>
                </c:pt>
              </c:numCache>
            </c:numRef>
          </c:xVal>
          <c:yVal>
            <c:numRef>
              <c:f>Sheet1!$D$2:$D$13</c:f>
              <c:numCache>
                <c:formatCode>General</c:formatCode>
                <c:ptCount val="12"/>
                <c:pt idx="1">
                  <c:v>80</c:v>
                </c:pt>
                <c:pt idx="2">
                  <c:v>90</c:v>
                </c:pt>
                <c:pt idx="3">
                  <c:v>100</c:v>
                </c:pt>
                <c:pt idx="4">
                  <c:v>100</c:v>
                </c:pt>
                <c:pt idx="5">
                  <c:v>100</c:v>
                </c:pt>
                <c:pt idx="6">
                  <c:v>100</c:v>
                </c:pt>
                <c:pt idx="7">
                  <c:v>100</c:v>
                </c:pt>
                <c:pt idx="8">
                  <c:v>100</c:v>
                </c:pt>
                <c:pt idx="9">
                  <c:v>100</c:v>
                </c:pt>
                <c:pt idx="10">
                  <c:v>100</c:v>
                </c:pt>
                <c:pt idx="11">
                  <c:v>100</c:v>
                </c:pt>
              </c:numCache>
            </c:numRef>
          </c:yVal>
          <c:smooth val="0"/>
        </c:ser>
        <c:ser>
          <c:idx val="2"/>
          <c:order val="2"/>
          <c:tx>
            <c:strRef>
              <c:f>Sheet1!$F$1</c:f>
              <c:strCache>
                <c:ptCount val="1"/>
                <c:pt idx="0">
                  <c:v>Rossiya: rasmiy talab (2016–2019-yillarda Bazel jadvali bilan bir xil)</c:v>
                </c:pt>
              </c:strCache>
            </c:strRef>
          </c:tx>
          <c:spPr>
            <a:ln w="25400">
              <a:solidFill>
                <a:srgbClr val="EB6834"/>
              </a:solidFill>
              <a:prstDash val="dash"/>
            </a:ln>
          </c:spPr>
          <c:marker>
            <c:symbol val="square"/>
            <c:size val="7"/>
            <c:spPr>
              <a:solidFill>
                <a:srgbClr val="EB6834"/>
              </a:solidFill>
              <a:ln>
                <a:noFill/>
              </a:ln>
            </c:spPr>
          </c:marker>
          <c:xVal>
            <c:numRef>
              <c:f>Sheet1!$E$2:$E$7</c:f>
              <c:numCache>
                <c:formatCode>General</c:formatCode>
                <c:ptCount val="6"/>
                <c:pt idx="0">
                  <c:v>2016</c:v>
                </c:pt>
                <c:pt idx="1">
                  <c:v>2017</c:v>
                </c:pt>
                <c:pt idx="2">
                  <c:v>2018</c:v>
                </c:pt>
                <c:pt idx="3">
                  <c:v>2019</c:v>
                </c:pt>
                <c:pt idx="4">
                  <c:v>2020</c:v>
                </c:pt>
                <c:pt idx="5">
                  <c:v>2021</c:v>
                </c:pt>
              </c:numCache>
            </c:numRef>
          </c:xVal>
          <c:yVal>
            <c:numRef>
              <c:f>Sheet1!$F$2:$F$7</c:f>
              <c:numCache>
                <c:formatCode>General</c:formatCode>
                <c:ptCount val="6"/>
                <c:pt idx="0">
                  <c:v>70</c:v>
                </c:pt>
                <c:pt idx="1">
                  <c:v>80</c:v>
                </c:pt>
                <c:pt idx="2">
                  <c:v>90</c:v>
                </c:pt>
                <c:pt idx="3">
                  <c:v>100</c:v>
                </c:pt>
                <c:pt idx="4">
                  <c:v>100</c:v>
                </c:pt>
                <c:pt idx="5">
                  <c:v>100</c:v>
                </c:pt>
              </c:numCache>
            </c:numRef>
          </c:yVal>
          <c:smooth val="0"/>
        </c:ser>
        <c:ser>
          <c:idx val="3"/>
          <c:order val="3"/>
          <c:tx>
            <c:strRef>
              <c:f>Sheet1!$H$1</c:f>
              <c:strCache>
                <c:ptCount val="1"/>
                <c:pt idx="0">
                  <c:v>Rossiya 2</c:v>
                </c:pt>
              </c:strCache>
            </c:strRef>
          </c:tx>
          <c:spPr>
            <a:ln w="25400">
              <a:solidFill>
                <a:srgbClr val="EB6834"/>
              </a:solidFill>
              <a:prstDash val="dash"/>
            </a:ln>
          </c:spPr>
          <c:marker>
            <c:symbol val="square"/>
            <c:size val="7"/>
            <c:spPr>
              <a:solidFill>
                <a:srgbClr val="EB6834"/>
              </a:solidFill>
              <a:ln>
                <a:noFill/>
              </a:ln>
            </c:spPr>
          </c:marker>
          <c:xVal>
            <c:numRef>
              <c:f>Sheet1!$G$2:$G$4</c:f>
              <c:numCache>
                <c:formatCode>General</c:formatCode>
                <c:ptCount val="3"/>
                <c:pt idx="0">
                  <c:v>2024</c:v>
                </c:pt>
                <c:pt idx="1">
                  <c:v>2025</c:v>
                </c:pt>
                <c:pt idx="2">
                  <c:v>2026</c:v>
                </c:pt>
              </c:numCache>
            </c:numRef>
          </c:xVal>
          <c:yVal>
            <c:numRef>
              <c:f>Sheet1!$H$2:$H$4</c:f>
              <c:numCache>
                <c:formatCode>General</c:formatCode>
                <c:ptCount val="3"/>
                <c:pt idx="0">
                  <c:v>100</c:v>
                </c:pt>
                <c:pt idx="1">
                  <c:v>100</c:v>
                </c:pt>
                <c:pt idx="2">
                  <c:v>100</c:v>
                </c:pt>
              </c:numCache>
            </c:numRef>
          </c:yVal>
          <c:smooth val="0"/>
        </c:ser>
        <c:ser>
          <c:idx val="4"/>
          <c:order val="4"/>
          <c:tx>
            <c:strRef>
              <c:f>Sheet1!$J$1</c:f>
              <c:strCache>
                <c:ptCount val="1"/>
                <c:pt idx="0">
                  <c:v>Rossiya: o‘z mablag‘lari hisobidan (2022–2023-yillardagi yengillikdan keyin)</c:v>
                </c:pt>
              </c:strCache>
            </c:strRef>
          </c:tx>
          <c:spPr>
            <a:ln w="19050">
              <a:solidFill>
                <a:srgbClr val="C00000"/>
              </a:solidFill>
              <a:prstDash val="sysDot"/>
            </a:ln>
          </c:spPr>
          <c:marker>
            <c:symbol val="diamond"/>
            <c:size val="7"/>
            <c:spPr>
              <a:solidFill>
                <a:srgbClr val="C00000"/>
              </a:solidFill>
              <a:ln>
                <a:noFill/>
              </a:ln>
            </c:spPr>
          </c:marker>
          <c:dLbls>
            <c:spPr>
              <a:noFill/>
              <a:ln>
                <a:noFill/>
              </a:ln>
            </c:spPr>
            <c:txPr>
              <a:bodyPr/>
              <a:lstStyle/>
              <a:p>
                <a:pPr>
                  <a:defRPr sz="1000" b="1">
                    <a:solidFill>
                      <a:srgbClr val="C00000"/>
                    </a:solidFill>
                    <a:latin typeface="Times New Roman"/>
                    <a:cs typeface="Times New Roman"/>
                  </a:defRPr>
                </a:pPr>
                <a:endParaRPr lang="uz-Latn-UZ"/>
              </a:p>
            </c:txPr>
            <c:dLblPos val="r"/>
            <c:showLegendKey val="0"/>
            <c:showVal val="1"/>
            <c:showCatName val="0"/>
            <c:showSerName val="0"/>
            <c:showPercent val="0"/>
            <c:showBubbleSize val="0"/>
          </c:dLbls>
          <c:xVal>
            <c:numRef>
              <c:f>Sheet1!$I$2:$I$5</c:f>
              <c:numCache>
                <c:formatCode>General</c:formatCode>
                <c:ptCount val="4"/>
                <c:pt idx="0">
                  <c:v>2024.17</c:v>
                </c:pt>
                <c:pt idx="1">
                  <c:v>2024.5</c:v>
                </c:pt>
                <c:pt idx="2">
                  <c:v>2025.5</c:v>
                </c:pt>
                <c:pt idx="3">
                  <c:v>2026</c:v>
                </c:pt>
              </c:numCache>
            </c:numRef>
          </c:xVal>
          <c:yVal>
            <c:numRef>
              <c:f>Sheet1!$J$2:$J$5</c:f>
              <c:numCache>
                <c:formatCode>General</c:formatCode>
                <c:ptCount val="4"/>
                <c:pt idx="0">
                  <c:v>40</c:v>
                </c:pt>
                <c:pt idx="1">
                  <c:v>50</c:v>
                </c:pt>
                <c:pt idx="2">
                  <c:v>60</c:v>
                </c:pt>
                <c:pt idx="3">
                  <c:v>80</c:v>
                </c:pt>
              </c:numCache>
            </c:numRef>
          </c:yVal>
          <c:smooth val="0"/>
        </c:ser>
        <c:axId val="333"/>
        <c:axId val="444"/>
      </c:scatterChart>
      <c:valAx>
        <c:axId val="333"/>
        <c:scaling>
          <c:orientation val="minMax"/>
          <c:max val="2027"/>
          <c:min val="2014"/>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10"/>
          <c:min val="3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Minimal talab,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10"/>
      </c:valAx>
      <c:spPr>
        <a:noFill/>
        <a:ln>
          <a:noFill/>
        </a:ln>
      </c:spPr>
    </c:plotArea>
    <c:legend>
      <c:legendPos val="b"/>
      <c:legendEntry>
        <c:idx val="3"/>
        <c:delete val="1"/>
      </c:legendEntry>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Muammoli kreditlar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FFFFFF"/>
                    </a:solidFill>
                    <a:latin typeface="Times New Roman"/>
                    <a:cs typeface="Times New Roman"/>
                  </a:defRPr>
                </a:pPr>
                <a:endParaRPr lang="uz-Latn-UZ"/>
              </a:p>
            </c:txPr>
            <c:dLblPos val="ctr"/>
            <c:showLegendKey val="0"/>
            <c:showVal val="1"/>
            <c:showCatName val="0"/>
            <c:showSerName val="0"/>
            <c:showPercent val="0"/>
            <c:showBubbleSize val="0"/>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Sheet1!$B$2:$B$7</c:f>
              <c:numCache>
                <c:formatCode>General</c:formatCode>
                <c:ptCount val="6"/>
                <c:pt idx="0">
                  <c:v>1.59</c:v>
                </c:pt>
                <c:pt idx="1">
                  <c:v>1.5</c:v>
                </c:pt>
                <c:pt idx="2">
                  <c:v>1.52</c:v>
                </c:pt>
              </c:numCache>
            </c:numRef>
          </c:val>
        </c:ser>
        <c:ser>
          <c:idx val="1"/>
          <c:order val="1"/>
          <c:tx>
            <c:strRef>
              <c:f>Sheet1!$C$1</c:f>
              <c:strCache>
                <c:ptCount val="1"/>
                <c:pt idx="0">
                  <c:v>Alohida e’tibor talab qiluvchi kreditlar</c:v>
                </c:pt>
              </c:strCache>
            </c:strRef>
          </c:tx>
          <c:spPr>
            <a:solidFill>
              <a:srgbClr val="FFC000"/>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Sheet1!$C$2:$C$7</c:f>
              <c:numCache>
                <c:formatCode>General</c:formatCode>
                <c:ptCount val="6"/>
                <c:pt idx="0">
                  <c:v>2.2</c:v>
                </c:pt>
                <c:pt idx="1">
                  <c:v>2.22</c:v>
                </c:pt>
                <c:pt idx="2">
                  <c:v>2.2</c:v>
                </c:pt>
              </c:numCache>
            </c:numRef>
          </c:val>
        </c:ser>
        <c:ser>
          <c:idx val="2"/>
          <c:order val="2"/>
          <c:tx>
            <c:strRef>
              <c:f>Sheet1!$D$1</c:f>
              <c:strCache>
                <c:ptCount val="1"/>
                <c:pt idx="0">
                  <c:v>Muqobil baholar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Sheet1!$A$2:$A$7</c:f>
              <c:strCache>
                <c:ptCount val="6"/>
                <c:pt idx="0">
                  <c:v>2023-y. oxiri</c:v>
                </c:pt>
                <c:pt idx="1">
                  <c:v>2024-y. oxiri</c:v>
                </c:pt>
                <c:pt idx="2">
                  <c:v>2025-y. III chorak</c:v>
                </c:pt>
                <c:pt idx="3">
                  <c:v>Ilmiy baho:
quyi chegara</c:v>
                </c:pt>
                <c:pt idx="4">
                  <c:v>Ilmiy baho:
yuqori chegara</c:v>
                </c:pt>
                <c:pt idx="5">
                  <c:v>XVJ: risk ostidagi
kreditlar (2016)</c:v>
                </c:pt>
              </c:strCache>
            </c:strRef>
          </c:cat>
          <c:val>
            <c:numRef>
              <c:f>Sheet1!$D$2:$D$7</c:f>
              <c:numCache>
                <c:formatCode>General</c:formatCode>
                <c:ptCount val="6"/>
                <c:pt idx="3">
                  <c:v>3.0</c:v>
                </c:pt>
                <c:pt idx="4">
                  <c:v>4.6</c:v>
                </c:pt>
                <c:pt idx="5">
                  <c:v>15.5</c:v>
                </c:pt>
              </c:numCache>
            </c:numRef>
          </c:val>
        </c:ser>
        <c:gapWidth val="5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Jami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2023-y. oxiri</c:v>
                </c:pt>
                <c:pt idx="1">
                  <c:v>2024-y. oxiri</c:v>
                </c:pt>
                <c:pt idx="2">
                  <c:v>2025-y. I yarim</c:v>
                </c:pt>
                <c:pt idx="3">
                  <c:v>2025-y. oxiri</c:v>
                </c:pt>
                <c:pt idx="4">
                  <c:v>2026-y. 1-iyul</c:v>
                </c:pt>
              </c:strCache>
            </c:strRef>
          </c:cat>
          <c:val>
            <c:numRef>
              <c:f>Sheet1!$B$2:$B$6</c:f>
              <c:numCache>
                <c:formatCode>General</c:formatCode>
                <c:ptCount val="5"/>
                <c:pt idx="0">
                  <c:v>17.5</c:v>
                </c:pt>
                <c:pt idx="1">
                  <c:v>17.0</c:v>
                </c:pt>
                <c:pt idx="2">
                  <c:v>17.4</c:v>
                </c:pt>
                <c:pt idx="3">
                  <c:v>18.3</c:v>
                </c:pt>
                <c:pt idx="4">
                  <c:v>18.5</c:v>
                </c:pt>
              </c:numCache>
            </c:numRef>
          </c:val>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2023-y. oxiri</c:v>
                </c:pt>
                <c:pt idx="1">
                  <c:v>2024-y. oxiri</c:v>
                </c:pt>
                <c:pt idx="2">
                  <c:v>2025-y. I yarim</c:v>
                </c:pt>
                <c:pt idx="3">
                  <c:v>2025-y. oxiri</c:v>
                </c:pt>
                <c:pt idx="4">
                  <c:v>2026-y. 1-iyul</c:v>
                </c:pt>
              </c:strCache>
            </c:strRef>
          </c:cat>
          <c:val>
            <c:numRef>
              <c:f>Sheet1!$C$2:$C$6</c:f>
              <c:numCache>
                <c:formatCode>General</c:formatCode>
                <c:ptCount val="5"/>
                <c:pt idx="2">
                  <c:v>14.6</c:v>
                </c:pt>
                <c:pt idx="3">
                  <c:v>14.7</c:v>
                </c:pt>
                <c:pt idx="4">
                  <c:v>15.0</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Amaldagi daraja (2025-y. oxiri)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Sheet1!$B$2:$B$3</c:f>
              <c:numCache>
                <c:formatCode>General</c:formatCode>
                <c:ptCount val="2"/>
                <c:pt idx="0">
                  <c:v>14.7</c:v>
                </c:pt>
                <c:pt idx="1">
                  <c:v>18.3</c:v>
                </c:pt>
              </c:numCache>
            </c:numRef>
          </c:val>
        </c:ser>
        <c:ser>
          <c:idx val="1"/>
          <c:order val="1"/>
          <c:tx>
            <c:strRef>
              <c:f>Sheet1!$C$1</c:f>
              <c:strCache>
                <c:ptCount val="1"/>
                <c:pt idx="0">
                  <c:v>Salbiy ssenariy: 2028-y. I yarmi (2025-y. I yarim sharhi)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Sheet1!$C$2:$C$3</c:f>
              <c:numCache>
                <c:formatCode>General</c:formatCode>
                <c:ptCount val="2"/>
                <c:pt idx="0">
                  <c:v>6.1</c:v>
                </c:pt>
                <c:pt idx="1">
                  <c:v>8.4</c:v>
                </c:pt>
              </c:numCache>
            </c:numRef>
          </c:val>
        </c:ser>
        <c:ser>
          <c:idx val="2"/>
          <c:order val="2"/>
          <c:tx>
            <c:strRef>
              <c:f>Sheet1!$D$1</c:f>
              <c:strCache>
                <c:ptCount val="1"/>
                <c:pt idx="0">
                  <c:v>Salbiy ssenariy: 2028-y. oxiri (2025-y. sharhi)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Sheet1!$D$2:$D$3</c:f>
              <c:numCache>
                <c:formatCode>General</c:formatCode>
                <c:ptCount val="2"/>
                <c:pt idx="0">
                  <c:v>5.6</c:v>
                </c:pt>
                <c:pt idx="1">
                  <c:v>6.8</c:v>
                </c:pt>
              </c:numCache>
            </c:numRef>
          </c:val>
        </c:ser>
        <c:ser>
          <c:idx val="3"/>
          <c:order val="3"/>
          <c:tx>
            <c:strRef>
              <c:f>Sheet1!$E$1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Sheet1!$A$2:$A$3</c:f>
              <c:strCache>
                <c:ptCount val="2"/>
                <c:pt idx="0">
                  <c:v>Asosiy kapital (CET1)</c:v>
                </c:pt>
                <c:pt idx="1">
                  <c:v>Jami kapital</c:v>
                </c:pt>
              </c:strCache>
            </c:strRef>
          </c:cat>
          <c:val>
            <c:numRef>
              <c:f>Sheet1!$E$2:$E$3</c:f>
              <c:numCache>
                <c:formatCode>General</c:formatCode>
                <c:ptCount val="2"/>
                <c:pt idx="0">
                  <c:v>8.0</c:v>
                </c:pt>
                <c:pt idx="1">
                  <c:v>13.0</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Risk bo‘yicha tortilgan aktivlarga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Aktivlardagi ulushi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81.5</c:v>
                </c:pt>
                <c:pt idx="1">
                  <c:v>78.2</c:v>
                </c:pt>
                <c:pt idx="2">
                  <c:v>67.7</c:v>
                </c:pt>
                <c:pt idx="3">
                  <c:v>65.4</c:v>
                </c:pt>
                <c:pt idx="4">
                  <c:v>63.5</c:v>
                </c:pt>
              </c:numCache>
            </c:numRef>
          </c:val>
        </c:ser>
        <c:ser>
          <c:idx val="1"/>
          <c:order val="1"/>
          <c:tx>
            <c:strRef>
              <c:f>Sheet1!$C$1</c:f>
              <c:strCache>
                <c:ptCount val="1"/>
                <c:pt idx="0">
                  <c:v>Kreditlardagi ulushi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85.8</c:v>
                </c:pt>
                <c:pt idx="1">
                  <c:v>83.2</c:v>
                </c:pt>
                <c:pt idx="2">
                  <c:v>70.7</c:v>
                </c:pt>
                <c:pt idx="3">
                  <c:v>68.8</c:v>
                </c:pt>
                <c:pt idx="4">
                  <c:v>67.0</c:v>
                </c:pt>
              </c:numCache>
            </c:numRef>
          </c:val>
        </c:ser>
        <c:ser>
          <c:idx val="2"/>
          <c:order val="2"/>
          <c:tx>
            <c:strRef>
              <c:f>Sheet1!$D$1</c:f>
              <c:strCache>
                <c:ptCount val="1"/>
                <c:pt idx="0">
                  <c:v>Depozitlardagi ulushi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66.7</c:v>
                </c:pt>
                <c:pt idx="1">
                  <c:v>62.5</c:v>
                </c:pt>
                <c:pt idx="2">
                  <c:v>51.5</c:v>
                </c:pt>
                <c:pt idx="3">
                  <c:v>50.1</c:v>
                </c:pt>
                <c:pt idx="4">
                  <c:v>51.0</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1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Bank tizimi jami ko‘rsatkichiga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Regulyativ kapital monandligi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17.5</c:v>
                </c:pt>
                <c:pt idx="1">
                  <c:v>17.8</c:v>
                </c:pt>
                <c:pt idx="2">
                  <c:v>17.5</c:v>
                </c:pt>
                <c:pt idx="3">
                  <c:v>17.4</c:v>
                </c:pt>
                <c:pt idx="4">
                  <c:v>18.3</c:v>
                </c:pt>
              </c:numCache>
            </c:numRef>
          </c:val>
        </c:ser>
        <c:ser>
          <c:idx val="1"/>
          <c:order val="1"/>
          <c:tx>
            <c:strRef>
              <c:f>Sheet1!$C$1</c:f>
              <c:strCache>
                <c:ptCount val="1"/>
                <c:pt idx="0">
                  <c:v>Asosiy kapital (CET1) monandligi</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14.6</c:v>
                </c:pt>
                <c:pt idx="1">
                  <c:v>14.4</c:v>
                </c:pt>
                <c:pt idx="2">
                  <c:v>14.1</c:v>
                </c:pt>
                <c:pt idx="3">
                  <c:v>14.3</c:v>
                </c:pt>
                <c:pt idx="4">
                  <c:v>14.7</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2"/>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Muammoli kreditlar, jami</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5.2</c:v>
                </c:pt>
                <c:pt idx="1">
                  <c:v>3.6</c:v>
                </c:pt>
                <c:pt idx="2">
                  <c:v>3.5</c:v>
                </c:pt>
                <c:pt idx="3">
                  <c:v>4.0</c:v>
                </c:pt>
                <c:pt idx="4">
                  <c:v>3.0</c:v>
                </c:pt>
              </c:numCache>
            </c:numRef>
          </c:val>
        </c:ser>
        <c:ser>
          <c:idx val="1"/>
          <c:order val="1"/>
          <c:tx>
            <c:strRef>
              <c:f>Sheet1!$C$1</c:f>
              <c:strCache>
                <c:ptCount val="1"/>
                <c:pt idx="0">
                  <c:v>Muammoli kreditlar, davlat banklari</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5.4</c:v>
                </c:pt>
                <c:pt idx="1">
                  <c:v>3.9</c:v>
                </c:pt>
                <c:pt idx="2">
                  <c:v>4.0</c:v>
                </c:pt>
                <c:pt idx="3">
                  <c:v>3.9</c:v>
                </c:pt>
                <c:pt idx="4">
                  <c:v>3.2</c:v>
                </c:pt>
              </c:numCache>
            </c:numRef>
          </c:val>
        </c:ser>
        <c:ser>
          <c:idx val="2"/>
          <c:order val="2"/>
          <c:tx>
            <c:strRef>
              <c:f>Sheet1!$D$1</c:f>
              <c:strCache>
                <c:ptCount val="1"/>
                <c:pt idx="0">
                  <c:v>Muammoli kreditlar, boshqa banklar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4.1</c:v>
                </c:pt>
                <c:pt idx="1">
                  <c:v>2.1</c:v>
                </c:pt>
                <c:pt idx="2">
                  <c:v>2.4</c:v>
                </c:pt>
                <c:pt idx="3">
                  <c:v>4.1</c:v>
                </c:pt>
                <c:pt idx="4">
                  <c:v>2.6</c:v>
                </c:pt>
              </c:numCache>
            </c:numRef>
          </c:val>
        </c:ser>
        <c:ser>
          <c:idx val="3"/>
          <c:order val="3"/>
          <c:tx>
            <c:strRef>
              <c:f>Sheet1!$E$1</c:f>
              <c:strCache>
                <c:ptCount val="1"/>
                <c:pt idx="0">
                  <c:v>Substandart va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12.5</c:v>
                </c:pt>
                <c:pt idx="1">
                  <c:v>15.9</c:v>
                </c:pt>
                <c:pt idx="2">
                  <c:v>19.5</c:v>
                </c:pt>
                <c:pt idx="3">
                  <c:v>21.0</c:v>
                </c:pt>
                <c:pt idx="4">
                  <c:v>15.0</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ROA</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1.4</c:v>
                </c:pt>
                <c:pt idx="1">
                  <c:v>2.5</c:v>
                </c:pt>
                <c:pt idx="2">
                  <c:v>2.6</c:v>
                </c:pt>
                <c:pt idx="3">
                  <c:v>1.4</c:v>
                </c:pt>
                <c:pt idx="4">
                  <c:v>2.2</c:v>
                </c:pt>
              </c:numCache>
            </c:numRef>
          </c:yVal>
          <c:smooth val="0"/>
        </c:ser>
        <c:ser>
          <c:idx val="1"/>
          <c:order val="1"/>
          <c:tx>
            <c:strRef>
              <c:f>Sheet1!$D$1</c:f>
              <c:strCache>
                <c:ptCount val="1"/>
                <c:pt idx="0">
                  <c:v>ROE</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6.1</c:v>
                </c:pt>
                <c:pt idx="1">
                  <c:v>13.3</c:v>
                </c:pt>
                <c:pt idx="2">
                  <c:v>14.2</c:v>
                </c:pt>
                <c:pt idx="3">
                  <c:v>6.6</c:v>
                </c:pt>
                <c:pt idx="4">
                  <c:v>12.4</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16"/>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2"/>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15.8</c:v>
                </c:pt>
                <c:pt idx="1">
                  <c:v>15.3</c:v>
                </c:pt>
                <c:pt idx="2">
                  <c:v>16.1</c:v>
                </c:pt>
                <c:pt idx="3">
                  <c:v>15.6</c:v>
                </c:pt>
                <c:pt idx="4">
                  <c:v>17.0</c:v>
                </c:pt>
              </c:numCache>
            </c:numRef>
          </c:val>
        </c:ser>
        <c:ser>
          <c:idx val="1"/>
          <c:order val="1"/>
          <c:tx>
            <c:strRef>
              <c:f>Sheet1!$C$1</c:f>
              <c:strCache>
                <c:ptCount val="1"/>
                <c:pt idx="0">
                  <c:v>«Mikrokreditbank»</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13.8</c:v>
                </c:pt>
                <c:pt idx="1">
                  <c:v>20.7</c:v>
                </c:pt>
                <c:pt idx="2">
                  <c:v>18.6</c:v>
                </c:pt>
                <c:pt idx="3">
                  <c:v>15.4</c:v>
                </c:pt>
                <c:pt idx="4">
                  <c:v>18.5</c:v>
                </c:pt>
              </c:numCache>
            </c:numRef>
          </c:val>
        </c:ser>
        <c:ser>
          <c:idx val="2"/>
          <c:order val="2"/>
          <c:tx>
            <c:strRef>
              <c:f>Sheet1!$D$1</c:f>
              <c:strCache>
                <c:ptCount val="1"/>
                <c:pt idx="0">
                  <c:v>Regulyativ minimum</c:v>
                </c:pt>
              </c:strCache>
            </c:strRef>
          </c:tx>
          <c:spPr>
            <a:solidFill>
              <a:srgbClr val="A5A5A5"/>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13</c:v>
                </c:pt>
                <c:pt idx="1">
                  <c:v>13</c:v>
                </c:pt>
                <c:pt idx="2">
                  <c:v>13</c:v>
                </c:pt>
                <c:pt idx="3">
                  <c:v>13</c:v>
                </c:pt>
                <c:pt idx="4">
                  <c:v>13</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SQB: muammoli kreditlar</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c:v>
                </c:pt>
                <c:pt idx="3">
                  <c:v>2.8</c:v>
                </c:pt>
                <c:pt idx="4">
                  <c:v>2.5</c:v>
                </c:pt>
              </c:numCache>
            </c:numRef>
          </c:val>
        </c:ser>
        <c:ser>
          <c:idx val="1"/>
          <c:order val="1"/>
          <c:tx>
            <c:strRef>
              <c:f>Sheet1!$C$1</c:f>
              <c:strCache>
                <c:ptCount val="1"/>
                <c:pt idx="0">
                  <c:v>SQB: substandart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5.3</c:v>
                </c:pt>
                <c:pt idx="2">
                  <c:v>11.0</c:v>
                </c:pt>
                <c:pt idx="3">
                  <c:v>14.8</c:v>
                </c:pt>
                <c:pt idx="4">
                  <c:v>18.4</c:v>
                </c:pt>
              </c:numCache>
            </c:numRef>
          </c:val>
        </c:ser>
        <c:ser>
          <c:idx val="2"/>
          <c:order val="2"/>
          <c:tx>
            <c:strRef>
              <c:f>Sheet1!$D$1</c:f>
              <c:strCache>
                <c:ptCount val="1"/>
                <c:pt idx="0">
                  <c:v>MK: muammoli kreditlar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6.0</c:v>
                </c:pt>
                <c:pt idx="3">
                  <c:v>4.6</c:v>
                </c:pt>
                <c:pt idx="4">
                  <c:v>4.4</c:v>
                </c:pt>
              </c:numCache>
            </c:numRef>
          </c:val>
        </c:ser>
        <c:ser>
          <c:idx val="3"/>
          <c:order val="3"/>
          <c:tx>
            <c:strRef>
              <c:f>Sheet1!$E$1</c:f>
              <c:strCache>
                <c:ptCount val="1"/>
                <c:pt idx="0">
                  <c:v>MK: substandart kreditlar</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9.1</c:v>
                </c:pt>
                <c:pt idx="1">
                  <c:v>19.3</c:v>
                </c:pt>
                <c:pt idx="2">
                  <c:v>24.5</c:v>
                </c:pt>
                <c:pt idx="3">
                  <c:v>21.3</c:v>
                </c:pt>
                <c:pt idx="4">
                  <c:v>9.0</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8"/>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SQB: rasmiy muammoli kreditlar</c:v>
                </c:pt>
              </c:strCache>
            </c:strRef>
          </c:tx>
          <c:spPr>
            <a:solidFill>
              <a:srgbClr val="9DC3E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c:v>
                </c:pt>
                <c:pt idx="1">
                  <c:v>2.8</c:v>
                </c:pt>
                <c:pt idx="2">
                  <c:v>2.2</c:v>
                </c:pt>
                <c:pt idx="3">
                  <c:v>2.8</c:v>
                </c:pt>
                <c:pt idx="4">
                  <c:v>2.5</c:v>
                </c:pt>
              </c:numCache>
            </c:numRef>
          </c:val>
        </c:ser>
        <c:ser>
          <c:idx val="1"/>
          <c:order val="1"/>
          <c:tx>
            <c:strRef>
              <c:f>Sheet1!$C$1</c:f>
              <c:strCache>
                <c:ptCount val="1"/>
                <c:pt idx="0">
                  <c:v>SQB: MHXS 9 bo‘yicha 3-bosqich</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6.2</c:v>
                </c:pt>
                <c:pt idx="1">
                  <c:v>7.4</c:v>
                </c:pt>
                <c:pt idx="2">
                  <c:v>4.8</c:v>
                </c:pt>
                <c:pt idx="3">
                  <c:v>5.9</c:v>
                </c:pt>
                <c:pt idx="4">
                  <c:v>7.5</c:v>
                </c:pt>
              </c:numCache>
            </c:numRef>
          </c:val>
        </c:ser>
        <c:ser>
          <c:idx val="2"/>
          <c:order val="2"/>
          <c:tx>
            <c:strRef>
              <c:f>Sheet1!$D$1</c:f>
              <c:strCache>
                <c:ptCount val="1"/>
                <c:pt idx="0">
                  <c:v>MKB: rasmiy muammoli kreditlar</c:v>
                </c:pt>
              </c:strCache>
            </c:strRef>
          </c:tx>
          <c:spPr>
            <a:solidFill>
              <a:srgbClr val="A9D18E"/>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Sheet1!$D$2:$D$6</c:f>
              <c:numCache>
                <c:formatCode>General</c:formatCode>
                <c:ptCount val="5"/>
                <c:pt idx="0">
                  <c:v>5.9</c:v>
                </c:pt>
                <c:pt idx="1">
                  <c:v>4.8</c:v>
                </c:pt>
                <c:pt idx="2">
                  <c:v>6.0</c:v>
                </c:pt>
                <c:pt idx="3">
                  <c:v>4.6</c:v>
                </c:pt>
                <c:pt idx="4">
                  <c:v>4.4</c:v>
                </c:pt>
              </c:numCache>
            </c:numRef>
          </c:val>
        </c:ser>
        <c:ser>
          <c:idx val="3"/>
          <c:order val="3"/>
          <c:tx>
            <c:strRef>
              <c:f>Sheet1!$E$1</c:f>
              <c:strCache>
                <c:ptCount val="1"/>
                <c:pt idx="0">
                  <c:v>MKB: MHXS 9 bo‘yicha 3-bosqich</c:v>
                </c:pt>
              </c:strCache>
            </c:strRef>
          </c:tx>
          <c:spPr>
            <a:solidFill>
              <a:srgbClr val="38761D"/>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Sheet1!$E$2:$E$6</c:f>
              <c:numCache>
                <c:formatCode>General</c:formatCode>
                <c:ptCount val="5"/>
                <c:pt idx="0">
                  <c:v>17.4</c:v>
                </c:pt>
                <c:pt idx="1">
                  <c:v>13.5</c:v>
                </c:pt>
                <c:pt idx="2">
                  <c:v>16.6</c:v>
                </c:pt>
                <c:pt idx="3">
                  <c:v>15.2</c:v>
                </c:pt>
                <c:pt idx="4">
                  <c:v>12.3</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4"/>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13.9</c:v>
                </c:pt>
                <c:pt idx="1">
                  <c:v>7.6</c:v>
                </c:pt>
                <c:pt idx="2">
                  <c:v>11.0</c:v>
                </c:pt>
                <c:pt idx="3">
                  <c:v>13.9</c:v>
                </c:pt>
                <c:pt idx="4">
                  <c:v>17.2</c:v>
                </c:pt>
              </c:numCache>
            </c:numRef>
          </c:val>
        </c:ser>
        <c:ser>
          <c:idx val="1"/>
          <c:order val="1"/>
          <c:tx>
            <c:strRef>
              <c:f>Sheet1!$C$1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1.9</c:v>
                </c:pt>
                <c:pt idx="1">
                  <c:v>0.7</c:v>
                </c:pt>
                <c:pt idx="2">
                  <c:v>1.1</c:v>
                </c:pt>
                <c:pt idx="3">
                  <c:v>-45.5</c:v>
                </c:pt>
                <c:pt idx="4">
                  <c:v>3.5</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998.2</c:v>
                </c:pt>
                <c:pt idx="1">
                  <c:v>588.9</c:v>
                </c:pt>
                <c:pt idx="2">
                  <c:v>911.7</c:v>
                </c:pt>
                <c:pt idx="3">
                  <c:v>1303.2</c:v>
                </c:pt>
                <c:pt idx="4">
                  <c:v>1880.1</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857.0</c:v>
                </c:pt>
                <c:pt idx="1">
                  <c:v>633.7</c:v>
                </c:pt>
                <c:pt idx="2">
                  <c:v>856.2</c:v>
                </c:pt>
                <c:pt idx="3">
                  <c:v>1115.0</c:v>
                </c:pt>
                <c:pt idx="4">
                  <c:v>1543.8</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3.6</c:v>
                </c:pt>
                <c:pt idx="1">
                  <c:v>2.7</c:v>
                </c:pt>
                <c:pt idx="2">
                  <c:v>2.9</c:v>
                </c:pt>
                <c:pt idx="3">
                  <c:v>3.4</c:v>
                </c:pt>
                <c:pt idx="4">
                  <c:v>4.5</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4.5</c:v>
                </c:pt>
                <c:pt idx="1">
                  <c:v>5.6</c:v>
                </c:pt>
                <c:pt idx="2">
                  <c:v>4.0</c:v>
                </c:pt>
                <c:pt idx="3">
                  <c:v>4.7</c:v>
                </c:pt>
                <c:pt idx="4">
                  <c:v>6.0</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7"/>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Jami kreditlarga nisbatan, %</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stacked"/>
        <c:varyColors val="0"/>
        <c:ser>
          <c:idx val="0"/>
          <c:order val="0"/>
          <c:tx>
            <c:strRef>
              <c:f>Sheet1!$B$1</c:f>
              <c:strCache>
                <c:ptCount val="1"/>
                <c:pt idx="0">
                  <c:v>Standart</c:v>
                </c:pt>
              </c:strCache>
            </c:strRef>
          </c:tx>
          <c:spPr>
            <a:solidFill>
              <a:srgbClr val="70AD47"/>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Sheet1!$B$2:$B$3</c:f>
              <c:numCache>
                <c:formatCode>General</c:formatCode>
                <c:ptCount val="2"/>
                <c:pt idx="0">
                  <c:v>1013.3</c:v>
                </c:pt>
                <c:pt idx="1">
                  <c:v>746.4</c:v>
                </c:pt>
              </c:numCache>
            </c:numRef>
          </c:val>
        </c:ser>
        <c:ser>
          <c:idx val="1"/>
          <c:order val="1"/>
          <c:tx>
            <c:strRef>
              <c:f>Sheet1!$C$1</c:f>
              <c:strCache>
                <c:ptCount val="1"/>
                <c:pt idx="0">
                  <c:v>Substandart</c:v>
                </c:pt>
              </c:strCache>
            </c:strRef>
          </c:tx>
          <c:spPr>
            <a:solidFill>
              <a:srgbClr val="FFC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Sheet1!$C$2:$C$3</c:f>
              <c:numCache>
                <c:formatCode>General</c:formatCode>
                <c:ptCount val="2"/>
                <c:pt idx="0">
                  <c:v>577.8</c:v>
                </c:pt>
                <c:pt idx="1">
                  <c:v>2290.9</c:v>
                </c:pt>
              </c:numCache>
            </c:numRef>
          </c:val>
        </c:ser>
        <c:ser>
          <c:idx val="2"/>
          <c:order val="2"/>
          <c:tx>
            <c:strRef>
              <c:f>Sheet1!$D$1</c:f>
              <c:strCache>
                <c:ptCount val="1"/>
                <c:pt idx="0">
                  <c:v>Qoniqarsiz</c:v>
                </c:pt>
              </c:strCache>
            </c:strRef>
          </c:tx>
          <c:spPr>
            <a:solidFill>
              <a:srgbClr val="EB6834"/>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Sheet1!$D$2:$D$3</c:f>
              <c:numCache>
                <c:formatCode>General</c:formatCode>
                <c:ptCount val="2"/>
                <c:pt idx="0">
                  <c:v>1326.1</c:v>
                </c:pt>
                <c:pt idx="1">
                  <c:v>243.9</c:v>
                </c:pt>
              </c:numCache>
            </c:numRef>
          </c:val>
        </c:ser>
        <c:ser>
          <c:idx val="3"/>
          <c:order val="3"/>
          <c:tx>
            <c:strRef>
              <c:f>Sheet1!$E$1</c:f>
              <c:strCache>
                <c:ptCount val="1"/>
                <c:pt idx="0">
                  <c:v>Shubhali</c:v>
                </c:pt>
              </c:strCache>
            </c:strRef>
          </c:tx>
          <c:spPr>
            <a:solidFill>
              <a:srgbClr val="C00000"/>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Sheet1!$E$2:$E$3</c:f>
              <c:numCache>
                <c:formatCode>General</c:formatCode>
                <c:ptCount val="2"/>
                <c:pt idx="0">
                  <c:v>628.2</c:v>
                </c:pt>
                <c:pt idx="1">
                  <c:v>642.1</c:v>
                </c:pt>
              </c:numCache>
            </c:numRef>
          </c:val>
        </c:ser>
        <c:ser>
          <c:idx val="4"/>
          <c:order val="4"/>
          <c:tx>
            <c:strRef>
              <c:f>Sheet1!$F$1</c:f>
              <c:strCache>
                <c:ptCount val="1"/>
                <c:pt idx="0">
                  <c:v>Umidsiz</c:v>
                </c:pt>
              </c:strCache>
            </c:strRef>
          </c:tx>
          <c:spPr>
            <a:solidFill>
              <a:srgbClr val="7F7F7F"/>
            </a:solidFill>
            <a:ln w="6350">
              <a:solidFill>
                <a:srgbClr val="FFFFFF"/>
              </a:solidFill>
            </a:ln>
          </c:spPr>
          <c:invertIfNegative val="0"/>
          <c:dLbls>
            <c:numFmt formatCode="#,##0" sourceLinked="0"/>
            <c:spPr>
              <a:noFill/>
              <a:ln>
                <a:noFill/>
              </a:ln>
            </c:spPr>
            <c:txPr>
              <a:bodyPr/>
              <a:lstStyle/>
              <a:p>
                <a:pPr>
                  <a:defRPr sz="1050" b="1">
                    <a:solidFill>
                      <a:srgbClr val="000000"/>
                    </a:solidFill>
                    <a:latin typeface="Times New Roman"/>
                    <a:cs typeface="Times New Roman"/>
                  </a:defRPr>
                </a:pPr>
                <a:endParaRPr lang="uz-Latn-UZ"/>
              </a:p>
            </c:txPr>
            <c:dLblPos val="ctr"/>
            <c:showLegendKey val="0"/>
            <c:showVal val="1"/>
            <c:showCatName val="0"/>
            <c:showSerName val="0"/>
            <c:showPercent val="0"/>
            <c:showBubbleSize val="0"/>
          </c:dLbls>
          <c:cat>
            <c:strRef>
              <c:f>Sheet1!$A$2:$A$3</c:f>
              <c:strCache>
                <c:ptCount val="2"/>
                <c:pt idx="0">
                  <c:v>2024</c:v>
                </c:pt>
                <c:pt idx="1">
                  <c:v>2025</c:v>
                </c:pt>
              </c:strCache>
            </c:strRef>
          </c:cat>
          <c:val>
            <c:numRef>
              <c:f>Sheet1!$F$2:$F$3</c:f>
              <c:numCache>
                <c:formatCode>General</c:formatCode>
                <c:ptCount val="2"/>
                <c:pt idx="0">
                  <c:v>540.2</c:v>
                </c:pt>
                <c:pt idx="1">
                  <c:v>1386.9</c:v>
                </c:pt>
              </c:numCache>
            </c:numRef>
          </c:val>
        </c:ser>
        <c:gapWidth val="70"/>
        <c:overlap val="10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6000"/>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0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«O‘zsanoatqurilishbank»</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1.65</c:v>
                </c:pt>
                <c:pt idx="1">
                  <c:v>2.61</c:v>
                </c:pt>
                <c:pt idx="2">
                  <c:v>2.14</c:v>
                </c:pt>
                <c:pt idx="3">
                  <c:v>2.08</c:v>
                </c:pt>
                <c:pt idx="4">
                  <c:v>2.96</c:v>
                </c:pt>
              </c:numCache>
            </c:numRef>
          </c:yVal>
          <c:smooth val="0"/>
        </c:ser>
        <c:ser>
          <c:idx val="1"/>
          <c:order val="1"/>
          <c:tx>
            <c:strRef>
              <c:f>Sheet1!$D$1</c:f>
              <c:strCache>
                <c:ptCount val="1"/>
                <c:pt idx="0">
                  <c:v>«Mikrokreditbank»</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2.95</c:v>
                </c:pt>
                <c:pt idx="1">
                  <c:v>2.81</c:v>
                </c:pt>
                <c:pt idx="2">
                  <c:v>2.77</c:v>
                </c:pt>
                <c:pt idx="3">
                  <c:v>3.3</c:v>
                </c:pt>
                <c:pt idx="4">
                  <c:v>2.8</c:v>
                </c:pt>
              </c:numCache>
            </c:numRef>
          </c:yVal>
          <c:smooth val="0"/>
        </c:ser>
        <c:ser>
          <c:idx val="2"/>
          <c:order val="2"/>
          <c:tx>
            <c:strRef>
              <c:f>Sheet1!$F$1</c:f>
              <c:strCache>
                <c:ptCount val="1"/>
                <c:pt idx="0">
                  <c:v>Muvofiqlik darajasi (1,0)</c:v>
                </c:pt>
              </c:strCache>
            </c:strRef>
          </c:tx>
          <c:spPr>
            <a:ln w="19050">
              <a:solidFill>
                <a:srgbClr val="A5A5A5"/>
              </a:solidFill>
              <a:prstDash val="dash"/>
            </a:ln>
          </c:spPr>
          <c:marker>
            <c:symbol val="none"/>
          </c:marker>
          <c:xVal>
            <c:numRef>
              <c:f>Sheet1!$E$2:$E$3</c:f>
              <c:numCache>
                <c:formatCode>General</c:formatCode>
                <c:ptCount val="2"/>
                <c:pt idx="0">
                  <c:v>2021</c:v>
                </c:pt>
                <c:pt idx="1">
                  <c:v>2025</c:v>
                </c:pt>
              </c:numCache>
            </c:numRef>
          </c:xVal>
          <c:yVal>
            <c:numRef>
              <c:f>Sheet1!$F$2:$F$3</c:f>
              <c:numCache>
                <c:formatCode>General</c:formatCode>
                <c:ptCount val="2"/>
                <c:pt idx="0">
                  <c:v>1</c:v>
                </c:pt>
                <c:pt idx="1">
                  <c:v>1</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Koeffitsiyent</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Milliy hisobot</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Sheet1!$B$2:$B$6</c:f>
              <c:numCache>
                <c:formatCode>General</c:formatCode>
                <c:ptCount val="5"/>
                <c:pt idx="0">
                  <c:v>38.4</c:v>
                </c:pt>
                <c:pt idx="1">
                  <c:v>21.3</c:v>
                </c:pt>
                <c:pt idx="2">
                  <c:v>41.1</c:v>
                </c:pt>
                <c:pt idx="3">
                  <c:v>-1703.8</c:v>
                </c:pt>
                <c:pt idx="4">
                  <c:v>160.8</c:v>
                </c:pt>
              </c:numCache>
            </c:numRef>
          </c:val>
        </c:ser>
        <c:ser>
          <c:idx val="1"/>
          <c:order val="1"/>
          <c:tx>
            <c:strRef>
              <c:f>Sheet1!$C$1</c:f>
              <c:strCache>
                <c:ptCount val="1"/>
                <c:pt idx="0">
                  <c:v>MHXS</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2021</c:v>
                </c:pt>
                <c:pt idx="1">
                  <c:v>2022</c:v>
                </c:pt>
                <c:pt idx="2">
                  <c:v>2023</c:v>
                </c:pt>
                <c:pt idx="3">
                  <c:v>2024</c:v>
                </c:pt>
                <c:pt idx="4">
                  <c:v>2025</c:v>
                </c:pt>
              </c:strCache>
            </c:strRef>
          </c:cat>
          <c:val>
            <c:numRef>
              <c:f>Sheet1!$C$2:$C$6</c:f>
              <c:numCache>
                <c:formatCode>General</c:formatCode>
                <c:ptCount val="5"/>
                <c:pt idx="0">
                  <c:v>5.1</c:v>
                </c:pt>
                <c:pt idx="1">
                  <c:v>10.4</c:v>
                </c:pt>
                <c:pt idx="2">
                  <c:v>-471.2</c:v>
                </c:pt>
                <c:pt idx="3">
                  <c:v>-961.3</c:v>
                </c:pt>
                <c:pt idx="4">
                  <c:v>42.1</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500"/>
          <c:min val="-200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mlrd so‘m</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0"/>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Nisbiy tafovut</c:v>
                </c:pt>
              </c:strCache>
            </c:strRef>
          </c:tx>
          <c:spPr>
            <a:solidFill>
              <a:srgbClr val="1F4E79"/>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Sheet1!$A$2:$A$8</c:f>
              <c:strCache>
                <c:ptCount val="7"/>
                <c:pt idx="0">
                  <c:v>Muammoli kreditlar ulushi</c:v>
                </c:pt>
                <c:pt idx="1">
                  <c:v>Kredit zaxiralari</c:v>
                </c:pt>
                <c:pt idx="2">
                  <c:v>NSFR</c:v>
                </c:pt>
                <c:pt idx="3">
                  <c:v>Jami aktivlar</c:v>
                </c:pt>
                <c:pt idx="4">
                  <c:v>CET1 monandligi</c:v>
                </c:pt>
                <c:pt idx="5">
                  <c:v>Xususiy kapital</c:v>
                </c:pt>
                <c:pt idx="6">
                  <c:v>Sof foyda</c:v>
                </c:pt>
              </c:strCache>
            </c:strRef>
          </c:cat>
          <c:val>
            <c:numRef>
              <c:f>Sheet1!$B$2:$B$8</c:f>
              <c:numCache>
                <c:formatCode>General</c:formatCode>
                <c:ptCount val="7"/>
                <c:pt idx="0">
                  <c:v>195.7</c:v>
                </c:pt>
                <c:pt idx="1">
                  <c:v>44.2</c:v>
                </c:pt>
                <c:pt idx="2">
                  <c:v>2.1</c:v>
                </c:pt>
                <c:pt idx="3">
                  <c:v>-5.1</c:v>
                </c:pt>
                <c:pt idx="4">
                  <c:v>-13.1</c:v>
                </c:pt>
                <c:pt idx="5">
                  <c:v>-13.5</c:v>
                </c:pt>
                <c:pt idx="6">
                  <c:v>-17.9</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200"/>
          <c:min val="-5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0"/>
      </c:valAx>
      <c:spPr>
        <a:noFill/>
        <a:ln>
          <a:noFill/>
        </a:ln>
      </c:spPr>
    </c:plotArea>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Uzluksiz shkala (taklif)</c:v>
                </c:pt>
              </c:strCache>
            </c:strRef>
          </c:tx>
          <c:spPr>
            <a:ln w="28575">
              <a:solidFill>
                <a:srgbClr val="2A78D6"/>
              </a:solidFill>
            </a:ln>
          </c:spPr>
          <c:marker>
            <c:symbol val="circle"/>
            <c:size val="7"/>
            <c:spPr>
              <a:solidFill>
                <a:srgbClr val="2A78D6"/>
              </a:solidFill>
              <a:ln>
                <a:noFill/>
              </a:ln>
            </c:spPr>
          </c:marker>
          <c:xVal>
            <c:numRef>
              <c:f>Sheet1!$A$2:$A$9</c:f>
              <c:numCache>
                <c:formatCode>General</c:formatCode>
                <c:ptCount val="8"/>
                <c:pt idx="0">
                  <c:v>3</c:v>
                </c:pt>
                <c:pt idx="1">
                  <c:v>4.5</c:v>
                </c:pt>
                <c:pt idx="2">
                  <c:v>5.75</c:v>
                </c:pt>
                <c:pt idx="3">
                  <c:v>7</c:v>
                </c:pt>
                <c:pt idx="4">
                  <c:v>8</c:v>
                </c:pt>
                <c:pt idx="5">
                  <c:v>9.25</c:v>
                </c:pt>
                <c:pt idx="6">
                  <c:v>10.5</c:v>
                </c:pt>
                <c:pt idx="7">
                  <c:v>13</c:v>
                </c:pt>
              </c:numCache>
            </c:numRef>
          </c:xVal>
          <c:yVal>
            <c:numRef>
              <c:f>Sheet1!$B$2:$B$9</c:f>
              <c:numCache>
                <c:formatCode>General</c:formatCode>
                <c:ptCount val="8"/>
                <c:pt idx="0">
                  <c:v>1</c:v>
                </c:pt>
                <c:pt idx="1">
                  <c:v>1</c:v>
                </c:pt>
                <c:pt idx="2">
                  <c:v>1.5</c:v>
                </c:pt>
                <c:pt idx="3">
                  <c:v>2</c:v>
                </c:pt>
                <c:pt idx="4">
                  <c:v>3</c:v>
                </c:pt>
                <c:pt idx="5">
                  <c:v>3.5</c:v>
                </c:pt>
                <c:pt idx="6">
                  <c:v>4</c:v>
                </c:pt>
                <c:pt idx="7">
                  <c:v>4</c:v>
                </c:pt>
              </c:numCache>
            </c:numRef>
          </c:yVal>
          <c:smooth val="0"/>
        </c:ser>
        <c:ser>
          <c:idx val="1"/>
          <c:order val="1"/>
          <c:tx>
            <c:strRef>
              <c:f>Sheet1!$D$1</c:f>
              <c:strCache>
                <c:ptCount val="1"/>
                <c:pt idx="0">
                  <c:v>Pog‘onali shkala</c:v>
                </c:pt>
              </c:strCache>
            </c:strRef>
          </c:tx>
          <c:spPr>
            <a:ln w="19050">
              <a:solidFill>
                <a:srgbClr val="EB6834"/>
              </a:solidFill>
              <a:prstDash val="dash"/>
            </a:ln>
          </c:spPr>
          <c:marker>
            <c:symbol val="none"/>
          </c:marker>
          <c:xVal>
            <c:numRef>
              <c:f>Sheet1!$C$2:$C$9</c:f>
              <c:numCache>
                <c:formatCode>General</c:formatCode>
                <c:ptCount val="8"/>
                <c:pt idx="0">
                  <c:v>3</c:v>
                </c:pt>
                <c:pt idx="1">
                  <c:v>7</c:v>
                </c:pt>
                <c:pt idx="2">
                  <c:v>7</c:v>
                </c:pt>
                <c:pt idx="3">
                  <c:v>8</c:v>
                </c:pt>
                <c:pt idx="4">
                  <c:v>8</c:v>
                </c:pt>
                <c:pt idx="5">
                  <c:v>10.5</c:v>
                </c:pt>
                <c:pt idx="6">
                  <c:v>10.5</c:v>
                </c:pt>
                <c:pt idx="7">
                  <c:v>13</c:v>
                </c:pt>
              </c:numCache>
            </c:numRef>
          </c:xVal>
          <c:yVal>
            <c:numRef>
              <c:f>Sheet1!$D$2:$D$9</c:f>
              <c:numCache>
                <c:formatCode>General</c:formatCode>
                <c:ptCount val="8"/>
                <c:pt idx="0">
                  <c:v>1</c:v>
                </c:pt>
                <c:pt idx="1">
                  <c:v>1</c:v>
                </c:pt>
                <c:pt idx="2">
                  <c:v>2</c:v>
                </c:pt>
                <c:pt idx="3">
                  <c:v>2</c:v>
                </c:pt>
                <c:pt idx="4">
                  <c:v>3</c:v>
                </c:pt>
                <c:pt idx="5">
                  <c:v>3</c:v>
                </c:pt>
                <c:pt idx="6">
                  <c:v>4</c:v>
                </c:pt>
                <c:pt idx="7">
                  <c:v>4</c:v>
                </c:pt>
              </c:numCache>
            </c:numRef>
          </c:yVal>
          <c:smooth val="0"/>
        </c:ser>
        <c:axId val="333"/>
        <c:axId val="444"/>
      </c:scatterChart>
      <c:valAx>
        <c:axId val="333"/>
        <c:scaling>
          <c:orientation val="minMax"/>
          <c:max val="13"/>
          <c:min val="3"/>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Birinchi darajali asosiy kapital monandligi, %</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5"/>
          <c:min val="0.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«O‘zsanoatqurilishbank»: milliy</c:v>
                </c:pt>
              </c:strCache>
            </c:strRef>
          </c:tx>
          <c:spPr>
            <a:solidFill>
              <a:srgbClr val="9DC3E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3.96</c:v>
                </c:pt>
                <c:pt idx="1">
                  <c:v>3.55</c:v>
                </c:pt>
                <c:pt idx="2">
                  <c:v>3.0</c:v>
                </c:pt>
                <c:pt idx="3">
                  <c:v>3.99</c:v>
                </c:pt>
                <c:pt idx="4">
                  <c:v>1.47</c:v>
                </c:pt>
              </c:numCache>
            </c:numRef>
          </c:val>
        </c:ser>
        <c:ser>
          <c:idx val="1"/>
          <c:order val="1"/>
          <c:tx>
            <c:strRef>
              <c:f>Sheet1!$C$1</c:f>
              <c:strCache>
                <c:ptCount val="1"/>
                <c:pt idx="0">
                  <c:v>«O‘zsanoatqurilishbank»: MHXS</c:v>
                </c:pt>
              </c:strCache>
            </c:strRef>
          </c:tx>
          <c:spPr>
            <a:solidFill>
              <a:srgbClr val="1F4E79"/>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3.76</c:v>
                </c:pt>
                <c:pt idx="1">
                  <c:v>2.26</c:v>
                </c:pt>
                <c:pt idx="2">
                  <c:v>3.0</c:v>
                </c:pt>
                <c:pt idx="3">
                  <c:v>3.83</c:v>
                </c:pt>
                <c:pt idx="4">
                  <c:v>1.47</c:v>
                </c:pt>
              </c:numCache>
            </c:numRef>
          </c:val>
        </c:ser>
        <c:ser>
          <c:idx val="2"/>
          <c:order val="2"/>
          <c:tx>
            <c:strRef>
              <c:f>Sheet1!$D$1</c:f>
              <c:strCache>
                <c:ptCount val="1"/>
                <c:pt idx="0">
                  <c:v>«Mikrokreditbank»: milliy</c:v>
                </c:pt>
              </c:strCache>
            </c:strRef>
          </c:tx>
          <c:spPr>
            <a:solidFill>
              <a:srgbClr val="A9D18E"/>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4.0</c:v>
                </c:pt>
                <c:pt idx="1">
                  <c:v>3.42</c:v>
                </c:pt>
                <c:pt idx="2">
                  <c:v>2.77</c:v>
                </c:pt>
                <c:pt idx="3">
                  <c:v>2.09</c:v>
                </c:pt>
                <c:pt idx="4">
                  <c:v>3.79</c:v>
                </c:pt>
              </c:numCache>
            </c:numRef>
          </c:val>
        </c:ser>
        <c:ser>
          <c:idx val="3"/>
          <c:order val="3"/>
          <c:tx>
            <c:strRef>
              <c:f>Sheet1!$E$1</c:f>
              <c:strCache>
                <c:ptCount val="1"/>
                <c:pt idx="0">
                  <c:v>«Mikrokreditbank»: MHXS</c:v>
                </c:pt>
              </c:strCache>
            </c:strRef>
          </c:tx>
          <c:spPr>
            <a:solidFill>
              <a:srgbClr val="38761D"/>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4.0</c:v>
                </c:pt>
                <c:pt idx="1">
                  <c:v>1.62</c:v>
                </c:pt>
                <c:pt idx="2">
                  <c:v>2.77</c:v>
                </c:pt>
                <c:pt idx="3">
                  <c:v>1.33</c:v>
                </c:pt>
                <c:pt idx="4">
                  <c:v>3.79</c:v>
                </c:pt>
              </c:numCache>
            </c:numRef>
          </c:val>
        </c:ser>
        <c:gapWidth val="5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Taklif etilgan vaznlar</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SQB: milliy</c:v>
                </c:pt>
                <c:pt idx="1">
                  <c:v>SQB: MHXS</c:v>
                </c:pt>
                <c:pt idx="2">
                  <c:v>MKB: milliy</c:v>
                </c:pt>
                <c:pt idx="3">
                  <c:v>MKB: MHXS</c:v>
                </c:pt>
              </c:strCache>
            </c:strRef>
          </c:cat>
          <c:val>
            <c:numRef>
              <c:f>Sheet1!$B$2:$B$5</c:f>
              <c:numCache>
                <c:formatCode>General</c:formatCode>
                <c:ptCount val="4"/>
                <c:pt idx="0">
                  <c:v>3.4</c:v>
                </c:pt>
                <c:pt idx="1">
                  <c:v>2.94</c:v>
                </c:pt>
                <c:pt idx="2">
                  <c:v>3.27</c:v>
                </c:pt>
                <c:pt idx="3">
                  <c:v>2.62</c:v>
                </c:pt>
              </c:numCache>
            </c:numRef>
          </c:val>
        </c:ser>
        <c:ser>
          <c:idx val="1"/>
          <c:order val="1"/>
          <c:tx>
            <c:strRef>
              <c:f>Sheet1!$C$1</c:f>
              <c:strCache>
                <c:ptCount val="1"/>
                <c:pt idx="0">
                  <c:v>Teng vaznlar</c:v>
                </c:pt>
              </c:strCache>
            </c:strRef>
          </c:tx>
          <c:spPr>
            <a:solidFill>
              <a:srgbClr val="A5A5A5"/>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SQB: milliy</c:v>
                </c:pt>
                <c:pt idx="1">
                  <c:v>SQB: MHXS</c:v>
                </c:pt>
                <c:pt idx="2">
                  <c:v>MKB: milliy</c:v>
                </c:pt>
                <c:pt idx="3">
                  <c:v>MKB: MHXS</c:v>
                </c:pt>
              </c:strCache>
            </c:strRef>
          </c:cat>
          <c:val>
            <c:numRef>
              <c:f>Sheet1!$C$2:$C$5</c:f>
              <c:numCache>
                <c:formatCode>General</c:formatCode>
                <c:ptCount val="4"/>
                <c:pt idx="0">
                  <c:v>3.19</c:v>
                </c:pt>
                <c:pt idx="1">
                  <c:v>2.86</c:v>
                </c:pt>
                <c:pt idx="2">
                  <c:v>3.21</c:v>
                </c:pt>
                <c:pt idx="3">
                  <c:v>2.7</c:v>
                </c:pt>
              </c:numCache>
            </c:numRef>
          </c:val>
        </c:ser>
        <c:ser>
          <c:idx val="2"/>
          <c:order val="2"/>
          <c:tx>
            <c:strRef>
              <c:f>Sheet1!$D$1</c:f>
              <c:strCache>
                <c:ptCount val="1"/>
                <c:pt idx="0">
                  <c:v>CAMEL nisbati</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SQB: milliy</c:v>
                </c:pt>
                <c:pt idx="1">
                  <c:v>SQB: MHXS</c:v>
                </c:pt>
                <c:pt idx="2">
                  <c:v>MKB: milliy</c:v>
                </c:pt>
                <c:pt idx="3">
                  <c:v>MKB: MHXS</c:v>
                </c:pt>
              </c:strCache>
            </c:strRef>
          </c:cat>
          <c:val>
            <c:numRef>
              <c:f>Sheet1!$D$2:$D$5</c:f>
              <c:numCache>
                <c:formatCode>General</c:formatCode>
                <c:ptCount val="4"/>
                <c:pt idx="0">
                  <c:v>3.67</c:v>
                </c:pt>
                <c:pt idx="1">
                  <c:v>3.11</c:v>
                </c:pt>
                <c:pt idx="2">
                  <c:v>3.12</c:v>
                </c:pt>
                <c:pt idx="3">
                  <c:v>2.27</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«Xalq banki»</c:v>
                </c:pt>
              </c:strCache>
            </c:strRef>
          </c:tx>
          <c:spPr>
            <a:ln w="28575">
              <a:solidFill>
                <a:srgbClr val="70AD47"/>
              </a:solidFill>
            </a:ln>
          </c:spPr>
          <c:marker>
            <c:symbol val="circle"/>
            <c:size val="7"/>
            <c:spPr>
              <a:solidFill>
                <a:srgbClr val="70AD47"/>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70AD47"/>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2.66</c:v>
                </c:pt>
                <c:pt idx="1">
                  <c:v>2.71</c:v>
                </c:pt>
                <c:pt idx="2">
                  <c:v>2.96</c:v>
                </c:pt>
                <c:pt idx="3">
                  <c:v>3.2</c:v>
                </c:pt>
                <c:pt idx="4">
                  <c:v>3.38</c:v>
                </c:pt>
              </c:numCache>
            </c:numRef>
          </c:yVal>
          <c:smooth val="0"/>
        </c:ser>
        <c:ser>
          <c:idx val="1"/>
          <c:order val="1"/>
          <c:tx>
            <c:strRef>
              <c:f>Sheet1!$D$1</c:f>
              <c:strCache>
                <c:ptCount val="1"/>
                <c:pt idx="0">
                  <c:v>«Biznesni rivojlantirish banki»</c:v>
                </c:pt>
              </c:strCache>
            </c:strRef>
          </c:tx>
          <c:spPr>
            <a:ln w="28575">
              <a:solidFill>
                <a:srgbClr val="FFC000"/>
              </a:solidFill>
            </a:ln>
          </c:spPr>
          <c:marker>
            <c:symbol val="square"/>
            <c:size val="7"/>
            <c:spPr>
              <a:solidFill>
                <a:srgbClr val="FFC000"/>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FFC000"/>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2.51</c:v>
                </c:pt>
                <c:pt idx="1">
                  <c:v>2.25</c:v>
                </c:pt>
                <c:pt idx="2">
                  <c:v>2.03</c:v>
                </c:pt>
                <c:pt idx="3">
                  <c:v>2.58</c:v>
                </c:pt>
                <c:pt idx="4">
                  <c:v>3.23</c:v>
                </c:pt>
              </c:numCache>
            </c:numRef>
          </c:yVal>
          <c:smooth val="0"/>
        </c:ser>
        <c:ser>
          <c:idx val="2"/>
          <c:order val="2"/>
          <c:tx>
            <c:strRef>
              <c:f>Sheet1!$F$1</c:f>
              <c:strCache>
                <c:ptCount val="1"/>
                <c:pt idx="0">
                  <c:v>«Ipoteka-bank»</c:v>
                </c:pt>
              </c:strCache>
            </c:strRef>
          </c:tx>
          <c:spPr>
            <a:ln w="28575">
              <a:solidFill>
                <a:srgbClr val="7030A0"/>
              </a:solidFill>
            </a:ln>
          </c:spPr>
          <c:marker>
            <c:symbol val="triangle"/>
            <c:size val="7"/>
            <c:spPr>
              <a:solidFill>
                <a:srgbClr val="7030A0"/>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7030A0"/>
                    </a:solidFill>
                    <a:latin typeface="Times New Roman"/>
                    <a:cs typeface="Times New Roman"/>
                  </a:defRPr>
                </a:pPr>
                <a:endParaRPr lang="uz-Latn-UZ"/>
              </a:p>
            </c:txPr>
            <c:dLblPos val="t"/>
            <c:showLegendKey val="0"/>
            <c:showVal val="1"/>
            <c:showCatName val="0"/>
            <c:showSerName val="0"/>
            <c:showPercent val="0"/>
            <c:showBubbleSize val="0"/>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3.32</c:v>
                </c:pt>
                <c:pt idx="1">
                  <c:v>3.37</c:v>
                </c:pt>
                <c:pt idx="2">
                  <c:v>2.69</c:v>
                </c:pt>
                <c:pt idx="3">
                  <c:v>3.13</c:v>
                </c:pt>
                <c:pt idx="4">
                  <c:v>3.11</c:v>
                </c:pt>
              </c:numCache>
            </c:numRef>
          </c:yVal>
          <c:smooth val="0"/>
        </c:ser>
        <c:ser>
          <c:idx val="3"/>
          <c:order val="3"/>
          <c:tx>
            <c:strRef>
              <c:f>Sheet1!$H$1</c:f>
              <c:strCache>
                <c:ptCount val="1"/>
                <c:pt idx="0">
                  <c:v>«O‘zsanoatqurilishbank»</c:v>
                </c:pt>
              </c:strCache>
            </c:strRef>
          </c:tx>
          <c:spPr>
            <a:ln w="28575">
              <a:solidFill>
                <a:srgbClr val="2A78D6"/>
              </a:solidFill>
            </a:ln>
          </c:spPr>
          <c:marker>
            <c:symbol val="diamond"/>
            <c:size val="7"/>
            <c:spPr>
              <a:solidFill>
                <a:srgbClr val="2A78D6"/>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2A78D6"/>
                    </a:solidFill>
                    <a:latin typeface="Times New Roman"/>
                    <a:cs typeface="Times New Roman"/>
                  </a:defRPr>
                </a:pPr>
                <a:endParaRPr lang="uz-Latn-UZ"/>
              </a:p>
            </c:txPr>
            <c:dLblPos val="t"/>
            <c:showLegendKey val="0"/>
            <c:showVal val="1"/>
            <c:showCatName val="0"/>
            <c:showSerName val="0"/>
            <c:showPercent val="0"/>
            <c:showBubbleSize val="0"/>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2.93</c:v>
                </c:pt>
                <c:pt idx="1">
                  <c:v>2.82</c:v>
                </c:pt>
                <c:pt idx="2">
                  <c:v>2.91</c:v>
                </c:pt>
                <c:pt idx="3">
                  <c:v>2.75</c:v>
                </c:pt>
                <c:pt idx="4">
                  <c:v>2.83</c:v>
                </c:pt>
              </c:numCache>
            </c:numRef>
          </c:yVal>
          <c:smooth val="0"/>
        </c:ser>
        <c:ser>
          <c:idx val="4"/>
          <c:order val="4"/>
          <c:tx>
            <c:strRef>
              <c:f>Sheet1!$J$1</c:f>
              <c:strCache>
                <c:ptCount val="1"/>
                <c:pt idx="0">
                  <c:v>«Mikrokreditbank»</c:v>
                </c:pt>
              </c:strCache>
            </c:strRef>
          </c:tx>
          <c:spPr>
            <a:ln w="28575">
              <a:solidFill>
                <a:srgbClr val="EB6834"/>
              </a:solidFill>
            </a:ln>
          </c:spPr>
          <c:marker>
            <c:symbol val="x"/>
            <c:size val="7"/>
            <c:spPr>
              <a:solidFill>
                <a:srgbClr val="EB6834"/>
              </a:solidFill>
              <a:ln>
                <a:noFill/>
              </a:ln>
            </c:spPr>
          </c:marker>
          <c:dLbls>
            <c:dLbl>
              <c:idx val="0"/>
              <c:delete val="1"/>
            </c:dLbl>
            <c:dLbl>
              <c:idx val="1"/>
              <c:delete val="1"/>
            </c:dLbl>
            <c:dLbl>
              <c:idx val="2"/>
              <c:delete val="1"/>
            </c:dLbl>
            <c:dLbl>
              <c:idx val="3"/>
              <c:delete val="1"/>
            </c:dLbl>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Sheet1!$I$2:$I$6</c:f>
              <c:numCache>
                <c:formatCode>General</c:formatCode>
                <c:ptCount val="5"/>
                <c:pt idx="0">
                  <c:v>2021</c:v>
                </c:pt>
                <c:pt idx="1">
                  <c:v>2022</c:v>
                </c:pt>
                <c:pt idx="2">
                  <c:v>2023</c:v>
                </c:pt>
                <c:pt idx="3">
                  <c:v>2024</c:v>
                </c:pt>
                <c:pt idx="4">
                  <c:v>2025</c:v>
                </c:pt>
              </c:numCache>
            </c:numRef>
          </c:xVal>
          <c:yVal>
            <c:numRef>
              <c:f>Sheet1!$J$2:$J$6</c:f>
              <c:numCache>
                <c:formatCode>General</c:formatCode>
                <c:ptCount val="5"/>
                <c:pt idx="0">
                  <c:v>2.2</c:v>
                </c:pt>
                <c:pt idx="1">
                  <c:v>2.31</c:v>
                </c:pt>
                <c:pt idx="2">
                  <c:v>2.22</c:v>
                </c:pt>
                <c:pt idx="3">
                  <c:v>2.24</c:v>
                </c:pt>
                <c:pt idx="4">
                  <c:v>2.47</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1.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«Xalq banki»</c:v>
                </c:pt>
              </c:strCache>
            </c:strRef>
          </c:tx>
          <c:spPr>
            <a:solidFill>
              <a:srgbClr val="70AD47"/>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Sheet1!$B$2:$B$6</c:f>
              <c:numCache>
                <c:formatCode>General</c:formatCode>
                <c:ptCount val="5"/>
                <c:pt idx="0">
                  <c:v>4.0</c:v>
                </c:pt>
                <c:pt idx="1">
                  <c:v>3.62</c:v>
                </c:pt>
                <c:pt idx="2">
                  <c:v>1.5</c:v>
                </c:pt>
                <c:pt idx="3">
                  <c:v>3.98</c:v>
                </c:pt>
                <c:pt idx="4">
                  <c:v>4.0</c:v>
                </c:pt>
              </c:numCache>
            </c:numRef>
          </c:val>
        </c:ser>
        <c:ser>
          <c:idx val="1"/>
          <c:order val="1"/>
          <c:tx>
            <c:strRef>
              <c:f>Sheet1!$C$1</c:f>
              <c:strCache>
                <c:ptCount val="1"/>
                <c:pt idx="0">
                  <c:v>«Biznesni rivojlantirish banki»</c:v>
                </c:pt>
              </c:strCache>
            </c:strRef>
          </c:tx>
          <c:spPr>
            <a:solidFill>
              <a:srgbClr val="FFC00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Sheet1!$C$2:$C$6</c:f>
              <c:numCache>
                <c:formatCode>General</c:formatCode>
                <c:ptCount val="5"/>
                <c:pt idx="0">
                  <c:v>3.87</c:v>
                </c:pt>
                <c:pt idx="1">
                  <c:v>3.15</c:v>
                </c:pt>
                <c:pt idx="2">
                  <c:v>2.3</c:v>
                </c:pt>
                <c:pt idx="3">
                  <c:v>3.05</c:v>
                </c:pt>
                <c:pt idx="4">
                  <c:v>3.96</c:v>
                </c:pt>
              </c:numCache>
            </c:numRef>
          </c:val>
        </c:ser>
        <c:ser>
          <c:idx val="2"/>
          <c:order val="2"/>
          <c:tx>
            <c:strRef>
              <c:f>Sheet1!$D$1</c:f>
              <c:strCache>
                <c:ptCount val="1"/>
                <c:pt idx="0">
                  <c:v>«Ipoteka-bank»</c:v>
                </c:pt>
              </c:strCache>
            </c:strRef>
          </c:tx>
          <c:spPr>
            <a:solidFill>
              <a:srgbClr val="7030A0"/>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Sheet1!$D$2:$D$6</c:f>
              <c:numCache>
                <c:formatCode>General</c:formatCode>
                <c:ptCount val="5"/>
                <c:pt idx="0">
                  <c:v>4.0</c:v>
                </c:pt>
                <c:pt idx="1">
                  <c:v>2.43</c:v>
                </c:pt>
                <c:pt idx="2">
                  <c:v>1.96</c:v>
                </c:pt>
                <c:pt idx="3">
                  <c:v>3.94</c:v>
                </c:pt>
                <c:pt idx="4">
                  <c:v>4.0</c:v>
                </c:pt>
              </c:numCache>
            </c:numRef>
          </c:val>
        </c:ser>
        <c:ser>
          <c:idx val="3"/>
          <c:order val="3"/>
          <c:tx>
            <c:strRef>
              <c:f>Sheet1!$E$1</c:f>
              <c:strCache>
                <c:ptCount val="1"/>
                <c:pt idx="0">
                  <c:v>«O‘zsanoatqurilishbank»</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Sheet1!$E$2:$E$6</c:f>
              <c:numCache>
                <c:formatCode>General</c:formatCode>
                <c:ptCount val="5"/>
                <c:pt idx="0">
                  <c:v>3.82</c:v>
                </c:pt>
                <c:pt idx="1">
                  <c:v>2.28</c:v>
                </c:pt>
                <c:pt idx="2">
                  <c:v>2.33</c:v>
                </c:pt>
                <c:pt idx="3">
                  <c:v>3.83</c:v>
                </c:pt>
                <c:pt idx="4">
                  <c:v>1.45</c:v>
                </c:pt>
              </c:numCache>
            </c:numRef>
          </c:val>
        </c:ser>
        <c:ser>
          <c:idx val="4"/>
          <c:order val="4"/>
          <c:tx>
            <c:strRef>
              <c:f>Sheet1!$F$1</c:f>
              <c:strCache>
                <c:ptCount val="1"/>
                <c:pt idx="0">
                  <c:v>«Mikrokreditbank»</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Kapital</c:v>
                </c:pt>
                <c:pt idx="1">
                  <c:v>Aktivlar sifati</c:v>
                </c:pt>
                <c:pt idx="2">
                  <c:v>Likvidlik</c:v>
                </c:pt>
                <c:pt idx="3">
                  <c:v>Daromadlilik</c:v>
                </c:pt>
                <c:pt idx="4">
                  <c:v>Valyuta riski</c:v>
                </c:pt>
              </c:strCache>
            </c:strRef>
          </c:cat>
          <c:val>
            <c:numRef>
              <c:f>Sheet1!$F$2:$F$6</c:f>
              <c:numCache>
                <c:formatCode>General</c:formatCode>
                <c:ptCount val="5"/>
                <c:pt idx="0">
                  <c:v>4.0</c:v>
                </c:pt>
                <c:pt idx="1">
                  <c:v>1.53</c:v>
                </c:pt>
                <c:pt idx="2">
                  <c:v>2.05</c:v>
                </c:pt>
                <c:pt idx="3">
                  <c:v>1.33</c:v>
                </c:pt>
                <c:pt idx="4">
                  <c:v>4.0</c:v>
                </c:pt>
              </c:numCache>
            </c:numRef>
          </c:val>
        </c:ser>
        <c:gapWidth val="4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Amaldagi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Xalq banki</c:v>
                </c:pt>
                <c:pt idx="1">
                  <c:v>BRB</c:v>
                </c:pt>
                <c:pt idx="2">
                  <c:v>Ipoteka-bank</c:v>
                </c:pt>
                <c:pt idx="3">
                  <c:v>SQB</c:v>
                </c:pt>
                <c:pt idx="4">
                  <c:v>MKB</c:v>
                </c:pt>
              </c:strCache>
            </c:strRef>
          </c:cat>
          <c:val>
            <c:numRef>
              <c:f>Sheet1!$B$2:$B$6</c:f>
              <c:numCache>
                <c:formatCode>General</c:formatCode>
                <c:ptCount val="5"/>
                <c:pt idx="0">
                  <c:v>3.38</c:v>
                </c:pt>
                <c:pt idx="1">
                  <c:v>3.23</c:v>
                </c:pt>
                <c:pt idx="2">
                  <c:v>3.11</c:v>
                </c:pt>
                <c:pt idx="3">
                  <c:v>2.83</c:v>
                </c:pt>
                <c:pt idx="4">
                  <c:v>2.47</c:v>
                </c:pt>
              </c:numCache>
            </c:numRef>
          </c:val>
        </c:ser>
        <c:ser>
          <c:idx val="1"/>
          <c:order val="1"/>
          <c:tx>
            <c:strRef>
              <c:f>Sheet1!$C$1</c:f>
              <c:strCache>
                <c:ptCount val="1"/>
                <c:pt idx="0">
                  <c:v>Davlat ko‘magisiz</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Sheet1!$A$2:$A$6</c:f>
              <c:strCache>
                <c:ptCount val="5"/>
                <c:pt idx="0">
                  <c:v>Xalq banki</c:v>
                </c:pt>
                <c:pt idx="1">
                  <c:v>BRB</c:v>
                </c:pt>
                <c:pt idx="2">
                  <c:v>Ipoteka-bank</c:v>
                </c:pt>
                <c:pt idx="3">
                  <c:v>SQB</c:v>
                </c:pt>
                <c:pt idx="4">
                  <c:v>MKB</c:v>
                </c:pt>
              </c:strCache>
            </c:strRef>
          </c:cat>
          <c:val>
            <c:numRef>
              <c:f>Sheet1!$C$2:$C$6</c:f>
              <c:numCache>
                <c:formatCode>General</c:formatCode>
                <c:ptCount val="5"/>
                <c:pt idx="0">
                  <c:v>3.23</c:v>
                </c:pt>
                <c:pt idx="1">
                  <c:v>2.51</c:v>
                </c:pt>
                <c:pt idx="2">
                  <c:v>3.11</c:v>
                </c:pt>
                <c:pt idx="3">
                  <c:v>2.82</c:v>
                </c:pt>
                <c:pt idx="4">
                  <c:v>1.72</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SQB: milliy</c:v>
                </c:pt>
              </c:strCache>
            </c:strRef>
          </c:tx>
          <c:spPr>
            <a:ln w="28575">
              <a:solidFill>
                <a:srgbClr val="9DC3E6"/>
              </a:solidFill>
              <a:prstDash val="dash"/>
            </a:ln>
          </c:spPr>
          <c:marker>
            <c:symbol val="circle"/>
            <c:size val="7"/>
            <c:spPr>
              <a:solidFill>
                <a:srgbClr val="9DC3E6"/>
              </a:solidFill>
              <a:ln>
                <a:noFill/>
              </a:ln>
            </c:spPr>
          </c:marker>
          <c:dLbls>
            <c:spPr>
              <a:noFill/>
              <a:ln>
                <a:noFill/>
              </a:ln>
            </c:spPr>
            <c:txPr>
              <a:bodyPr/>
              <a:lstStyle/>
              <a:p>
                <a:pPr>
                  <a:defRPr sz="1000" b="1">
                    <a:solidFill>
                      <a:srgbClr val="9DC3E6"/>
                    </a:solidFill>
                    <a:latin typeface="Times New Roman"/>
                    <a:cs typeface="Times New Roman"/>
                  </a:defRPr>
                </a:pPr>
                <a:endParaRPr lang="uz-Latn-UZ"/>
              </a:p>
            </c:txPr>
            <c:dLblPos val="t"/>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3.4</c:v>
                </c:pt>
                <c:pt idx="1">
                  <c:v>3.27</c:v>
                </c:pt>
                <c:pt idx="2">
                  <c:v>3.28</c:v>
                </c:pt>
                <c:pt idx="3">
                  <c:v>3.33</c:v>
                </c:pt>
                <c:pt idx="4">
                  <c:v>3.4</c:v>
                </c:pt>
              </c:numCache>
            </c:numRef>
          </c:yVal>
          <c:smooth val="0"/>
        </c:ser>
        <c:ser>
          <c:idx val="1"/>
          <c:order val="1"/>
          <c:tx>
            <c:strRef>
              <c:f>Sheet1!$D$1</c:f>
              <c:strCache>
                <c:ptCount val="1"/>
                <c:pt idx="0">
                  <c:v>SQB: MHXS</c:v>
                </c:pt>
              </c:strCache>
            </c:strRef>
          </c:tx>
          <c:spPr>
            <a:ln w="28575">
              <a:solidFill>
                <a:srgbClr val="1F4E79"/>
              </a:solidFill>
            </a:ln>
          </c:spPr>
          <c:marker>
            <c:symbol val="circle"/>
            <c:size val="7"/>
            <c:spPr>
              <a:solidFill>
                <a:srgbClr val="1F4E79"/>
              </a:solidFill>
              <a:ln>
                <a:noFill/>
              </a:ln>
            </c:spPr>
          </c:marker>
          <c:dLbls>
            <c:spPr>
              <a:noFill/>
              <a:ln>
                <a:noFill/>
              </a:ln>
            </c:spPr>
            <c:txPr>
              <a:bodyPr/>
              <a:lstStyle/>
              <a:p>
                <a:pPr>
                  <a:defRPr sz="1000" b="1">
                    <a:solidFill>
                      <a:srgbClr val="1F4E79"/>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3.02</c:v>
                </c:pt>
                <c:pt idx="1">
                  <c:v>2.94</c:v>
                </c:pt>
                <c:pt idx="2">
                  <c:v>3.05</c:v>
                </c:pt>
                <c:pt idx="3">
                  <c:v>2.95</c:v>
                </c:pt>
                <c:pt idx="4">
                  <c:v>2.94</c:v>
                </c:pt>
              </c:numCache>
            </c:numRef>
          </c:yVal>
          <c:smooth val="0"/>
        </c:ser>
        <c:ser>
          <c:idx val="2"/>
          <c:order val="2"/>
          <c:tx>
            <c:strRef>
              <c:f>Sheet1!$F$1</c:f>
              <c:strCache>
                <c:ptCount val="1"/>
                <c:pt idx="0">
                  <c:v>MKB: milliy</c:v>
                </c:pt>
              </c:strCache>
            </c:strRef>
          </c:tx>
          <c:spPr>
            <a:ln w="28575">
              <a:solidFill>
                <a:srgbClr val="F4B183"/>
              </a:solidFill>
              <a:prstDash val="dash"/>
            </a:ln>
          </c:spPr>
          <c:marker>
            <c:symbol val="square"/>
            <c:size val="7"/>
            <c:spPr>
              <a:solidFill>
                <a:srgbClr val="F4B183"/>
              </a:solidFill>
              <a:ln>
                <a:noFill/>
              </a:ln>
            </c:spPr>
          </c:marker>
          <c:dLbls>
            <c:spPr>
              <a:noFill/>
              <a:ln>
                <a:noFill/>
              </a:ln>
            </c:spPr>
            <c:txPr>
              <a:bodyPr/>
              <a:lstStyle/>
              <a:p>
                <a:pPr>
                  <a:defRPr sz="1000" b="1">
                    <a:solidFill>
                      <a:srgbClr val="F4B183"/>
                    </a:solidFill>
                    <a:latin typeface="Times New Roman"/>
                    <a:cs typeface="Times New Roman"/>
                  </a:defRPr>
                </a:pPr>
                <a:endParaRPr lang="uz-Latn-UZ"/>
              </a:p>
            </c:txPr>
            <c:dLblPos val="t"/>
            <c:showLegendKey val="0"/>
            <c:showVal val="1"/>
            <c:showCatName val="0"/>
            <c:showSerName val="0"/>
            <c:showPercent val="0"/>
            <c:showBubbleSize val="0"/>
          </c:dLbls>
          <c:xVal>
            <c:numRef>
              <c:f>Sheet1!$E$2:$E$6</c:f>
              <c:numCache>
                <c:formatCode>General</c:formatCode>
                <c:ptCount val="5"/>
                <c:pt idx="0">
                  <c:v>2021</c:v>
                </c:pt>
                <c:pt idx="1">
                  <c:v>2022</c:v>
                </c:pt>
                <c:pt idx="2">
                  <c:v>2023</c:v>
                </c:pt>
                <c:pt idx="3">
                  <c:v>2024</c:v>
                </c:pt>
                <c:pt idx="4">
                  <c:v>2025</c:v>
                </c:pt>
              </c:numCache>
            </c:numRef>
          </c:xVal>
          <c:yVal>
            <c:numRef>
              <c:f>Sheet1!$F$2:$F$6</c:f>
              <c:numCache>
                <c:formatCode>General</c:formatCode>
                <c:ptCount val="5"/>
                <c:pt idx="0">
                  <c:v>3.08</c:v>
                </c:pt>
                <c:pt idx="1">
                  <c:v>3.05</c:v>
                </c:pt>
                <c:pt idx="2">
                  <c:v>2.81</c:v>
                </c:pt>
                <c:pt idx="3">
                  <c:v>2.99</c:v>
                </c:pt>
                <c:pt idx="4">
                  <c:v>3.27</c:v>
                </c:pt>
              </c:numCache>
            </c:numRef>
          </c:yVal>
          <c:smooth val="0"/>
        </c:ser>
        <c:ser>
          <c:idx val="3"/>
          <c:order val="3"/>
          <c:tx>
            <c:strRef>
              <c:f>Sheet1!$H$1</c:f>
              <c:strCache>
                <c:ptCount val="1"/>
                <c:pt idx="0">
                  <c:v>MKB: MHXS</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Sheet1!$G$2:$G$6</c:f>
              <c:numCache>
                <c:formatCode>General</c:formatCode>
                <c:ptCount val="5"/>
                <c:pt idx="0">
                  <c:v>2021</c:v>
                </c:pt>
                <c:pt idx="1">
                  <c:v>2022</c:v>
                </c:pt>
                <c:pt idx="2">
                  <c:v>2023</c:v>
                </c:pt>
                <c:pt idx="3">
                  <c:v>2024</c:v>
                </c:pt>
                <c:pt idx="4">
                  <c:v>2025</c:v>
                </c:pt>
              </c:numCache>
            </c:numRef>
          </c:xVal>
          <c:yVal>
            <c:numRef>
              <c:f>Sheet1!$H$2:$H$6</c:f>
              <c:numCache>
                <c:formatCode>General</c:formatCode>
                <c:ptCount val="5"/>
                <c:pt idx="0">
                  <c:v>2.51</c:v>
                </c:pt>
                <c:pt idx="1">
                  <c:v>2.59</c:v>
                </c:pt>
                <c:pt idx="2">
                  <c:v>2.41</c:v>
                </c:pt>
                <c:pt idx="3">
                  <c:v>2.47</c:v>
                </c:pt>
                <c:pt idx="4">
                  <c:v>2.62</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3.5"/>
          <c:min val="2.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Davlat ulushi mavjud banklar</c:v>
                </c:pt>
              </c:strCache>
            </c:strRef>
          </c:tx>
          <c:spPr>
            <a:solidFill>
              <a:srgbClr val="2A78D6"/>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Sheet1!$B$2:$B$5</c:f>
              <c:numCache>
                <c:formatCode>General</c:formatCode>
                <c:ptCount val="4"/>
                <c:pt idx="0">
                  <c:v>4.4</c:v>
                </c:pt>
                <c:pt idx="1">
                  <c:v>8.1</c:v>
                </c:pt>
                <c:pt idx="2">
                  <c:v>-0.5</c:v>
                </c:pt>
                <c:pt idx="3">
                  <c:v>7.6</c:v>
                </c:pt>
              </c:numCache>
            </c:numRef>
          </c:val>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Sheet1!$C$2:$C$5</c:f>
              <c:numCache>
                <c:formatCode>General</c:formatCode>
                <c:ptCount val="4"/>
                <c:pt idx="0">
                  <c:v>27.3</c:v>
                </c:pt>
                <c:pt idx="1">
                  <c:v>27.7</c:v>
                </c:pt>
                <c:pt idx="2">
                  <c:v>19.2</c:v>
                </c:pt>
                <c:pt idx="3">
                  <c:v>20.3</c:v>
                </c:pt>
              </c:numCache>
            </c:numRef>
          </c:val>
        </c:ser>
        <c:gapWidth val="8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0"/>
          <c:min val="-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scatterChart>
        <c:scatterStyle val="lineMarker"/>
        <c:varyColors val="0"/>
        <c:ser>
          <c:idx val="0"/>
          <c:order val="0"/>
          <c:tx>
            <c:strRef>
              <c:f>Sheet1!$B$1</c:f>
              <c:strCache>
                <c:ptCount val="1"/>
                <c:pt idx="0">
                  <c:v>Davlat banklari</c:v>
                </c:pt>
              </c:strCache>
            </c:strRef>
          </c:tx>
          <c:spPr>
            <a:ln w="28575">
              <a:solidFill>
                <a:srgbClr val="2A78D6"/>
              </a:solidFill>
            </a:ln>
          </c:spPr>
          <c:marker>
            <c:symbol val="circle"/>
            <c:size val="7"/>
            <c:spPr>
              <a:solidFill>
                <a:srgbClr val="2A78D6"/>
              </a:solidFill>
              <a:ln>
                <a:noFill/>
              </a:ln>
            </c:spPr>
          </c:marker>
          <c:dLbls>
            <c:spPr>
              <a:noFill/>
              <a:ln>
                <a:noFill/>
              </a:ln>
            </c:spPr>
            <c:txPr>
              <a:bodyPr/>
              <a:lstStyle/>
              <a:p>
                <a:pPr>
                  <a:defRPr sz="1000" b="1">
                    <a:solidFill>
                      <a:srgbClr val="2A78D6"/>
                    </a:solidFill>
                    <a:latin typeface="Times New Roman"/>
                    <a:cs typeface="Times New Roman"/>
                  </a:defRPr>
                </a:pPr>
                <a:endParaRPr lang="uz-Latn-UZ"/>
              </a:p>
            </c:txPr>
            <c:dLblPos val="b"/>
            <c:showLegendKey val="0"/>
            <c:showVal val="1"/>
            <c:showCatName val="0"/>
            <c:showSerName val="0"/>
            <c:showPercent val="0"/>
            <c:showBubbleSize val="0"/>
          </c:dLbls>
          <c:xVal>
            <c:numRef>
              <c:f>Sheet1!$A$2:$A$6</c:f>
              <c:numCache>
                <c:formatCode>General</c:formatCode>
                <c:ptCount val="5"/>
                <c:pt idx="0">
                  <c:v>2021</c:v>
                </c:pt>
                <c:pt idx="1">
                  <c:v>2022</c:v>
                </c:pt>
                <c:pt idx="2">
                  <c:v>2023</c:v>
                </c:pt>
                <c:pt idx="3">
                  <c:v>2024</c:v>
                </c:pt>
                <c:pt idx="4">
                  <c:v>2025</c:v>
                </c:pt>
              </c:numCache>
            </c:numRef>
          </c:xVal>
          <c:yVal>
            <c:numRef>
              <c:f>Sheet1!$B$2:$B$6</c:f>
              <c:numCache>
                <c:formatCode>General</c:formatCode>
                <c:ptCount val="5"/>
                <c:pt idx="0">
                  <c:v>3.15</c:v>
                </c:pt>
                <c:pt idx="1">
                  <c:v>3.1</c:v>
                </c:pt>
                <c:pt idx="2">
                  <c:v>3.07</c:v>
                </c:pt>
                <c:pt idx="3">
                  <c:v>2.88</c:v>
                </c:pt>
                <c:pt idx="4">
                  <c:v>3.15</c:v>
                </c:pt>
              </c:numCache>
            </c:numRef>
          </c:yVal>
          <c:smooth val="0"/>
        </c:ser>
        <c:ser>
          <c:idx val="1"/>
          <c:order val="1"/>
          <c:tx>
            <c:strRef>
              <c:f>Sheet1!$D$1</c:f>
              <c:strCache>
                <c:ptCount val="1"/>
                <c:pt idx="0">
                  <c:v>Boshqa banklar</c:v>
                </c:pt>
              </c:strCache>
            </c:strRef>
          </c:tx>
          <c:spPr>
            <a:ln w="28575">
              <a:solidFill>
                <a:srgbClr val="EB6834"/>
              </a:solidFill>
            </a:ln>
          </c:spPr>
          <c:marker>
            <c:symbol val="square"/>
            <c:size val="7"/>
            <c:spPr>
              <a:solidFill>
                <a:srgbClr val="EB6834"/>
              </a:solidFill>
              <a:ln>
                <a:noFill/>
              </a:ln>
            </c:spPr>
          </c:marker>
          <c:dLbls>
            <c:spPr>
              <a:noFill/>
              <a:ln>
                <a:noFill/>
              </a:ln>
            </c:spPr>
            <c:txPr>
              <a:bodyPr/>
              <a:lstStyle/>
              <a:p>
                <a:pPr>
                  <a:defRPr sz="1000" b="1">
                    <a:solidFill>
                      <a:srgbClr val="EB6834"/>
                    </a:solidFill>
                    <a:latin typeface="Times New Roman"/>
                    <a:cs typeface="Times New Roman"/>
                  </a:defRPr>
                </a:pPr>
                <a:endParaRPr lang="uz-Latn-UZ"/>
              </a:p>
            </c:txPr>
            <c:dLblPos val="t"/>
            <c:showLegendKey val="0"/>
            <c:showVal val="1"/>
            <c:showCatName val="0"/>
            <c:showSerName val="0"/>
            <c:showPercent val="0"/>
            <c:showBubbleSize val="0"/>
          </c:dLbls>
          <c:xVal>
            <c:numRef>
              <c:f>Sheet1!$C$2:$C$6</c:f>
              <c:numCache>
                <c:formatCode>General</c:formatCode>
                <c:ptCount val="5"/>
                <c:pt idx="0">
                  <c:v>2021</c:v>
                </c:pt>
                <c:pt idx="1">
                  <c:v>2022</c:v>
                </c:pt>
                <c:pt idx="2">
                  <c:v>2023</c:v>
                </c:pt>
                <c:pt idx="3">
                  <c:v>2024</c:v>
                </c:pt>
                <c:pt idx="4">
                  <c:v>2025</c:v>
                </c:pt>
              </c:numCache>
            </c:numRef>
          </c:xVal>
          <c:yVal>
            <c:numRef>
              <c:f>Sheet1!$D$2:$D$6</c:f>
              <c:numCache>
                <c:formatCode>General</c:formatCode>
                <c:ptCount val="5"/>
                <c:pt idx="0">
                  <c:v>3.76</c:v>
                </c:pt>
                <c:pt idx="1">
                  <c:v>3.89</c:v>
                </c:pt>
                <c:pt idx="2">
                  <c:v>3.8</c:v>
                </c:pt>
                <c:pt idx="3">
                  <c:v>3.71</c:v>
                </c:pt>
                <c:pt idx="4">
                  <c:v>3.61</c:v>
                </c:pt>
              </c:numCache>
            </c:numRef>
          </c:yVal>
          <c:smooth val="0"/>
        </c:ser>
        <c:axId val="333"/>
        <c:axId val="444"/>
      </c:scatterChart>
      <c:valAx>
        <c:axId val="333"/>
        <c:scaling>
          <c:orientation val="minMax"/>
          <c:max val="2025.5"/>
          <c:min val="2020.5"/>
        </c:scaling>
        <c:delete val="0"/>
        <c:axPos val="b"/>
        <c:title>
          <c:tx>
            <c:rich>
              <a:bodyPr/>
              <a:lstStyle/>
              <a:p>
                <a:pPr>
                  <a:defRPr sz="1100" b="0">
                    <a:solidFill>
                      <a:srgbClr val="000000"/>
                    </a:solidFill>
                    <a:latin typeface="Times New Roman"/>
                    <a:cs typeface="Times New Roman"/>
                  </a:defRPr>
                </a:pPr>
                <a:r>
                  <a:rPr lang="uz-Latn-UZ" sz="1100" b="0">
                    <a:solidFill>
                      <a:srgbClr val="000000"/>
                    </a:solidFill>
                    <a:latin typeface="Times New Roman"/>
                  </a:rPr>
                  <a:t>Yillar</a:t>
                </a:r>
              </a:p>
            </c:rich>
          </c:tx>
          <c:overlay val="0"/>
        </c:title>
        <c:numFmt formatCode="0" sourceLinked="0"/>
        <c:majorTickMark val="out"/>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444"/>
        <c:crosses val="autoZero"/>
        <c:crossBetween val="midCat"/>
        <c:majorUnit val="1"/>
      </c:valAx>
      <c:valAx>
        <c:axId val="444"/>
        <c:scaling>
          <c:orientation val="minMax"/>
          <c:max val="4.0"/>
          <c:min val="2.5"/>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MBII, ball</a:t>
                </a:r>
              </a:p>
            </c:rich>
          </c:tx>
          <c:overlay val="0"/>
        </c:title>
        <c:numFmt formatCode="0.00"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333"/>
        <c:crosses val="autoZero"/>
        <c:crossBetween val="midCat"/>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Kapital</c:v>
                </c:pt>
                <c:pt idx="1">
                  <c:v>Aktivlar sifati</c:v>
                </c:pt>
                <c:pt idx="2">
                  <c:v>Likvidlik</c:v>
                </c:pt>
                <c:pt idx="3">
                  <c:v>Daromadlilik</c:v>
                </c:pt>
              </c:strCache>
            </c:strRef>
          </c:cat>
          <c:val>
            <c:numRef>
              <c:f>Sheet1!$B$2:$B$5</c:f>
              <c:numCache>
                <c:formatCode>General</c:formatCode>
                <c:ptCount val="4"/>
                <c:pt idx="0">
                  <c:v>4.0</c:v>
                </c:pt>
                <c:pt idx="1">
                  <c:v>3.46</c:v>
                </c:pt>
                <c:pt idx="2">
                  <c:v>2.23</c:v>
                </c:pt>
                <c:pt idx="3">
                  <c:v>2.46</c:v>
                </c:pt>
              </c:numCache>
            </c:numRef>
          </c:val>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Kapital</c:v>
                </c:pt>
                <c:pt idx="1">
                  <c:v>Aktivlar sifati</c:v>
                </c:pt>
                <c:pt idx="2">
                  <c:v>Likvidlik</c:v>
                </c:pt>
                <c:pt idx="3">
                  <c:v>Daromadlilik</c:v>
                </c:pt>
              </c:strCache>
            </c:strRef>
          </c:cat>
          <c:val>
            <c:numRef>
              <c:f>Sheet1!$C$2:$C$5</c:f>
              <c:numCache>
                <c:formatCode>General</c:formatCode>
                <c:ptCount val="4"/>
                <c:pt idx="0">
                  <c:v>4.0</c:v>
                </c:pt>
                <c:pt idx="1">
                  <c:v>3.74</c:v>
                </c:pt>
                <c:pt idx="2">
                  <c:v>3.26</c:v>
                </c:pt>
                <c:pt idx="3">
                  <c:v>3.83</c:v>
                </c:pt>
              </c:numCache>
            </c:numRef>
          </c:val>
        </c:ser>
        <c:gapWidth val="6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4.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Ball</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1"/>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uz-Latn-UZ"/>
  <c:roundedCorners val="0"/>
  <c:chart>
    <c:autoTitleDeleted val="1"/>
    <c:plotArea>
      <c:layout/>
      <c:barChart>
        <c:barDir val="col"/>
        <c:grouping val="clustered"/>
        <c:varyColors val="0"/>
        <c:ser>
          <c:idx val="0"/>
          <c:order val="0"/>
          <c:tx>
            <c:strRef>
              <c:f>Sheet1!$B$1</c:f>
              <c:strCache>
                <c:ptCount val="1"/>
                <c:pt idx="0">
                  <c:v>Davlat banklari</c:v>
                </c:pt>
              </c:strCache>
            </c:strRef>
          </c:tx>
          <c:spPr>
            <a:solidFill>
              <a:srgbClr val="2A78D6"/>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Sheet1!$B$2:$B$5</c:f>
              <c:numCache>
                <c:formatCode>General</c:formatCode>
                <c:ptCount val="4"/>
                <c:pt idx="0">
                  <c:v>2.7</c:v>
                </c:pt>
                <c:pt idx="1">
                  <c:v>2.8</c:v>
                </c:pt>
                <c:pt idx="2">
                  <c:v>2.91</c:v>
                </c:pt>
                <c:pt idx="3">
                  <c:v>3.06</c:v>
                </c:pt>
              </c:numCache>
            </c:numRef>
          </c:val>
        </c:ser>
        <c:ser>
          <c:idx val="1"/>
          <c:order val="1"/>
          <c:tx>
            <c:strRef>
              <c:f>Sheet1!$C$1</c:f>
              <c:strCache>
                <c:ptCount val="1"/>
                <c:pt idx="0">
                  <c:v>Boshqa banklar</c:v>
                </c:pt>
              </c:strCache>
            </c:strRef>
          </c:tx>
          <c:spPr>
            <a:solidFill>
              <a:srgbClr val="EB6834"/>
            </a:solidFill>
            <a:ln w="6350">
              <a:solidFill>
                <a:srgbClr val="FFFFFF"/>
              </a:solidFill>
            </a:ln>
          </c:spPr>
          <c:invertIfNegative val="0"/>
          <c:dLbls>
            <c:numFmt formatCode="0.00" sourceLinked="0"/>
            <c:spPr>
              <a:noFill/>
              <a:ln>
                <a:noFill/>
              </a:ln>
            </c:spPr>
            <c:txPr>
              <a:bodyPr/>
              <a:lstStyle/>
              <a:p>
                <a:pPr>
                  <a:defRPr sz="1050" b="1">
                    <a:solidFill>
                      <a:srgbClr val="000000"/>
                    </a:solidFill>
                    <a:latin typeface="Times New Roman"/>
                    <a:cs typeface="Times New Roman"/>
                  </a:defRPr>
                </a:pPr>
                <a:endParaRPr lang="uz-Latn-UZ"/>
              </a:p>
            </c:txPr>
            <c:dLblPos val="outEnd"/>
            <c:showLegendKey val="0"/>
            <c:showVal val="1"/>
            <c:showCatName val="0"/>
            <c:showSerName val="0"/>
            <c:showPercent val="0"/>
            <c:showBubbleSize val="0"/>
          </c:dLbls>
          <c:cat>
            <c:strRef>
              <c:f>Sheet1!$A$2:$A$5</c:f>
              <c:strCache>
                <c:ptCount val="4"/>
                <c:pt idx="0">
                  <c:v>2022</c:v>
                </c:pt>
                <c:pt idx="1">
                  <c:v>2023</c:v>
                </c:pt>
                <c:pt idx="2">
                  <c:v>2024</c:v>
                </c:pt>
                <c:pt idx="3">
                  <c:v>2025</c:v>
                </c:pt>
              </c:strCache>
            </c:strRef>
          </c:cat>
          <c:val>
            <c:numRef>
              <c:f>Sheet1!$C$2:$C$5</c:f>
              <c:numCache>
                <c:formatCode>General</c:formatCode>
                <c:ptCount val="4"/>
                <c:pt idx="0">
                  <c:v>2.51</c:v>
                </c:pt>
                <c:pt idx="1">
                  <c:v>2.29</c:v>
                </c:pt>
                <c:pt idx="2">
                  <c:v>2.38</c:v>
                </c:pt>
                <c:pt idx="3">
                  <c:v>2.84</c:v>
                </c:pt>
              </c:numCache>
            </c:numRef>
          </c:val>
        </c:ser>
        <c:gapWidth val="70"/>
        <c:axId val="111"/>
        <c:axId val="222"/>
      </c:barChart>
      <c:catAx>
        <c:axId val="111"/>
        <c:scaling>
          <c:orientation val="minMax"/>
        </c:scaling>
        <c:delete val="0"/>
        <c:axPos val="b"/>
        <c:numFmt formatCode="General" sourceLinked="0"/>
        <c:majorTickMark val="none"/>
        <c:minorTickMark val="none"/>
        <c:tickLblPos val="low"/>
        <c:spPr>
          <a:ln w="9525">
            <a:solidFill>
              <a:srgbClr val="595959"/>
            </a:solidFill>
          </a:ln>
        </c:spPr>
        <c:txPr>
          <a:bodyPr rot="0" vert="horz"/>
          <a:lstStyle/>
          <a:p>
            <a:pPr>
              <a:defRPr sz="1100" b="0">
                <a:solidFill>
                  <a:srgbClr val="000000"/>
                </a:solidFill>
                <a:latin typeface="Times New Roman"/>
                <a:cs typeface="Times New Roman"/>
              </a:defRPr>
            </a:pPr>
            <a:endParaRPr lang="uz-Latn-UZ"/>
          </a:p>
        </c:txPr>
        <c:crossAx val="222"/>
        <c:crosses val="autoZero"/>
        <c:auto val="1"/>
        <c:lblAlgn val="ctr"/>
        <c:lblOffset val="100"/>
        <c:tickLblSkip val="1"/>
        <c:noMultiLvlLbl val="0"/>
      </c:catAx>
      <c:valAx>
        <c:axId val="222"/>
        <c:scaling>
          <c:orientation val="minMax"/>
          <c:max val="3.5"/>
          <c:min val="0"/>
        </c:scaling>
        <c:delete val="0"/>
        <c:axPos val="l"/>
        <c:majorGridlines>
          <c:spPr>
            <a:ln w="6350">
              <a:solidFill>
                <a:srgbClr val="D9D9D9"/>
              </a:solidFill>
            </a:ln>
          </c:spPr>
        </c:majorGridlines>
        <c:title>
          <c:tx>
            <c:rich>
              <a:bodyPr rot="-5400000" vert="horz"/>
              <a:lstStyle/>
              <a:p>
                <a:pPr>
                  <a:defRPr sz="1100" b="0">
                    <a:solidFill>
                      <a:srgbClr val="000000"/>
                    </a:solidFill>
                    <a:latin typeface="Times New Roman"/>
                    <a:cs typeface="Times New Roman"/>
                  </a:defRPr>
                </a:pPr>
                <a:r>
                  <a:rPr lang="uz-Latn-UZ" sz="1100" b="0">
                    <a:solidFill>
                      <a:srgbClr val="000000"/>
                    </a:solidFill>
                    <a:latin typeface="Times New Roman"/>
                  </a:rPr>
                  <a:t>ln(Z-score)</a:t>
                </a:r>
              </a:p>
            </c:rich>
          </c:tx>
          <c:overlay val="0"/>
        </c:title>
        <c:numFmt formatCode="General" sourceLinked="0"/>
        <c:majorTickMark val="out"/>
        <c:minorTickMark val="none"/>
        <c:tickLblPos val="low"/>
        <c:spPr>
          <a:ln w="9525">
            <a:solidFill>
              <a:srgbClr val="595959"/>
            </a:solidFill>
          </a:ln>
        </c:spPr>
        <c:txPr>
          <a:bodyPr/>
          <a:lstStyle/>
          <a:p>
            <a:pPr>
              <a:defRPr sz="1100" b="0">
                <a:solidFill>
                  <a:srgbClr val="000000"/>
                </a:solidFill>
                <a:latin typeface="Times New Roman"/>
                <a:cs typeface="Times New Roman"/>
              </a:defRPr>
            </a:pPr>
            <a:endParaRPr lang="uz-Latn-UZ"/>
          </a:p>
        </c:txPr>
        <c:crossAx val="111"/>
        <c:crosses val="autoZero"/>
        <c:crossBetween val="between"/>
        <c:majorUnit val="0.5"/>
      </c:valAx>
      <c:spPr>
        <a:noFill/>
        <a:ln>
          <a:noFill/>
        </a:ln>
      </c:spPr>
    </c:plotArea>
    <c:legend>
      <c:legendPos val="b"/>
      <c:overlay val="0"/>
      <c:txPr>
        <a:bodyPr/>
        <a:lstStyle/>
        <a:p>
          <a:pPr>
            <a:defRPr sz="1050" b="0">
              <a:solidFill>
                <a:srgbClr val="000000"/>
              </a:solidFill>
              <a:latin typeface="Times New Roman"/>
              <a:cs typeface="Times New Roman"/>
            </a:defRPr>
          </a:pPr>
          <a:endParaRPr lang="uz-Latn-UZ"/>
        </a:p>
      </c:txPr>
    </c:legend>
    <c:plotVisOnly val="1"/>
    <c:dispBlanksAs val="gap"/>
  </c:chart>
  <c:spPr>
    <a:solidFill>
      <a:srgbClr val="FFFFFF"/>
    </a:solidFill>
    <a:ln>
      <a:noFill/>
    </a:ln>
  </c:spPr>
  <c:txPr>
    <a:bodyPr/>
    <a:lstStyle/>
    <a:p>
      <a:pPr>
        <a:defRPr sz="1100" b="0">
          <a:solidFill>
            <a:srgbClr val="000000"/>
          </a:solidFill>
          <a:latin typeface="Times New Roman"/>
          <a:cs typeface="Times New Roman"/>
        </a:defRPr>
      </a:pPr>
      <a:endParaRPr lang="uz-Latn-UZ"/>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