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80</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83</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83</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95</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113</w:t>
      </w:r>
    </w:p>
    <w:p w:rsidR="005603EC" w:rsidRDefault="00AB61AC">
      <w:pPr>
        <w:tabs>
          <w:tab w:val="right" w:leader="dot" w:pos="9354"/>
        </w:tabs>
        <w:spacing w:after="80" w:line="240" w:lineRule="auto"/>
        <w:ind w:left="454"/>
      </w:pPr>
      <w:r>
        <w:rPr>
          <w:sz w:val="26"/>
        </w:rPr>
        <w:t>II bob bo‘yicha xulosalar</w:t>
      </w:r>
      <w:r>
        <w:rPr>
          <w:sz w:val="26"/>
        </w:rPr>
        <w:tab/>
        <w:t>137</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140</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140</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156</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169</w:t>
      </w:r>
    </w:p>
    <w:p w:rsidR="005603EC" w:rsidRDefault="00AB61AC">
      <w:pPr>
        <w:tabs>
          <w:tab w:val="right" w:leader="dot" w:pos="9354"/>
        </w:tabs>
        <w:spacing w:after="80" w:line="240" w:lineRule="auto"/>
        <w:ind w:left="454"/>
      </w:pPr>
      <w:r>
        <w:rPr>
          <w:sz w:val="26"/>
        </w:rPr>
        <w:t>III bob bo‘yicha xulosalar</w:t>
      </w:r>
      <w:r>
        <w:rPr>
          <w:sz w:val="26"/>
        </w:rPr>
        <w:tab/>
        <w:t>187</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190</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190</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206</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218</w:t>
      </w:r>
    </w:p>
    <w:p w:rsidR="005603EC" w:rsidRDefault="00AB61AC">
      <w:pPr>
        <w:tabs>
          <w:tab w:val="right" w:leader="dot" w:pos="9354"/>
        </w:tabs>
        <w:spacing w:after="80" w:line="240" w:lineRule="auto"/>
        <w:ind w:left="454"/>
      </w:pPr>
      <w:r>
        <w:rPr>
          <w:sz w:val="26"/>
        </w:rPr>
        <w:t>IV bob bo‘yicha xulosalar</w:t>
      </w:r>
      <w:r>
        <w:rPr>
          <w:sz w:val="26"/>
        </w:rPr>
        <w:tab/>
        <w:t>231</w:t>
      </w:r>
    </w:p>
    <w:p w:rsidR="005603EC" w:rsidRDefault="00AB61AC">
      <w:pPr>
        <w:tabs>
          <w:tab w:val="right" w:leader="dot" w:pos="9354"/>
        </w:tabs>
        <w:spacing w:after="80" w:line="240" w:lineRule="auto"/>
      </w:pPr>
      <w:r>
        <w:rPr>
          <w:b/>
          <w:sz w:val="26"/>
        </w:rPr>
        <w:t>XULOSA</w:t>
      </w:r>
      <w:r>
        <w:rPr>
          <w:b/>
          <w:sz w:val="26"/>
        </w:rPr>
        <w:tab/>
        <w:t>234</w:t>
      </w:r>
    </w:p>
    <w:p w:rsidR="005603EC" w:rsidRDefault="00AB61AC">
      <w:pPr>
        <w:tabs>
          <w:tab w:val="right" w:leader="dot" w:pos="9354"/>
        </w:tabs>
        <w:spacing w:after="80" w:line="240" w:lineRule="auto"/>
      </w:pPr>
      <w:r>
        <w:rPr>
          <w:b/>
          <w:sz w:val="26"/>
        </w:rPr>
        <w:t>FOYDALANILGAN ADABIYOTLAR RO‘YXATI</w:t>
      </w:r>
      <w:r>
        <w:rPr>
          <w:b/>
          <w:sz w:val="26"/>
        </w:rPr>
        <w:tab/>
        <w:t>239</w:t>
      </w:r>
    </w:p>
    <w:p w:rsidR="005603EC" w:rsidRDefault="00AB61AC">
      <w:pPr>
        <w:tabs>
          <w:tab w:val="right" w:leader="dot" w:pos="9354"/>
        </w:tabs>
        <w:spacing w:after="80" w:line="240" w:lineRule="auto"/>
      </w:pPr>
      <w:r>
        <w:rPr>
          <w:b/>
          <w:sz w:val="26"/>
        </w:rPr>
        <w:t>ILOVALAR</w:t>
      </w:r>
      <w:r>
        <w:rPr>
          <w:b/>
          <w:sz w:val="26"/>
        </w:rPr>
        <w:tab/>
        <w:t>259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235 betni</w:t>
      </w:r>
      <w:r>
        <w:t xml:space="preserve"> tashkil etadi, unda 60 dan ortiq jadval va rasm keltirilgan, foydalanilgan </w:t>
      </w:r>
      <w:r>
        <w:rPr>
          <w:color w:val="FF0000"/>
        </w:rPr>
        <w:t xml:space="preserve">adabiyotlar </w:t>
      </w:r>
      <w:r>
        <w:rPr>
          <w:color w:val="FF0000"/>
        </w:rPr>
        <w:t xml:space="preserve">ro‘yxati 197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color w:val="FF0000"/>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color w:val="FF0000"/>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color w:val="FF0000"/>
        </w:rPr>
        <w:footnoteReference w:id="99"/>
      </w:r>
      <w:r>
        <w:rPr>
          <w:color w:val="FF0000"/>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color w:val="FF0000"/>
                <w:sz w:val="22"/>
              </w:rPr>
              <w:t xml:space="preserve">0–5</w:t>
            </w:r>
          </w:p>
        </w:tc>
        <w:tc>
          <w:tcPr>
            <w:tcW w:w="3345" w:type="dxa"/>
          </w:tcPr>
          <w:p w:rsidR="005603EC" w:rsidRDefault="005603EC">
            <w:pPr>
              <w:pStyle w:val="Compact"/>
              <w:spacing w:line="240" w:lineRule="auto"/>
            </w:pPr>
            <w:r>
              <w:rPr>
                <w:color w:val="FF0000"/>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color w:val="FF0000"/>
        </w:rPr>
        <w:t xml:space="preserve"> 2015-yil 1-yanvardan Bazel III talablariga muvofiq tizimga asosiy kapital (CET1) mezoni qo‘shilgan va 1-darajali kapital chegaralari 2 foiz punktga oshirilgan</w:t>
      </w:r>
      <w:r>
        <w:rPr>
          <w:rStyle w:val="aff8"/>
          <w:color w:val="FF0000"/>
        </w:rPr>
        <w:footnoteReference w:id="177"/>
      </w:r>
      <w:r>
        <w:rPr>
          <w:color w:val="FF0000"/>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color w:val="FF0000"/>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color w:val="FF0000"/>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color w:val="FF0000"/>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color w:val="FF0000"/>
        </w:rPr>
        <w:footnoteReference w:id="181"/>
      </w:r>
      <w:r>
        <w:rPr>
          <w:color w:val="FF0000"/>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color w:val="FF0000"/>
        </w:rPr>
        <w:footnoteReference w:id="182"/>
      </w:r>
      <w:r>
        <w:rPr>
          <w:color w:val="FF0000"/>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6"/>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color w:val="FF0000"/>
        </w:rPr>
        <w:t xml:space="preserve">Angliya banki tomonidan ishlab chiqilgan va 1998-yildan Moliyaviy xizmatlar boshqarmasi tomonidan qo‘llangan RATE tizimi uch blokdan, ya’ni risklarni baholash, nazorat vositalari va samaradorlikni baholashdan iborat bo‘lgan</w:t>
      </w:r>
      <w:r>
        <w:rPr>
          <w:rStyle w:val="aff8"/>
          <w:color w:val="FF0000"/>
        </w:rPr>
        <w:footnoteReference w:id="190"/>
      </w:r>
      <w:r>
        <w:rPr>
          <w:color w:val="FF0000"/>
        </w:rPr>
        <w:t xml:space="preserve">. Risklarni baholashda CAMEL-B omillari (kapital, aktivlar, bozor riski, foyda, majburiyatlar, biznes) va COM omillari (nazorat, tashkiliy tuzilma, boshqaruv) asosida yagona ball chiqarilib, nazorat davri 6 oydan 3 yilgacha belgilangan</w:t>
      </w:r>
      <w:r>
        <w:rPr>
          <w:rStyle w:val="aff8"/>
          <w:color w:val="FF0000"/>
        </w:rPr>
        <w:footnoteReference w:id="191"/>
      </w:r>
      <w:r>
        <w:rPr>
          <w:rStyle w:val="aff8"/>
          <w:color w:val="FF0000"/>
        </w:rPr>
        <w:footnoteReference w:id="192"/>
      </w:r>
      <w:r>
        <w:rPr>
          <w:color w:val="FF0000"/>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color w:val="FF0000"/>
        </w:rPr>
        <w:footnoteReference w:id="193"/>
      </w:r>
      <w:r>
        <w:rPr>
          <w:color w:val="FF0000"/>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132000"/>
                <wp:effectExtent l="0" t="0" r="0" b="0"/>
                <wp:docPr id="9601" name="1.3.4-rasm"/>
                <wp:cNvGraphicFramePr/>
                <a:graphic>
                  <a:graphicData uri="http://schemas.microsoft.com/office/word/2010/wordprocessingGroup">
                    <wpg:wgp>
                      <wpg:cNvGrpSpPr/>
                      <wpg:grpSpPr>
                        <a:xfrm>
                          <a:off x="0" y="0"/>
                          <a:ext cx="5832000" cy="313200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color w:val="FF0000"/>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color w:val="FF0000"/>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color w:val="FF0000"/>
        </w:rPr>
        <w:footnoteReference w:id="195"/>
      </w:r>
      <w:r>
        <w:rPr>
          <w:color w:val="FF0000"/>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color w:val="FF0000"/>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color w:val="FF0000"/>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color w:val="FF0000"/>
        </w:rPr>
        <w:footnoteReference w:id="217"/>
      </w:r>
      <w:r>
        <w:rPr>
          <w:color w:val="FF0000"/>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color w:val="FF0000"/>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color w:val="FF0000"/>
        </w:rPr>
        <w:footnoteReference w:id="235"/>
      </w:r>
      <w:r>
        <w:rPr>
          <w:color w:val="FF0000"/>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color w:val="FF0000"/>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color w:val="FF0000"/>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color w:val="FF0000"/>
                <w:sz w:val="22"/>
              </w:rPr>
              <w:t xml:space="preserve">AQSh – FIMS; Yevropa Ittifoqi – EBA modellari</w:t>
            </w:r>
          </w:p>
        </w:tc>
        <w:tc>
          <w:tcPr>
            <w:tcW w:w="0" w:type="auto"/>
          </w:tcPr>
          <w:p w:rsidR="005603EC" w:rsidRDefault="00AB61AC">
            <w:pPr>
              <w:pStyle w:val="Compact"/>
              <w:spacing w:line="240" w:lineRule="auto"/>
            </w:pPr>
            <w:r>
              <w:rPr>
                <w:color w:val="FF0000"/>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color w:val="FF0000"/>
                <w:sz w:val="22"/>
              </w:rPr>
              <w:t xml:space="preserve">Buyuk Britaniya – RATE, PRA</w:t>
            </w:r>
          </w:p>
        </w:tc>
        <w:tc>
          <w:tcPr>
            <w:tcW w:w="0" w:type="auto"/>
          </w:tcPr>
          <w:p w:rsidR="005603EC" w:rsidRDefault="00AB61AC">
            <w:pPr>
              <w:pStyle w:val="Compact"/>
              <w:spacing w:line="240" w:lineRule="auto"/>
            </w:pPr>
            <w:r>
              <w:rPr>
                <w:color w:val="FF0000"/>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color w:val="FF0000"/>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color w:val="FF0000"/>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color w:val="FF0000"/>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color w:val="FF0000"/>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color w:val="FF0000"/>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color w:val="FF0000"/>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50"/>
      </w:r>
      <w:r>
        <w:rPr>
          <w:color w:val="FF0000"/>
        </w:rPr>
        <w:t>, 2026-yildan amal qiladigan talablar va buferlar esa Markaziy bankning moliyaviy barqarorlik sharhi bo‘yicha keltirildi</w:t>
      </w:r>
      <w:r>
        <w:rPr>
          <w:rStyle w:val="aff8"/>
          <w:color w:val="FF0000"/>
        </w:rPr>
        <w:footnoteReference w:id="251"/>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9"/>
      </w:r>
      <w:r>
        <w:t xml:space="preserve">, 2025-yil oxirida 18,3 foizni tashkil etgan; asosiy kapital (CET1) monandligi 2025-yil oxirida 14,7 foizga </w:t>
      </w:r>
      <w:r>
        <w:lastRenderedPageBreak/>
        <w:t>teng bo‘lgan</w:t>
      </w:r>
      <w:r>
        <w:rPr>
          <w:rStyle w:val="aff8"/>
        </w:rPr>
        <w:footnoteReference w:id="260"/>
      </w:r>
      <w:r>
        <w:t>. Muammoli kreditlar ulushi esa 2021-yil oxiridagi 5,2 foizdan 2025-yil oxirida 3,0 foizgacha kamaygan</w:t>
      </w:r>
      <w:r>
        <w:rPr>
          <w:rStyle w:val="aff8"/>
        </w:rPr>
        <w:footnoteReference w:id="261"/>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62"/>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3"/>
      </w:r>
      <w:r>
        <w:t>. 2025-yil birinchi yarmi bo‘yicha sharhda bu ko‘rsatkichlar mos ravishda 6,1 va 8,4 foiz, leverej koeffitsiyenti esa 5,3 foiz deb baholangan edi</w:t>
      </w:r>
      <w:r>
        <w:rPr>
          <w:rStyle w:val="aff8"/>
        </w:rPr>
        <w:footnoteReference w:id="264"/>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65"/>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6"/>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8"/>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9"/>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70"/>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1"/>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2"/>
      </w:r>
      <w:r>
        <w:t>. Hukumat va Markaziy bank barcha tijorat banklarini MHXS ga to‘liq o‘tkazishni maqsad qilib qo‘ygan</w:t>
      </w:r>
      <w:r>
        <w:rPr>
          <w:rStyle w:val="aff8"/>
        </w:rPr>
        <w:footnoteReference w:id="273"/>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4"/>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5"/>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6"/>
      </w:r>
      <w:r>
        <w:t>. To‘lov qobiliyati bo‘yicha makro stress-test MHXS 9 asosidagi muammoli kreditlar ma’lumotlari to‘liq shakllangandan keyingina shu ma’lumotlarga tayanadigan bo‘ladi</w:t>
      </w:r>
      <w:r>
        <w:rPr>
          <w:rStyle w:val="aff8"/>
        </w:rPr>
        <w:footnoteReference w:id="277"/>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8"/>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9"/>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80"/>
      </w:r>
      <w:r>
        <w:rPr>
          <w:rStyle w:val="aff8"/>
        </w:rPr>
        <w:footnoteReference w:id="281"/>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2"/>
      </w:r>
      <w:r>
        <w:t>. 2023-yil oxirida bank tizimi aktivlari yalpi ichki mahsulotning 55 foiziga, kreditlar esa 40 foiziga teng bo‘lgan</w:t>
      </w:r>
      <w:r>
        <w:rPr>
          <w:rStyle w:val="aff8"/>
        </w:rPr>
        <w:footnoteReference w:id="283"/>
      </w:r>
      <w:r>
        <w:t>, 2026-yil 1-yanvar holatiga esa tijorat banklari aktivlari 924,8 trln so‘mni, kreditlari 604 trln so‘mni tashkil etgan</w:t>
      </w:r>
      <w:r>
        <w:rPr>
          <w:rStyle w:val="aff8"/>
        </w:rPr>
        <w:footnoteReference w:id="284"/>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5"/>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6"/>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7"/>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9"/>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90"/>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91"/>
      </w:r>
      <w:r>
        <w:t>. CAMELS tizimida eng yuqori, ya’ni 1-reyting kapital koeffitsiyentlari 4 va 8 foizlik chegaralardan ancha yuqori bo‘lganda beriladi</w:t>
      </w:r>
      <w:r>
        <w:rPr>
          <w:rStyle w:val="aff8"/>
        </w:rPr>
        <w:footnoteReference w:id="292"/>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3"/>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4"/>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95"/>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6"/>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7"/>
      </w:r>
      <w:r>
        <w:t>, 2023-yil oxirida 19,5 foizni (shundan substandart kreditlar 16 foiz, muammoli kreditlar 3,5 foiz)</w:t>
      </w:r>
      <w:r>
        <w:rPr>
          <w:rStyle w:val="aff8"/>
        </w:rPr>
        <w:footnoteReference w:id="298"/>
      </w:r>
      <w:r>
        <w:t>, 2024-yilda 21 foizni tashkil etgan va faqat 2025-yilda 15 foizgacha kamaygan</w:t>
      </w:r>
      <w:r>
        <w:rPr>
          <w:rStyle w:val="aff8"/>
        </w:rPr>
        <w:footnoteReference w:id="299"/>
      </w:r>
      <w:r>
        <w:t xml:space="preserve"> (2.2.3-rasm). Jahon banki ma’lumotlariga ko‘ra, 2023-yil oxirida MHXS 9 bo‘yicha 3-bosqichdagi kreditlar ulushi 7,8 foiz bo‘lib, rasmiy ko‘rsatkichdan qariyb ikki barobar yuqori bo‘lgan</w:t>
      </w:r>
      <w:r>
        <w:rPr>
          <w:rStyle w:val="aff8"/>
        </w:rPr>
        <w:footnoteReference w:id="300"/>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1"/>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2"/>
      </w:r>
      <w:r>
        <w:t>, 2022–2025-yillarda esa 36,7–52,6 foiz oralig‘ida bo‘lgan</w:t>
      </w:r>
      <w:r>
        <w:rPr>
          <w:rStyle w:val="aff8"/>
        </w:rPr>
        <w:footnoteReference w:id="303"/>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4"/>
      </w:r>
      <w:r>
        <w:t xml:space="preserve">, O.I. Lavrushin tahriridagi monografiyada esa </w:t>
      </w:r>
      <w:r>
        <w:lastRenderedPageBreak/>
        <w:t>ishlamaydigan kreditlar ulushining 10 foizgacha oshishi salbiy vaziyat darakchisi sifatida ko‘rsatiladi</w:t>
      </w:r>
      <w:r>
        <w:rPr>
          <w:rStyle w:val="aff8"/>
        </w:rPr>
        <w:footnoteReference w:id="305"/>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6"/>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7"/>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8"/>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9"/>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10"/>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12"/>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3"/>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14"/>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5"/>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16"/>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7"/>
      </w:r>
      <w:r>
        <w:rPr>
          <w:rStyle w:val="aff8"/>
        </w:rPr>
        <w:footnoteReference w:id="318"/>
      </w:r>
      <w:r>
        <w:t>. Bundan ham muhimi, bankda 2-bosqich, ya’ni kredit riski sezilarli oshgan kreditlar ulushi 2023-yildagi 15,8 foizdan 2024-yilda 27,1 foizga, 2025-yilda esa 35,7 foizga ko‘tarilgan</w:t>
      </w:r>
      <w:r>
        <w:rPr>
          <w:rStyle w:val="aff8"/>
        </w:rPr>
        <w:footnoteReference w:id="319"/>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0"/>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21"/>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2"/>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23"/>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24"/>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25"/>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7"/>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8"/>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9"/>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30"/>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1"/>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2"/>
      </w:r>
      <w:r>
        <w:t>. J. Abad va J. Suarez kutilgan kredit zararlari modeli zaxiralarni iqtisodiy pasayish boshlanishida keskin oshirib, kapitalga bosimni avvalgi modelga nisbatan ertaroq yuzaga keltirishini isbotlagan</w:t>
      </w:r>
      <w:r>
        <w:rPr>
          <w:rStyle w:val="aff8"/>
        </w:rPr>
        <w:footnoteReference w:id="333"/>
      </w:r>
      <w:r>
        <w:t>. Rossiya iqtisodchisi N.E. Sokolinskaya bank moliyaviy holatini MHXS asosida tahlil qilish milliy hisobotga nisbatan aktivlar sifati va kapitalning haqiqiy darajasini aniqroq ko‘rsatishini ta’kidlagan</w:t>
      </w:r>
      <w:r>
        <w:rPr>
          <w:rStyle w:val="aff8"/>
        </w:rPr>
        <w:footnoteReference w:id="334"/>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6"/>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7"/>
      </w:r>
      <w:r>
        <w:t>. MHXS 9 da esa zaxira har bir kredit yoki kreditlar guruhi bo‘yicha defolt ehtimoli, garov qiymati va kutilayotgan undirish summasini hisobga olgan holda aniqlanadi</w:t>
      </w:r>
      <w:r>
        <w:rPr>
          <w:rStyle w:val="aff8"/>
        </w:rPr>
        <w:footnoteReference w:id="338"/>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9"/>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40"/>
      </w:r>
      <w:r>
        <w:rPr>
          <w:rStyle w:val="aff8"/>
        </w:rPr>
        <w:footnoteReference w:id="341"/>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3"/>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4"/>
      </w:r>
      <w:r>
        <w:rPr>
          <w:rStyle w:val="aff8"/>
        </w:rPr>
        <w:footnoteReference w:id="345"/>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6"/>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7"/>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8"/>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9"/>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50"/>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51"/>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2"/>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4"/>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5"/>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6"/>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7"/>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8"/>
      </w:r>
      <w:r>
        <w:rPr>
          <w:rStyle w:val="aff8"/>
        </w:rPr>
        <w:footnoteReference w:id="359"/>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60"/>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61"/>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62"/>
      </w:r>
      <w:r>
        <w:rPr>
          <w:color w:val="FF0000"/>
        </w:rPr>
        <w:t>, “yo‘l xaritasi”ga ko‘ra esa ular Bazel III ga to‘liq moslashtirilib, 2026-yil 1-yanvardan monitoring qilinadi</w:t>
      </w:r>
      <w:r>
        <w:rPr>
          <w:rStyle w:val="aff8"/>
          <w:color w:val="FF0000"/>
        </w:rPr>
        <w:footnoteReference w:id="363"/>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4"/>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66"/>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7"/>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8"/>
      </w:r>
      <w:r>
        <w:rPr>
          <w:color w:val="0070C0"/>
        </w:rPr>
        <w:t xml:space="preserve"> va auditdan o‘tgan MHXS bo‘yicha konsolidatsiyalangan moliyaviy hisobotlari</w:t>
      </w:r>
      <w:r>
        <w:rPr>
          <w:rStyle w:val="aff8"/>
          <w:color w:val="0070C0"/>
        </w:rPr>
        <w:footnoteReference w:id="369"/>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7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71"/>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2"/>
      </w:r>
      <w:r>
        <w:t>, Markaziy bank tomonidan qabul qilingan “yo‘l xaritasi”da esa aktivlar tasnifi va zaxiralarni MHXS 9 ga moslashtirish ishlari belgilangan</w:t>
      </w:r>
      <w:r>
        <w:rPr>
          <w:rStyle w:val="aff8"/>
        </w:rPr>
        <w:footnoteReference w:id="373"/>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4"/>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5"/>
      </w:r>
      <w:r>
        <w:rPr>
          <w:rStyle w:val="aff8"/>
        </w:rPr>
        <w:footnoteReference w:id="376"/>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7"/>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9"/>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80"/>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1"/>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3"/>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4"/>
      </w:r>
      <w:r>
        <w:t xml:space="preserve"> olindi, 4 ball chegarasi esa tizimli ahamiyatga ega bank uchun qo‘shimcha talab va kontrsiklik bufer bilan birga Bazel III bo‘yicha talab qilinishi mumkin bo‘lgan 10,5 foiz darajasida belgilandi</w:t>
      </w:r>
      <w:r>
        <w:rPr>
          <w:rStyle w:val="aff8"/>
        </w:rPr>
        <w:footnoteReference w:id="385"/>
      </w:r>
      <w:r>
        <w:rPr>
          <w:rStyle w:val="aff8"/>
        </w:rPr>
        <w:footnoteReference w:id="386"/>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7"/>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8"/>
      </w:r>
      <w:r>
        <w:t>, 10 foiz esa O.I. Lavrushin tahriri ostidagi monografiyada salbiy vaziyat darakchisi sifatida ko‘rsatilgan qiymatga mos keladi</w:t>
      </w:r>
      <w:r>
        <w:rPr>
          <w:rStyle w:val="aff8"/>
        </w:rPr>
        <w:footnoteReference w:id="389"/>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90"/>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1"/>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2"/>
      </w:r>
      <w:r>
        <w:rPr>
          <w:rStyle w:val="aff8"/>
        </w:rPr>
        <w:footnoteReference w:id="393"/>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94"/>
      </w:r>
      <w:r>
        <w:rPr>
          <w:rStyle w:val="aff8"/>
        </w:rPr>
        <w:footnoteReference w:id="395"/>
      </w:r>
      <w:r>
        <w:t xml:space="preserve">. Kreditlarning depozitlarga nisbati uchun esa likvidlik nizomida </w:t>
      </w:r>
      <w:r>
        <w:rPr>
          <w:highlight w:val="green"/>
        </w:rPr>
        <w:t>undan oshishi muammo belgisi deb ko‘rsatilgan 80 foizlik daraja</w:t>
      </w:r>
      <w:r>
        <w:rPr>
          <w:rStyle w:val="aff8"/>
        </w:rPr>
        <w:footnoteReference w:id="396"/>
      </w:r>
      <w:r>
        <w:t xml:space="preserve"> va xalqaro amaliyotdagi kritik daraja – 100 foiz</w:t>
      </w:r>
      <w:r>
        <w:rPr>
          <w:rStyle w:val="aff8"/>
        </w:rPr>
        <w:footnoteReference w:id="397"/>
      </w:r>
      <w:r>
        <w:t xml:space="preserve"> asos qilib olindi. Daromadlilik blokida aktivlar rentabelligi chegaralari Rossiya Banki shkalasidan (0; 0,7; 1,4 foiz) olindi</w:t>
      </w:r>
      <w:r>
        <w:rPr>
          <w:rStyle w:val="aff8"/>
        </w:rPr>
        <w:footnoteReference w:id="398"/>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9"/>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400"/>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34"/>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75"/>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502"/>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503"/>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32"/>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9"/>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color w:val="FF0000"/>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color w:val="FF0000"/>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color w:val="FF0000"/>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color w:val="FF0000"/>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color w:val="FF0000"/>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color w:val="FF0000"/>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color w:val="FF0000"/>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color w:val="FF0000"/>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color w:val="FF0000"/>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color w:val="FF0000"/>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color w:val="FF0000"/>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color w:val="FF0000"/>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color w:val="FF0000"/>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color w:val="FF0000"/>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color w:val="FF0000"/>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color w:val="FF0000"/>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color w:val="FF0000"/>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18, 43.</w:t>
      </w:r>
    </w:p>
  </w:footnote>
  <w:footnote w:id="194">
    <w:p w:rsidR="00AB61AC" w:rsidRPr="00E65E68" w:rsidRDefault="00AB61AC">
      <w:pPr>
        <w:pStyle w:val="aff9"/>
        <w:rPr>
          <w:lang w:val="ru-RU"/>
        </w:rPr>
      </w:pPr>
      <w:r>
        <w:rPr>
          <w:rStyle w:val="aff8"/>
        </w:rPr>
        <w:footnoteRef/>
      </w:r>
      <w:r w:rsidRPr="00E65E68">
        <w:rPr>
          <w:lang w:val="ru-RU"/>
        </w:rPr>
        <w:t xml:space="preserve"> </w:t>
      </w:r>
      <w:r>
        <w:rPr>
          <w:color w:val="FF0000"/>
        </w:rPr>
        <w:t xml:space="preserve">Tadqiqot natijasida muallif tomonidan quyidagi manba asosida ishlab chiqildi: Bank of England, Prudential Regulation Authority. The Prudential Regulation Authority’s approach to banking supervision. – London: Bank of England, July 2023 – P. 43–45 (Box 5).</w:t>
      </w:r>
    </w:p>
  </w:footnote>
  <w:footnote w:id="195">
    <w:p w:rsidR="00AB61AC" w:rsidRDefault="00AB61AC">
      <w:pPr>
        <w:pStyle w:val="aff9"/>
      </w:pPr>
      <w:r>
        <w:rPr>
          <w:rStyle w:val="aff8"/>
        </w:rPr>
        <w:footnoteRef/>
      </w:r>
      <w:r>
        <w:rPr>
          <w:color w:val="FF0000"/>
        </w:rPr>
        <w:t xml:space="preserve"> Bank of England, Prudential Regulation Authority. The Prudential Regulation Authority’s approach to banking supervision. – London: Bank of England, July 2023 – P.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color w:val="FF0000"/>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color w:val="FF0000"/>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color w:val="FF0000"/>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color w:val="FF0000"/>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color w:val="FF0000"/>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color w:val="FF0000"/>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color w:val="FF0000"/>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Muallif ishlanmasi.</w:t>
      </w:r>
    </w:p>
  </w:footnote>
  <w:footnote w:id="249">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Ko‘rsatilgan asar. – Б. 27.</w:t>
      </w:r>
    </w:p>
  </w:footnote>
  <w:footnote w:id="253">
    <w:p w:rsidR="00AB61AC" w:rsidRDefault="00AB61AC">
      <w:pPr>
        <w:pStyle w:val="aff9"/>
      </w:pPr>
      <w:r>
        <w:rPr>
          <w:rStyle w:val="aff8"/>
        </w:rPr>
        <w:footnoteRef/>
      </w:r>
      <w:r>
        <w:t xml:space="preserve"> Karaliyev T.M., Sayfiddinov I.F. Ko‘rsatilgan asar. – B. 208.</w:t>
      </w:r>
    </w:p>
  </w:footnote>
  <w:footnote w:id="254">
    <w:p w:rsidR="00AB61AC" w:rsidRDefault="00AB61AC">
      <w:pPr>
        <w:pStyle w:val="aff9"/>
      </w:pPr>
      <w:r>
        <w:rPr>
          <w:rStyle w:val="aff8"/>
        </w:rPr>
        <w:footnoteRef/>
      </w:r>
      <w:r>
        <w:t xml:space="preserve"> The Central Bank of the Republic of Uzbekistan. “Roadmap”… – Item 13.</w:t>
      </w:r>
    </w:p>
  </w:footnote>
  <w:footnote w:id="255">
    <w:p w:rsidR="00AB61AC" w:rsidRDefault="00AB61AC">
      <w:pPr>
        <w:pStyle w:val="aff9"/>
      </w:pPr>
      <w:r>
        <w:rPr>
          <w:rStyle w:val="aff8"/>
        </w:rPr>
        <w:footnoteRef/>
      </w:r>
      <w:r>
        <w:t xml:space="preserve"> Karaliyev T.M., Sayfiddinov I.F. Ko‘rsatilgan asar. – B. 213.</w:t>
      </w:r>
    </w:p>
  </w:footnote>
  <w:footnote w:id="256">
    <w:p w:rsidR="00AB61AC" w:rsidRDefault="00AB61AC">
      <w:pPr>
        <w:pStyle w:val="aff9"/>
      </w:pPr>
      <w:r>
        <w:rPr>
          <w:rStyle w:val="aff8"/>
        </w:rPr>
        <w:footnoteRef/>
      </w:r>
      <w:r>
        <w:t xml:space="preserve"> The Central Bank of the Republic of Uzbekistan. “Roadmap”… – Item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2025.</w:t>
      </w:r>
    </w:p>
  </w:footnote>
  <w:footnote w:id="264">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5">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66">
    <w:p w:rsidR="00AB61AC" w:rsidRDefault="00AB61AC">
      <w:pPr>
        <w:pStyle w:val="aff9"/>
      </w:pPr>
      <w:r>
        <w:rPr>
          <w:rStyle w:val="aff8"/>
        </w:rPr>
        <w:footnoteRef/>
      </w:r>
      <w:r>
        <w:t xml:space="preserve"> IMF Country Report No. 25/227, 2025.</w:t>
      </w:r>
    </w:p>
  </w:footnote>
  <w:footnote w:id="267">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8">
    <w:p w:rsidR="00AB61AC" w:rsidRDefault="00AB61AC">
      <w:pPr>
        <w:pStyle w:val="aff9"/>
      </w:pPr>
      <w:r>
        <w:rPr>
          <w:rStyle w:val="aff8"/>
        </w:rPr>
        <w:footnoteRef/>
      </w:r>
      <w:r>
        <w:t xml:space="preserve"> Muallif ishlanmasi.</w:t>
      </w:r>
    </w:p>
  </w:footnote>
  <w:footnote w:id="269">
    <w:p w:rsidR="00AB61AC" w:rsidRDefault="00AB61AC">
      <w:pPr>
        <w:pStyle w:val="aff9"/>
      </w:pPr>
      <w:r>
        <w:rPr>
          <w:rStyle w:val="aff8"/>
        </w:rPr>
        <w:footnoteRef/>
      </w:r>
      <w:r>
        <w:t xml:space="preserve"> IMF Country Report No. 25/227, 2025.</w:t>
      </w:r>
    </w:p>
  </w:footnote>
  <w:footnote w:id="270">
    <w:p w:rsidR="00AB61AC" w:rsidRDefault="00AB61AC">
      <w:pPr>
        <w:pStyle w:val="aff9"/>
      </w:pPr>
      <w:r>
        <w:rPr>
          <w:rStyle w:val="aff8"/>
        </w:rPr>
        <w:footnoteRef/>
      </w:r>
      <w:r>
        <w:t xml:space="preserve"> IMF Country Report No. 25/145, 2025.</w:t>
      </w:r>
    </w:p>
  </w:footnote>
  <w:footnote w:id="271">
    <w:p w:rsidR="00AB61AC" w:rsidRDefault="00AB61AC">
      <w:pPr>
        <w:pStyle w:val="aff9"/>
      </w:pPr>
      <w:r>
        <w:rPr>
          <w:rStyle w:val="aff8"/>
        </w:rPr>
        <w:footnoteRef/>
      </w:r>
      <w:r>
        <w:t xml:space="preserve"> The Central Bank of the Republic of Uzbekistan. “Roadmap”… – Item 3.</w:t>
      </w:r>
    </w:p>
  </w:footnote>
  <w:footnote w:id="272">
    <w:p w:rsidR="00AB61AC" w:rsidRDefault="00AB61AC">
      <w:pPr>
        <w:pStyle w:val="aff9"/>
      </w:pPr>
      <w:r>
        <w:rPr>
          <w:rStyle w:val="aff8"/>
        </w:rPr>
        <w:footnoteRef/>
      </w:r>
      <w:r>
        <w:t xml:space="preserve"> O‘sha joyda. – Items 5, 19.</w:t>
      </w:r>
    </w:p>
  </w:footnote>
  <w:footnote w:id="273">
    <w:p w:rsidR="00AB61AC" w:rsidRDefault="00AB61AC">
      <w:pPr>
        <w:pStyle w:val="aff9"/>
      </w:pPr>
      <w:r>
        <w:rPr>
          <w:rStyle w:val="aff8"/>
        </w:rPr>
        <w:footnoteRef/>
      </w:r>
      <w:r>
        <w:t xml:space="preserve"> IMF Country Report No. 25/145, 2025.</w:t>
      </w:r>
    </w:p>
  </w:footnote>
  <w:footnote w:id="274">
    <w:p w:rsidR="00AB61AC" w:rsidRDefault="00AB61AC">
      <w:pPr>
        <w:pStyle w:val="aff9"/>
      </w:pPr>
      <w:r>
        <w:rPr>
          <w:rStyle w:val="aff8"/>
        </w:rPr>
        <w:footnoteRef/>
      </w:r>
      <w:r>
        <w:t xml:space="preserve"> The Central Bank of the Republic of Uzbekistan. “Roadmap”… – Items 7, 16.</w:t>
      </w:r>
    </w:p>
  </w:footnote>
  <w:footnote w:id="275">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6">
    <w:p w:rsidR="00AB61AC" w:rsidRDefault="00AB61AC">
      <w:pPr>
        <w:pStyle w:val="aff9"/>
      </w:pPr>
      <w:r>
        <w:rPr>
          <w:rStyle w:val="aff8"/>
        </w:rPr>
        <w:footnoteRef/>
      </w:r>
      <w:r>
        <w:t xml:space="preserve"> The Central Bank of the Republic of Uzbekistan. “Roadmap”… – Item 9.</w:t>
      </w:r>
    </w:p>
  </w:footnote>
  <w:footnote w:id="277">
    <w:p w:rsidR="00AB61AC" w:rsidRDefault="00AB61AC">
      <w:pPr>
        <w:pStyle w:val="aff9"/>
      </w:pPr>
      <w:r>
        <w:rPr>
          <w:rStyle w:val="aff8"/>
        </w:rPr>
        <w:footnoteRef/>
      </w:r>
      <w:r>
        <w:t xml:space="preserve"> O‘sha joyda. – Item 31.</w:t>
      </w:r>
    </w:p>
  </w:footnote>
  <w:footnote w:id="278">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9">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8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2">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3">
    <w:p w:rsidR="00AB61AC" w:rsidRDefault="00AB61AC">
      <w:pPr>
        <w:pStyle w:val="aff9"/>
      </w:pPr>
      <w:r>
        <w:rPr>
          <w:rStyle w:val="aff8"/>
        </w:rPr>
        <w:footnoteRef/>
      </w:r>
      <w:r>
        <w:t xml:space="preserve"> World Bank. Republic of Uzbekistan: Financial Sector Assessment. – Washington, DC: World Bank, 2025.</w:t>
      </w:r>
    </w:p>
  </w:footnote>
  <w:footnote w:id="284">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6">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Tadqiqot natijasida muallif tomonidan 2.2.1-jadval ma’lumotlari asosida ishlab chiqildi.</w:t>
      </w:r>
    </w:p>
  </w:footnote>
  <w:footnote w:id="291">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3">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5">
    <w:p w:rsidR="00AB61AC" w:rsidRDefault="00AB61AC">
      <w:pPr>
        <w:pStyle w:val="aff9"/>
      </w:pPr>
      <w:r>
        <w:rPr>
          <w:rStyle w:val="aff8"/>
        </w:rPr>
        <w:footnoteRef/>
      </w:r>
      <w:r>
        <w:t xml:space="preserve"> The Central Bank of the Republic of Uzbekistan. Financial Stability Report for 2025. – Tashkent, 2026.</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Default="00AB61AC">
      <w:pPr>
        <w:pStyle w:val="aff9"/>
      </w:pPr>
      <w:r>
        <w:rPr>
          <w:rStyle w:val="aff8"/>
        </w:rPr>
        <w:footnoteRef/>
      </w:r>
      <w:r>
        <w:t xml:space="preserve"> O‘zbekiston Respublikasi Markaziy banki. Moliyaviy barqarorlik sharhi: 2022-yil. – Toshkent, 2023.</w:t>
      </w:r>
    </w:p>
  </w:footnote>
  <w:footnote w:id="298">
    <w:p w:rsidR="00AB61AC" w:rsidRDefault="00AB61AC">
      <w:pPr>
        <w:pStyle w:val="aff9"/>
      </w:pPr>
      <w:r>
        <w:rPr>
          <w:rStyle w:val="aff8"/>
        </w:rPr>
        <w:footnoteRef/>
      </w:r>
      <w:r>
        <w:t xml:space="preserve"> The Central Bank of the Republic of Uzbekistan. Annual Report 2023. – Tashkent, 2024. – P. 57.</w:t>
      </w:r>
    </w:p>
  </w:footnote>
  <w:footnote w:id="299">
    <w:p w:rsidR="00AB61AC" w:rsidRDefault="00AB61AC">
      <w:pPr>
        <w:pStyle w:val="aff9"/>
      </w:pPr>
      <w:r>
        <w:rPr>
          <w:rStyle w:val="aff8"/>
        </w:rPr>
        <w:footnoteRef/>
      </w:r>
      <w:r>
        <w:t xml:space="preserve"> The Central Bank of the Republic of Uzbekistan. Financial Stability Report for 2025. – Tashkent, 2026.</w:t>
      </w:r>
    </w:p>
  </w:footnote>
  <w:footnote w:id="300">
    <w:p w:rsidR="00AB61AC" w:rsidRDefault="00AB61AC">
      <w:pPr>
        <w:pStyle w:val="aff9"/>
      </w:pPr>
      <w:r>
        <w:rPr>
          <w:rStyle w:val="aff8"/>
        </w:rPr>
        <w:footnoteRef/>
      </w:r>
      <w:r>
        <w:t xml:space="preserve"> World Bank. Republic of Uzbekistan: Financial Sector Assessment. – Washington, DC: World Bank, 2025.</w:t>
      </w:r>
    </w:p>
  </w:footnote>
  <w:footnote w:id="30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2">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5">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6">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7">
    <w:p w:rsidR="00AB61AC" w:rsidRDefault="00AB61AC">
      <w:pPr>
        <w:pStyle w:val="aff9"/>
      </w:pPr>
      <w:r>
        <w:rPr>
          <w:rStyle w:val="aff8"/>
        </w:rPr>
        <w:footnoteRef/>
      </w:r>
      <w:r>
        <w:t xml:space="preserve"> Tadqiqot natijasida muallif tomonidan 2.2.1-jadval ma’lumotlari asosida ishlab chiqildi.</w:t>
      </w:r>
    </w:p>
  </w:footnote>
  <w:footnote w:id="30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14">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6">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8">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0">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1">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22">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5">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2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9">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30">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1">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2">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3">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4">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5">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36">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8">
    <w:p w:rsidR="00AB61AC" w:rsidRDefault="00AB61AC">
      <w:pPr>
        <w:pStyle w:val="aff9"/>
      </w:pPr>
      <w:r>
        <w:rPr>
          <w:rStyle w:val="aff8"/>
        </w:rPr>
        <w:footnoteRef/>
      </w:r>
      <w:r>
        <w:t xml:space="preserve"> IFRS 9 Financial Instruments. – London: International Accounting Standards Board, 2014.</w:t>
      </w:r>
    </w:p>
  </w:footnote>
  <w:footnote w:id="339">
    <w:p w:rsidR="00AB61AC" w:rsidRDefault="00AB61AC">
      <w:pPr>
        <w:pStyle w:val="aff9"/>
      </w:pPr>
      <w:r>
        <w:rPr>
          <w:rStyle w:val="aff8"/>
        </w:rPr>
        <w:footnoteRef/>
      </w:r>
      <w:r>
        <w:t xml:space="preserve"> Tadqiqot natijasida muallif tomonidan ishlab chiqildi.</w:t>
      </w:r>
    </w:p>
  </w:footnote>
  <w:footnote w:id="34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2">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3">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9">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5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1">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6">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7">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8">
    <w:p w:rsidR="00AB61AC" w:rsidRDefault="00AB61AC">
      <w:pPr>
        <w:pStyle w:val="aff9"/>
      </w:pPr>
      <w:r>
        <w:rPr>
          <w:rStyle w:val="aff8"/>
        </w:rPr>
        <w:footnoteRef/>
      </w:r>
      <w:r>
        <w:t xml:space="preserve"> Basel Committee on Banking Supervision. Basel III: The Net Stable Funding Ratio. – Basel: BIS, October 2014.</w:t>
      </w:r>
    </w:p>
  </w:footnote>
  <w:footnote w:id="35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60">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61">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2">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3">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64">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6">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7">
    <w:p w:rsidR="00AB61AC" w:rsidRDefault="00AB61AC">
      <w:pPr>
        <w:pStyle w:val="aff9"/>
      </w:pPr>
      <w:r>
        <w:rPr>
          <w:rStyle w:val="aff8"/>
        </w:rPr>
        <w:footnoteRef/>
      </w:r>
      <w:r>
        <w:t xml:space="preserve"> Tadqiqot natijasida muallif tomonidan 2.3.4-jadval ma’lumotlari asosida ishlab chiqildi.</w:t>
      </w:r>
    </w:p>
  </w:footnote>
  <w:footnote w:id="368">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9">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70">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7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5">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7">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8">
    <w:p w:rsidR="00AB61AC" w:rsidRDefault="00AB61AC">
      <w:pPr>
        <w:pStyle w:val="aff9"/>
      </w:pPr>
      <w:r>
        <w:rPr>
          <w:rStyle w:val="aff8"/>
        </w:rPr>
        <w:footnoteRef/>
      </w:r>
      <w:r>
        <w:t xml:space="preserve"> Tadqiqot natijasida muallif tomonidan dissertatsiyaning 2.1–2.3-paragraflari natijalari asosida ishlab chiqildi.</w:t>
      </w:r>
    </w:p>
  </w:footnote>
  <w:footnote w:id="379">
    <w:p w:rsidR="00AB61AC" w:rsidRDefault="00AB61AC">
      <w:pPr>
        <w:pStyle w:val="aff9"/>
      </w:pPr>
      <w:r>
        <w:rPr>
          <w:rStyle w:val="aff8"/>
        </w:rPr>
        <w:footnoteRef/>
      </w:r>
      <w:r>
        <w:t xml:space="preserve"> Tadqiqot natijasida muallif tomonidan ishlab chiqildi.</w:t>
      </w:r>
    </w:p>
  </w:footnote>
  <w:footnote w:id="380">
    <w:p w:rsidR="00AB61AC" w:rsidRDefault="00AB61AC">
      <w:pPr>
        <w:pStyle w:val="aff9"/>
      </w:pPr>
      <w:r>
        <w:rPr>
          <w:rStyle w:val="aff8"/>
        </w:rPr>
        <w:footnoteRef/>
      </w:r>
      <w:r>
        <w:t xml:space="preserve"> International Monetary Fund. 2019 Financial Soundness Indicators Compilation Guide. – Washington, DC: IMF, 2019.</w:t>
      </w:r>
    </w:p>
  </w:footnote>
  <w:footnote w:id="381">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2">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4">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5">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6">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9">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90">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91">
    <w:p w:rsidR="00AB61AC" w:rsidRDefault="00AB61AC">
      <w:pPr>
        <w:pStyle w:val="aff9"/>
      </w:pPr>
      <w:r>
        <w:rPr>
          <w:rStyle w:val="aff8"/>
        </w:rPr>
        <w:footnoteRef/>
      </w:r>
      <w:r>
        <w:t xml:space="preserve"> International Monetary Fund. 2019 Financial Soundness Indicators Compilation Guide. – Washington, DC: IMF, 2019.</w:t>
      </w:r>
    </w:p>
  </w:footnote>
  <w:footnote w:id="392">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3">
    <w:p w:rsidR="00AB61AC" w:rsidRDefault="00AB61AC">
      <w:pPr>
        <w:pStyle w:val="aff9"/>
      </w:pPr>
      <w:r>
        <w:rPr>
          <w:rStyle w:val="aff8"/>
        </w:rPr>
        <w:footnoteRef/>
      </w:r>
      <w:r>
        <w:t xml:space="preserve"> Basel Committee on Banking Supervision. Basel III: The Net Stable Funding Ratio. – Basel: BIS, October 2014.</w:t>
      </w:r>
    </w:p>
  </w:footnote>
  <w:footnote w:id="394">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