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09"/>
        <w:jc w:val="both"/>
      </w:pPr>
      <w:r>
        <w:rPr>
          <w:b w:val="0"/>
          <w:i w:val="0"/>
          <w:sz w:val="28"/>
        </w:rPr>
        <w:t xml:space="preserve">Taklif etilayotgan metodikaning amaliy qo‘llanilishini tekshirish uchun u ikkinchi bobda tahlil qilingan </w:t>
      </w:r>
      <w:r>
        <w:rPr>
          <w:b w:val="0"/>
          <w:i w:val="0"/>
          <w:color w:val="FF0000"/>
          <w:sz w:val="28"/>
        </w:rPr>
        <w:t>uch bankning</w:t>
      </w:r>
      <w:r>
        <w:rPr>
          <w:b w:val="0"/>
          <w:i w:val="0"/>
          <w:sz w:val="28"/>
        </w:rPr>
        <w:t xml:space="preserve"> 2025-yil yakunidagi ma’lumotlariga qo‘llandi. </w:t>
      </w:r>
      <w:r>
        <w:rPr>
          <w:b w:val="0"/>
          <w:i w:val="0"/>
          <w:color w:val="FF0000"/>
          <w:sz w:val="28"/>
        </w:rPr>
        <w:t>Hisob-kitob ikki variantda bajarildi: milliy hisobot va Markaziy bank metodikasi asosida (3.1.5-jadval) hamda MHXS va Bazel III metodikasi asosida (3.1.6-jadval).</w:t>
      </w:r>
    </w:p>
    <w:p>
      <w:pPr>
        <w:jc w:val="right"/>
      </w:pPr>
      <w:r>
        <w:rPr>
          <w:b/>
          <w:i/>
          <w:color w:val="FF0000"/>
          <w:sz w:val="28"/>
        </w:rPr>
        <w:t>3.1.5-jadval</w:t>
      </w:r>
    </w:p>
    <w:p>
      <w:pPr>
        <w:jc w:val="center"/>
      </w:pPr>
      <w:r>
        <w:rPr>
          <w:b/>
          <w:i w:val="0"/>
          <w:color w:val="FF0000"/>
          <w:sz w:val="28"/>
        </w:rPr>
        <w:t>Uch bank bo‘yicha integral indeks ko‘rsatkichlari va ballari: milliy hisobot, 2025-yil yakuni</w:t>
      </w:r>
      <w:r>
        <w:rPr>
          <w:b/>
          <w:i w:val="0"/>
          <w:color w:val="FF0000"/>
          <w:sz w:val="28"/>
          <w:vertAlign w:val="superscript"/>
        </w:rPr>
        <w:t>¹</w:t>
      </w:r>
    </w:p>
    <w:tbl>
      <w:tblPr>
        <w:tblStyle w:val="TableGrid"/>
        <w:tblW w:type="auto" w:w="0"/>
        <w:tblLayout w:type="fixed"/>
        <w:tblLook w:firstColumn="1" w:firstRow="1" w:lastColumn="0" w:lastRow="0" w:noHBand="0" w:noVBand="1" w:val="04A0"/>
      </w:tblPr>
      <w:tblGrid>
        <w:gridCol w:w="4082"/>
        <w:gridCol w:w="1757"/>
        <w:gridCol w:w="1757"/>
        <w:gridCol w:w="1757"/>
      </w:tblGrid>
      <w:tr>
        <w:tc>
          <w:tcPr>
            <w:tcW w:type="dxa" w:w="4082"/>
          </w:tcPr>
          <w:p>
            <w:pPr>
              <w:jc w:val="center"/>
            </w:pPr>
            <w:r>
              <w:rPr>
                <w:b/>
                <w:i w:val="0"/>
                <w:color w:val="FF0000"/>
                <w:sz w:val="22"/>
              </w:rPr>
              <w:t>Ko‘rsatkich</w:t>
            </w:r>
          </w:p>
        </w:tc>
        <w:tc>
          <w:tcPr>
            <w:tcW w:type="dxa" w:w="1757"/>
          </w:tcPr>
          <w:p>
            <w:pPr>
              <w:jc w:val="center"/>
            </w:pPr>
            <w:r>
              <w:rPr>
                <w:b/>
                <w:i w:val="0"/>
                <w:color w:val="FF0000"/>
                <w:sz w:val="22"/>
              </w:rPr>
              <w:t>SQB</w:t>
            </w:r>
          </w:p>
        </w:tc>
        <w:tc>
          <w:tcPr>
            <w:tcW w:type="dxa" w:w="1757"/>
          </w:tcPr>
          <w:p>
            <w:pPr>
              <w:jc w:val="center"/>
            </w:pPr>
            <w:r>
              <w:rPr>
                <w:b/>
                <w:i w:val="0"/>
                <w:color w:val="FF0000"/>
                <w:sz w:val="22"/>
              </w:rPr>
              <w:t>MKB</w:t>
            </w:r>
          </w:p>
        </w:tc>
        <w:tc>
          <w:tcPr>
            <w:tcW w:type="dxa" w:w="1757"/>
          </w:tcPr>
          <w:p>
            <w:pPr>
              <w:jc w:val="center"/>
            </w:pPr>
            <w:r>
              <w:rPr>
                <w:b/>
                <w:i w:val="0"/>
                <w:color w:val="FF0000"/>
                <w:sz w:val="22"/>
              </w:rPr>
              <w:t>Aloqabank</w:t>
            </w:r>
          </w:p>
        </w:tc>
      </w:tr>
      <w:tr>
        <w:tc>
          <w:tcPr>
            <w:tcW w:type="dxa" w:w="4082"/>
          </w:tcPr>
          <w:p>
            <w:r>
              <w:rPr>
                <w:b w:val="0"/>
                <w:i w:val="0"/>
                <w:color w:val="FF0000"/>
                <w:sz w:val="22"/>
              </w:rPr>
              <w:t>K1. CET1 monandligi, %</w:t>
            </w:r>
          </w:p>
        </w:tc>
        <w:tc>
          <w:tcPr>
            <w:tcW w:type="dxa" w:w="1757"/>
          </w:tcPr>
          <w:p>
            <w:pPr>
              <w:jc w:val="center"/>
            </w:pPr>
            <w:r>
              <w:rPr>
                <w:b w:val="0"/>
                <w:i w:val="0"/>
                <w:color w:val="FF0000"/>
                <w:sz w:val="22"/>
              </w:rPr>
              <w:t>10,21 (3,88)</w:t>
            </w:r>
          </w:p>
        </w:tc>
        <w:tc>
          <w:tcPr>
            <w:tcW w:type="dxa" w:w="1757"/>
          </w:tcPr>
          <w:p>
            <w:pPr>
              <w:jc w:val="center"/>
            </w:pPr>
            <w:r>
              <w:rPr>
                <w:b w:val="0"/>
                <w:i w:val="0"/>
                <w:color w:val="FF0000"/>
                <w:sz w:val="22"/>
              </w:rPr>
              <w:t>16,39 (4,00)</w:t>
            </w:r>
          </w:p>
        </w:tc>
        <w:tc>
          <w:tcPr>
            <w:tcW w:type="dxa" w:w="1757"/>
          </w:tcPr>
          <w:p>
            <w:pPr>
              <w:jc w:val="center"/>
            </w:pPr>
            <w:r>
              <w:rPr>
                <w:b w:val="0"/>
                <w:i w:val="0"/>
                <w:color w:val="FF0000"/>
                <w:sz w:val="22"/>
              </w:rPr>
              <w:t>10,09 (3,83)</w:t>
            </w:r>
          </w:p>
        </w:tc>
      </w:tr>
      <w:tr>
        <w:tc>
          <w:tcPr>
            <w:tcW w:type="dxa" w:w="4082"/>
          </w:tcPr>
          <w:p>
            <w:r>
              <w:rPr>
                <w:b w:val="0"/>
                <w:i w:val="0"/>
                <w:color w:val="FF0000"/>
                <w:sz w:val="22"/>
              </w:rPr>
              <w:t>K2. Regulyativ kapital monandligi, %</w:t>
            </w:r>
          </w:p>
        </w:tc>
        <w:tc>
          <w:tcPr>
            <w:tcW w:type="dxa" w:w="1757"/>
          </w:tcPr>
          <w:p>
            <w:pPr>
              <w:jc w:val="center"/>
            </w:pPr>
            <w:r>
              <w:rPr>
                <w:b w:val="0"/>
                <w:i w:val="0"/>
                <w:color w:val="FF0000"/>
                <w:sz w:val="22"/>
              </w:rPr>
              <w:t>17,02 (4,00)</w:t>
            </w:r>
          </w:p>
        </w:tc>
        <w:tc>
          <w:tcPr>
            <w:tcW w:type="dxa" w:w="1757"/>
          </w:tcPr>
          <w:p>
            <w:pPr>
              <w:jc w:val="center"/>
            </w:pPr>
            <w:r>
              <w:rPr>
                <w:b w:val="0"/>
                <w:i w:val="0"/>
                <w:color w:val="FF0000"/>
                <w:sz w:val="22"/>
              </w:rPr>
              <w:t>18,46 (4,00)</w:t>
            </w:r>
          </w:p>
        </w:tc>
        <w:tc>
          <w:tcPr>
            <w:tcW w:type="dxa" w:w="1757"/>
          </w:tcPr>
          <w:p>
            <w:pPr>
              <w:jc w:val="center"/>
            </w:pPr>
            <w:r>
              <w:rPr>
                <w:b w:val="0"/>
                <w:i w:val="0"/>
                <w:color w:val="FF0000"/>
                <w:sz w:val="22"/>
              </w:rPr>
              <w:t>14,14 (3,45)</w:t>
            </w:r>
          </w:p>
        </w:tc>
      </w:tr>
      <w:tr>
        <w:tc>
          <w:tcPr>
            <w:tcW w:type="dxa" w:w="4082"/>
          </w:tcPr>
          <w:p>
            <w:r>
              <w:rPr>
                <w:b w:val="0"/>
                <w:i w:val="0"/>
                <w:color w:val="FF0000"/>
                <w:sz w:val="22"/>
              </w:rPr>
              <w:t>K3. Kapital / aktivlar, %</w:t>
            </w:r>
          </w:p>
        </w:tc>
        <w:tc>
          <w:tcPr>
            <w:tcW w:type="dxa" w:w="1757"/>
          </w:tcPr>
          <w:p>
            <w:pPr>
              <w:jc w:val="center"/>
            </w:pPr>
            <w:r>
              <w:rPr>
                <w:b w:val="0"/>
                <w:i w:val="0"/>
                <w:color w:val="FF0000"/>
                <w:sz w:val="22"/>
              </w:rPr>
              <w:t>11,6 (4,00)</w:t>
            </w:r>
          </w:p>
        </w:tc>
        <w:tc>
          <w:tcPr>
            <w:tcW w:type="dxa" w:w="1757"/>
          </w:tcPr>
          <w:p>
            <w:pPr>
              <w:jc w:val="center"/>
            </w:pPr>
            <w:r>
              <w:rPr>
                <w:b w:val="0"/>
                <w:i w:val="0"/>
                <w:color w:val="FF0000"/>
                <w:sz w:val="22"/>
              </w:rPr>
              <w:t>18,7 (4,00)</w:t>
            </w:r>
          </w:p>
        </w:tc>
        <w:tc>
          <w:tcPr>
            <w:tcW w:type="dxa" w:w="1757"/>
          </w:tcPr>
          <w:p>
            <w:pPr>
              <w:jc w:val="center"/>
            </w:pPr>
            <w:r>
              <w:rPr>
                <w:b w:val="0"/>
                <w:i w:val="0"/>
                <w:color w:val="FF0000"/>
                <w:sz w:val="22"/>
              </w:rPr>
              <w:t>12,2 (4,00)</w:t>
            </w:r>
          </w:p>
        </w:tc>
      </w:tr>
      <w:tr>
        <w:tc>
          <w:tcPr>
            <w:tcW w:type="dxa" w:w="4082"/>
          </w:tcPr>
          <w:p>
            <w:r>
              <w:rPr>
                <w:b w:val="0"/>
                <w:i w:val="0"/>
                <w:color w:val="FF0000"/>
                <w:sz w:val="22"/>
              </w:rPr>
              <w:t>A1. Muammoli kreditlar ulushi, %</w:t>
            </w:r>
          </w:p>
        </w:tc>
        <w:tc>
          <w:tcPr>
            <w:tcW w:type="dxa" w:w="1757"/>
          </w:tcPr>
          <w:p>
            <w:pPr>
              <w:jc w:val="center"/>
            </w:pPr>
            <w:r>
              <w:rPr>
                <w:b w:val="0"/>
                <w:i w:val="0"/>
                <w:color w:val="FF0000"/>
                <w:sz w:val="22"/>
              </w:rPr>
              <w:t>2,5 (4,00)</w:t>
            </w:r>
          </w:p>
        </w:tc>
        <w:tc>
          <w:tcPr>
            <w:tcW w:type="dxa" w:w="1757"/>
          </w:tcPr>
          <w:p>
            <w:pPr>
              <w:jc w:val="center"/>
            </w:pPr>
            <w:r>
              <w:rPr>
                <w:b w:val="0"/>
                <w:i w:val="0"/>
                <w:color w:val="FF0000"/>
                <w:sz w:val="22"/>
              </w:rPr>
              <w:t>4,4 (3,30)</w:t>
            </w:r>
          </w:p>
        </w:tc>
        <w:tc>
          <w:tcPr>
            <w:tcW w:type="dxa" w:w="1757"/>
          </w:tcPr>
          <w:p>
            <w:pPr>
              <w:jc w:val="center"/>
            </w:pPr>
            <w:r>
              <w:rPr>
                <w:b w:val="0"/>
                <w:i w:val="0"/>
                <w:color w:val="FF0000"/>
                <w:sz w:val="22"/>
              </w:rPr>
              <w:t>2,5 (4,00)</w:t>
            </w:r>
          </w:p>
        </w:tc>
      </w:tr>
      <w:tr>
        <w:tc>
          <w:tcPr>
            <w:tcW w:type="dxa" w:w="4082"/>
          </w:tcPr>
          <w:p>
            <w:r>
              <w:rPr>
                <w:b w:val="0"/>
                <w:i w:val="0"/>
                <w:color w:val="FF0000"/>
                <w:sz w:val="22"/>
              </w:rPr>
              <w:t>A2. Substandart kreditlar ulushi, %</w:t>
            </w:r>
          </w:p>
        </w:tc>
        <w:tc>
          <w:tcPr>
            <w:tcW w:type="dxa" w:w="1757"/>
          </w:tcPr>
          <w:p>
            <w:pPr>
              <w:jc w:val="center"/>
            </w:pPr>
            <w:r>
              <w:rPr>
                <w:b w:val="0"/>
                <w:i w:val="0"/>
                <w:color w:val="FF0000"/>
                <w:sz w:val="22"/>
              </w:rPr>
              <w:t>18,4 (2,66)</w:t>
            </w:r>
          </w:p>
        </w:tc>
        <w:tc>
          <w:tcPr>
            <w:tcW w:type="dxa" w:w="1757"/>
          </w:tcPr>
          <w:p>
            <w:pPr>
              <w:jc w:val="center"/>
            </w:pPr>
            <w:r>
              <w:rPr>
                <w:b w:val="0"/>
                <w:i w:val="0"/>
                <w:color w:val="FF0000"/>
                <w:sz w:val="22"/>
              </w:rPr>
              <w:t>9,0 (4,00)</w:t>
            </w:r>
          </w:p>
        </w:tc>
        <w:tc>
          <w:tcPr>
            <w:tcW w:type="dxa" w:w="1757"/>
          </w:tcPr>
          <w:p>
            <w:pPr>
              <w:jc w:val="center"/>
            </w:pPr>
            <w:r>
              <w:rPr>
                <w:b w:val="0"/>
                <w:i w:val="0"/>
                <w:color w:val="FF0000"/>
                <w:sz w:val="22"/>
              </w:rPr>
              <w:t>6,4 (4,00)</w:t>
            </w:r>
          </w:p>
        </w:tc>
      </w:tr>
      <w:tr>
        <w:tc>
          <w:tcPr>
            <w:tcW w:type="dxa" w:w="4082"/>
          </w:tcPr>
          <w:p>
            <w:r>
              <w:rPr>
                <w:b w:val="0"/>
                <w:i w:val="0"/>
                <w:color w:val="FF0000"/>
                <w:sz w:val="22"/>
              </w:rPr>
              <w:t>A3. Qoplanmagan muammoli kreditlar / kapital, %</w:t>
            </w:r>
          </w:p>
        </w:tc>
        <w:tc>
          <w:tcPr>
            <w:tcW w:type="dxa" w:w="1757"/>
          </w:tcPr>
          <w:p>
            <w:pPr>
              <w:jc w:val="center"/>
            </w:pPr>
            <w:r>
              <w:rPr>
                <w:b w:val="0"/>
                <w:i w:val="0"/>
                <w:color w:val="FF0000"/>
                <w:sz w:val="22"/>
              </w:rPr>
              <w:t>−8,1 (4,00)</w:t>
            </w:r>
          </w:p>
        </w:tc>
        <w:tc>
          <w:tcPr>
            <w:tcW w:type="dxa" w:w="1757"/>
          </w:tcPr>
          <w:p>
            <w:pPr>
              <w:jc w:val="center"/>
            </w:pPr>
            <w:r>
              <w:rPr>
                <w:b w:val="0"/>
                <w:i w:val="0"/>
                <w:color w:val="FF0000"/>
                <w:sz w:val="22"/>
              </w:rPr>
              <w:t>10,3 (2,97)</w:t>
            </w:r>
          </w:p>
        </w:tc>
        <w:tc>
          <w:tcPr>
            <w:tcW w:type="dxa" w:w="1757"/>
          </w:tcPr>
          <w:p>
            <w:pPr>
              <w:jc w:val="center"/>
            </w:pPr>
            <w:r>
              <w:rPr>
                <w:b w:val="0"/>
                <w:i w:val="0"/>
                <w:color w:val="FF0000"/>
                <w:sz w:val="22"/>
              </w:rPr>
              <w:t>5,9 (3,41)</w:t>
            </w:r>
          </w:p>
        </w:tc>
      </w:tr>
      <w:tr>
        <w:tc>
          <w:tcPr>
            <w:tcW w:type="dxa" w:w="4082"/>
          </w:tcPr>
          <w:p>
            <w:r>
              <w:rPr>
                <w:b w:val="0"/>
                <w:i w:val="0"/>
                <w:color w:val="FF0000"/>
                <w:sz w:val="22"/>
              </w:rPr>
              <w:t>L1. Yuqori likvid aktivlar / aktivlar, %</w:t>
            </w:r>
          </w:p>
        </w:tc>
        <w:tc>
          <w:tcPr>
            <w:tcW w:type="dxa" w:w="1757"/>
          </w:tcPr>
          <w:p>
            <w:pPr>
              <w:jc w:val="center"/>
            </w:pPr>
            <w:r>
              <w:rPr>
                <w:b w:val="0"/>
                <w:i w:val="0"/>
                <w:color w:val="FF0000"/>
                <w:sz w:val="22"/>
              </w:rPr>
              <w:t>18,3 (3,66)</w:t>
            </w:r>
          </w:p>
        </w:tc>
        <w:tc>
          <w:tcPr>
            <w:tcW w:type="dxa" w:w="1757"/>
          </w:tcPr>
          <w:p>
            <w:pPr>
              <w:jc w:val="center"/>
            </w:pPr>
            <w:r>
              <w:rPr>
                <w:b w:val="0"/>
                <w:i w:val="0"/>
                <w:color w:val="FF0000"/>
                <w:sz w:val="22"/>
              </w:rPr>
              <w:t>15,5 (3,09)</w:t>
            </w:r>
          </w:p>
        </w:tc>
        <w:tc>
          <w:tcPr>
            <w:tcW w:type="dxa" w:w="1757"/>
          </w:tcPr>
          <w:p>
            <w:pPr>
              <w:jc w:val="center"/>
            </w:pPr>
            <w:r>
              <w:rPr>
                <w:b w:val="0"/>
                <w:i w:val="0"/>
                <w:color w:val="FF0000"/>
                <w:sz w:val="22"/>
              </w:rPr>
              <w:t>12,7 (2,54)</w:t>
            </w:r>
          </w:p>
        </w:tc>
      </w:tr>
      <w:tr>
        <w:tc>
          <w:tcPr>
            <w:tcW w:type="dxa" w:w="4082"/>
          </w:tcPr>
          <w:p>
            <w:r>
              <w:rPr>
                <w:b w:val="0"/>
                <w:i w:val="0"/>
                <w:color w:val="FF0000"/>
                <w:sz w:val="22"/>
              </w:rPr>
              <w:t>L2. Kreditlar / depozitlar, %</w:t>
            </w:r>
          </w:p>
        </w:tc>
        <w:tc>
          <w:tcPr>
            <w:tcW w:type="dxa" w:w="1757"/>
          </w:tcPr>
          <w:p>
            <w:pPr>
              <w:jc w:val="center"/>
            </w:pPr>
            <w:r>
              <w:rPr>
                <w:b w:val="0"/>
                <w:i w:val="0"/>
                <w:color w:val="FF0000"/>
                <w:sz w:val="22"/>
              </w:rPr>
              <w:t>206,5 (1,00)</w:t>
            </w:r>
          </w:p>
        </w:tc>
        <w:tc>
          <w:tcPr>
            <w:tcW w:type="dxa" w:w="1757"/>
          </w:tcPr>
          <w:p>
            <w:pPr>
              <w:jc w:val="center"/>
            </w:pPr>
            <w:r>
              <w:rPr>
                <w:b w:val="0"/>
                <w:i w:val="0"/>
                <w:color w:val="FF0000"/>
                <w:sz w:val="22"/>
              </w:rPr>
              <w:t>208,5 (1,00)</w:t>
            </w:r>
          </w:p>
        </w:tc>
        <w:tc>
          <w:tcPr>
            <w:tcW w:type="dxa" w:w="1757"/>
          </w:tcPr>
          <w:p>
            <w:pPr>
              <w:jc w:val="center"/>
            </w:pPr>
            <w:r>
              <w:rPr>
                <w:b w:val="0"/>
                <w:i w:val="0"/>
                <w:color w:val="FF0000"/>
                <w:sz w:val="22"/>
              </w:rPr>
              <w:t>121,1 (2,58)</w:t>
            </w:r>
          </w:p>
        </w:tc>
      </w:tr>
      <w:tr>
        <w:tc>
          <w:tcPr>
            <w:tcW w:type="dxa" w:w="4082"/>
          </w:tcPr>
          <w:p>
            <w:r>
              <w:rPr>
                <w:b w:val="0"/>
                <w:i w:val="0"/>
                <w:color w:val="FF0000"/>
                <w:sz w:val="22"/>
              </w:rPr>
              <w:t>D1. ROA, %</w:t>
            </w:r>
          </w:p>
        </w:tc>
        <w:tc>
          <w:tcPr>
            <w:tcW w:type="dxa" w:w="1757"/>
          </w:tcPr>
          <w:p>
            <w:pPr>
              <w:jc w:val="center"/>
            </w:pPr>
            <w:r>
              <w:rPr>
                <w:b w:val="0"/>
                <w:i w:val="0"/>
                <w:color w:val="FF0000"/>
                <w:sz w:val="22"/>
              </w:rPr>
              <w:t>2,0 (3,96)</w:t>
            </w:r>
          </w:p>
        </w:tc>
        <w:tc>
          <w:tcPr>
            <w:tcW w:type="dxa" w:w="1757"/>
          </w:tcPr>
          <w:p>
            <w:pPr>
              <w:jc w:val="center"/>
            </w:pPr>
            <w:r>
              <w:rPr>
                <w:b w:val="0"/>
                <w:i w:val="0"/>
                <w:color w:val="FF0000"/>
                <w:sz w:val="22"/>
              </w:rPr>
              <w:t>0,6 (1,85)</w:t>
            </w:r>
          </w:p>
        </w:tc>
        <w:tc>
          <w:tcPr>
            <w:tcW w:type="dxa" w:w="1757"/>
          </w:tcPr>
          <w:p>
            <w:pPr>
              <w:jc w:val="center"/>
            </w:pPr>
            <w:r>
              <w:rPr>
                <w:b w:val="0"/>
                <w:i w:val="0"/>
                <w:color w:val="FF0000"/>
                <w:sz w:val="22"/>
              </w:rPr>
              <w:t>0,9 (2,31)</w:t>
            </w:r>
          </w:p>
        </w:tc>
      </w:tr>
      <w:tr>
        <w:tc>
          <w:tcPr>
            <w:tcW w:type="dxa" w:w="4082"/>
          </w:tcPr>
          <w:p>
            <w:r>
              <w:rPr>
                <w:b w:val="0"/>
                <w:i w:val="0"/>
                <w:color w:val="FF0000"/>
                <w:sz w:val="22"/>
              </w:rPr>
              <w:t>D2. ROE, %</w:t>
            </w:r>
          </w:p>
        </w:tc>
        <w:tc>
          <w:tcPr>
            <w:tcW w:type="dxa" w:w="1757"/>
          </w:tcPr>
          <w:p>
            <w:pPr>
              <w:jc w:val="center"/>
            </w:pPr>
            <w:r>
              <w:rPr>
                <w:b w:val="0"/>
                <w:i w:val="0"/>
                <w:color w:val="FF0000"/>
                <w:sz w:val="22"/>
              </w:rPr>
              <w:t>17,2 (4,00)</w:t>
            </w:r>
          </w:p>
        </w:tc>
        <w:tc>
          <w:tcPr>
            <w:tcW w:type="dxa" w:w="1757"/>
          </w:tcPr>
          <w:p>
            <w:pPr>
              <w:jc w:val="center"/>
            </w:pPr>
            <w:r>
              <w:rPr>
                <w:b w:val="0"/>
                <w:i w:val="0"/>
                <w:color w:val="FF0000"/>
                <w:sz w:val="22"/>
              </w:rPr>
              <w:t>3,5 (1,69)</w:t>
            </w:r>
          </w:p>
        </w:tc>
        <w:tc>
          <w:tcPr>
            <w:tcW w:type="dxa" w:w="1757"/>
          </w:tcPr>
          <w:p>
            <w:pPr>
              <w:jc w:val="center"/>
            </w:pPr>
            <w:r>
              <w:rPr>
                <w:b w:val="0"/>
                <w:i w:val="0"/>
                <w:color w:val="FF0000"/>
                <w:sz w:val="22"/>
              </w:rPr>
              <w:t>7,3 (2,45)</w:t>
            </w:r>
          </w:p>
        </w:tc>
      </w:tr>
      <w:tr>
        <w:tc>
          <w:tcPr>
            <w:tcW w:type="dxa" w:w="4082"/>
          </w:tcPr>
          <w:p>
            <w:r>
              <w:rPr>
                <w:b w:val="0"/>
                <w:i w:val="0"/>
                <w:color w:val="FF0000"/>
                <w:sz w:val="22"/>
              </w:rPr>
              <w:t>D3. Xarajatlar / daromadlar, %</w:t>
            </w:r>
          </w:p>
        </w:tc>
        <w:tc>
          <w:tcPr>
            <w:tcW w:type="dxa" w:w="1757"/>
          </w:tcPr>
          <w:p>
            <w:pPr>
              <w:jc w:val="center"/>
            </w:pPr>
            <w:r>
              <w:rPr>
                <w:b w:val="0"/>
                <w:i w:val="0"/>
                <w:color w:val="FF0000"/>
                <w:sz w:val="22"/>
              </w:rPr>
              <w:t>36,5 (4,00)</w:t>
            </w:r>
          </w:p>
        </w:tc>
        <w:tc>
          <w:tcPr>
            <w:tcW w:type="dxa" w:w="1757"/>
          </w:tcPr>
          <w:p>
            <w:pPr>
              <w:jc w:val="center"/>
            </w:pPr>
            <w:r>
              <w:rPr>
                <w:b w:val="0"/>
                <w:i w:val="0"/>
                <w:color w:val="FF0000"/>
                <w:sz w:val="22"/>
              </w:rPr>
              <w:t>65,5 (2,72)</w:t>
            </w:r>
          </w:p>
        </w:tc>
        <w:tc>
          <w:tcPr>
            <w:tcW w:type="dxa" w:w="1757"/>
          </w:tcPr>
          <w:p>
            <w:pPr>
              <w:jc w:val="center"/>
            </w:pPr>
            <w:r>
              <w:rPr>
                <w:b w:val="0"/>
                <w:i w:val="0"/>
                <w:color w:val="FF0000"/>
                <w:sz w:val="22"/>
              </w:rPr>
              <w:t>82,2 (1,89)</w:t>
            </w:r>
          </w:p>
        </w:tc>
      </w:tr>
      <w:tr>
        <w:tc>
          <w:tcPr>
            <w:tcW w:type="dxa" w:w="4082"/>
          </w:tcPr>
          <w:p>
            <w:r>
              <w:rPr>
                <w:b w:val="0"/>
                <w:i w:val="0"/>
                <w:color w:val="FF0000"/>
                <w:sz w:val="22"/>
              </w:rPr>
              <w:t>V1. Xorijiy valyutadagi kreditlar, %</w:t>
            </w:r>
          </w:p>
        </w:tc>
        <w:tc>
          <w:tcPr>
            <w:tcW w:type="dxa" w:w="1757"/>
          </w:tcPr>
          <w:p>
            <w:pPr>
              <w:jc w:val="center"/>
            </w:pPr>
            <w:r>
              <w:rPr>
                <w:b w:val="0"/>
                <w:i w:val="0"/>
                <w:color w:val="FF0000"/>
                <w:sz w:val="22"/>
              </w:rPr>
              <w:t>60,1 (1,33)</w:t>
            </w:r>
          </w:p>
        </w:tc>
        <w:tc>
          <w:tcPr>
            <w:tcW w:type="dxa" w:w="1757"/>
          </w:tcPr>
          <w:p>
            <w:pPr>
              <w:jc w:val="center"/>
            </w:pPr>
            <w:r>
              <w:rPr>
                <w:b w:val="0"/>
                <w:i w:val="0"/>
                <w:color w:val="FF0000"/>
                <w:sz w:val="22"/>
              </w:rPr>
              <w:t>18,4 (4,00)</w:t>
            </w:r>
          </w:p>
        </w:tc>
        <w:tc>
          <w:tcPr>
            <w:tcW w:type="dxa" w:w="1757"/>
          </w:tcPr>
          <w:p>
            <w:pPr>
              <w:jc w:val="center"/>
            </w:pPr>
            <w:r>
              <w:rPr>
                <w:b w:val="0"/>
                <w:i w:val="0"/>
                <w:color w:val="FF0000"/>
                <w:sz w:val="22"/>
              </w:rPr>
              <w:t>37,0 (2,87)</w:t>
            </w:r>
          </w:p>
        </w:tc>
      </w:tr>
      <w:tr>
        <w:tc>
          <w:tcPr>
            <w:tcW w:type="dxa" w:w="4082"/>
          </w:tcPr>
          <w:p>
            <w:r>
              <w:rPr>
                <w:b w:val="0"/>
                <w:i w:val="0"/>
                <w:color w:val="FF0000"/>
                <w:sz w:val="22"/>
              </w:rPr>
              <w:t>V2. Xorijiy valyutadagi majburiyatlar, %</w:t>
            </w:r>
          </w:p>
        </w:tc>
        <w:tc>
          <w:tcPr>
            <w:tcW w:type="dxa" w:w="1757"/>
          </w:tcPr>
          <w:p>
            <w:pPr>
              <w:jc w:val="center"/>
            </w:pPr>
            <w:r>
              <w:rPr>
                <w:b w:val="0"/>
                <w:i w:val="0"/>
                <w:color w:val="FF0000"/>
                <w:sz w:val="22"/>
              </w:rPr>
              <w:t>60,9 (1,61)</w:t>
            </w:r>
          </w:p>
        </w:tc>
        <w:tc>
          <w:tcPr>
            <w:tcW w:type="dxa" w:w="1757"/>
          </w:tcPr>
          <w:p>
            <w:pPr>
              <w:jc w:val="center"/>
            </w:pPr>
            <w:r>
              <w:rPr>
                <w:b w:val="0"/>
                <w:i w:val="0"/>
                <w:color w:val="FF0000"/>
                <w:sz w:val="22"/>
              </w:rPr>
              <w:t>31,4 (3,57)</w:t>
            </w:r>
          </w:p>
        </w:tc>
        <w:tc>
          <w:tcPr>
            <w:tcW w:type="dxa" w:w="1757"/>
          </w:tcPr>
          <w:p>
            <w:pPr>
              <w:jc w:val="center"/>
            </w:pPr>
            <w:r>
              <w:rPr>
                <w:b w:val="0"/>
                <w:i w:val="0"/>
                <w:color w:val="FF0000"/>
                <w:sz w:val="22"/>
              </w:rPr>
              <w:t>31,6 (3,56)</w:t>
            </w:r>
          </w:p>
        </w:tc>
      </w:tr>
      <w:tr>
        <w:tc>
          <w:tcPr>
            <w:tcW w:type="dxa" w:w="4082"/>
          </w:tcPr>
          <w:p>
            <w:r>
              <w:rPr>
                <w:b/>
                <w:i w:val="0"/>
                <w:color w:val="FF0000"/>
                <w:sz w:val="22"/>
              </w:rPr>
              <w:t>Kapital yetarliligi bloki</w:t>
            </w:r>
          </w:p>
        </w:tc>
        <w:tc>
          <w:tcPr>
            <w:tcW w:type="dxa" w:w="1757"/>
          </w:tcPr>
          <w:p>
            <w:pPr>
              <w:jc w:val="center"/>
            </w:pPr>
            <w:r>
              <w:rPr>
                <w:b/>
                <w:i w:val="0"/>
                <w:color w:val="FF0000"/>
                <w:sz w:val="22"/>
              </w:rPr>
              <w:t>3,96</w:t>
            </w:r>
          </w:p>
        </w:tc>
        <w:tc>
          <w:tcPr>
            <w:tcW w:type="dxa" w:w="1757"/>
          </w:tcPr>
          <w:p>
            <w:pPr>
              <w:jc w:val="center"/>
            </w:pPr>
            <w:r>
              <w:rPr>
                <w:b/>
                <w:i w:val="0"/>
                <w:color w:val="FF0000"/>
                <w:sz w:val="22"/>
              </w:rPr>
              <w:t>4,00</w:t>
            </w:r>
          </w:p>
        </w:tc>
        <w:tc>
          <w:tcPr>
            <w:tcW w:type="dxa" w:w="1757"/>
          </w:tcPr>
          <w:p>
            <w:pPr>
              <w:jc w:val="center"/>
            </w:pPr>
            <w:r>
              <w:rPr>
                <w:b/>
                <w:i w:val="0"/>
                <w:color w:val="FF0000"/>
                <w:sz w:val="22"/>
              </w:rPr>
              <w:t>3,76</w:t>
            </w:r>
          </w:p>
        </w:tc>
      </w:tr>
      <w:tr>
        <w:tc>
          <w:tcPr>
            <w:tcW w:type="dxa" w:w="4082"/>
          </w:tcPr>
          <w:p>
            <w:r>
              <w:rPr>
                <w:b/>
                <w:i w:val="0"/>
                <w:color w:val="FF0000"/>
                <w:sz w:val="22"/>
              </w:rPr>
              <w:t>Aktivlar sifati bloki</w:t>
            </w:r>
          </w:p>
        </w:tc>
        <w:tc>
          <w:tcPr>
            <w:tcW w:type="dxa" w:w="1757"/>
          </w:tcPr>
          <w:p>
            <w:pPr>
              <w:jc w:val="center"/>
            </w:pPr>
            <w:r>
              <w:rPr>
                <w:b/>
                <w:i w:val="0"/>
                <w:color w:val="FF0000"/>
                <w:sz w:val="22"/>
              </w:rPr>
              <w:t>3,55</w:t>
            </w:r>
          </w:p>
        </w:tc>
        <w:tc>
          <w:tcPr>
            <w:tcW w:type="dxa" w:w="1757"/>
          </w:tcPr>
          <w:p>
            <w:pPr>
              <w:jc w:val="center"/>
            </w:pPr>
            <w:r>
              <w:rPr>
                <w:b/>
                <w:i w:val="0"/>
                <w:color w:val="FF0000"/>
                <w:sz w:val="22"/>
              </w:rPr>
              <w:t>3,42</w:t>
            </w:r>
          </w:p>
        </w:tc>
        <w:tc>
          <w:tcPr>
            <w:tcW w:type="dxa" w:w="1757"/>
          </w:tcPr>
          <w:p>
            <w:pPr>
              <w:jc w:val="center"/>
            </w:pPr>
            <w:r>
              <w:rPr>
                <w:b/>
                <w:i w:val="0"/>
                <w:color w:val="FF0000"/>
                <w:sz w:val="22"/>
              </w:rPr>
              <w:t>3,80</w:t>
            </w:r>
          </w:p>
        </w:tc>
      </w:tr>
      <w:tr>
        <w:tc>
          <w:tcPr>
            <w:tcW w:type="dxa" w:w="4082"/>
          </w:tcPr>
          <w:p>
            <w:r>
              <w:rPr>
                <w:b/>
                <w:i w:val="0"/>
                <w:color w:val="FF0000"/>
                <w:sz w:val="22"/>
              </w:rPr>
              <w:t>Likvidlik bloki</w:t>
            </w:r>
          </w:p>
        </w:tc>
        <w:tc>
          <w:tcPr>
            <w:tcW w:type="dxa" w:w="1757"/>
          </w:tcPr>
          <w:p>
            <w:pPr>
              <w:jc w:val="center"/>
            </w:pPr>
            <w:r>
              <w:rPr>
                <w:b/>
                <w:i w:val="0"/>
                <w:color w:val="FF0000"/>
                <w:sz w:val="22"/>
              </w:rPr>
              <w:t>2,33</w:t>
            </w:r>
          </w:p>
        </w:tc>
        <w:tc>
          <w:tcPr>
            <w:tcW w:type="dxa" w:w="1757"/>
          </w:tcPr>
          <w:p>
            <w:pPr>
              <w:jc w:val="center"/>
            </w:pPr>
            <w:r>
              <w:rPr>
                <w:b/>
                <w:i w:val="0"/>
                <w:color w:val="FF0000"/>
                <w:sz w:val="22"/>
              </w:rPr>
              <w:t>2,05</w:t>
            </w:r>
          </w:p>
        </w:tc>
        <w:tc>
          <w:tcPr>
            <w:tcW w:type="dxa" w:w="1757"/>
          </w:tcPr>
          <w:p>
            <w:pPr>
              <w:jc w:val="center"/>
            </w:pPr>
            <w:r>
              <w:rPr>
                <w:b/>
                <w:i w:val="0"/>
                <w:color w:val="FF0000"/>
                <w:sz w:val="22"/>
              </w:rPr>
              <w:t>2,56</w:t>
            </w:r>
          </w:p>
        </w:tc>
      </w:tr>
      <w:tr>
        <w:tc>
          <w:tcPr>
            <w:tcW w:type="dxa" w:w="4082"/>
          </w:tcPr>
          <w:p>
            <w:r>
              <w:rPr>
                <w:b/>
                <w:i w:val="0"/>
                <w:color w:val="FF0000"/>
                <w:sz w:val="22"/>
              </w:rPr>
              <w:t>Daromadlilik bloki</w:t>
            </w:r>
          </w:p>
        </w:tc>
        <w:tc>
          <w:tcPr>
            <w:tcW w:type="dxa" w:w="1757"/>
          </w:tcPr>
          <w:p>
            <w:pPr>
              <w:jc w:val="center"/>
            </w:pPr>
            <w:r>
              <w:rPr>
                <w:b/>
                <w:i w:val="0"/>
                <w:color w:val="FF0000"/>
                <w:sz w:val="22"/>
              </w:rPr>
              <w:t>3,99</w:t>
            </w:r>
          </w:p>
        </w:tc>
        <w:tc>
          <w:tcPr>
            <w:tcW w:type="dxa" w:w="1757"/>
          </w:tcPr>
          <w:p>
            <w:pPr>
              <w:jc w:val="center"/>
            </w:pPr>
            <w:r>
              <w:rPr>
                <w:b/>
                <w:i w:val="0"/>
                <w:color w:val="FF0000"/>
                <w:sz w:val="22"/>
              </w:rPr>
              <w:t>2,09</w:t>
            </w:r>
          </w:p>
        </w:tc>
        <w:tc>
          <w:tcPr>
            <w:tcW w:type="dxa" w:w="1757"/>
          </w:tcPr>
          <w:p>
            <w:pPr>
              <w:jc w:val="center"/>
            </w:pPr>
            <w:r>
              <w:rPr>
                <w:b/>
                <w:i w:val="0"/>
                <w:color w:val="FF0000"/>
                <w:sz w:val="22"/>
              </w:rPr>
              <w:t>2,22</w:t>
            </w:r>
          </w:p>
        </w:tc>
      </w:tr>
      <w:tr>
        <w:tc>
          <w:tcPr>
            <w:tcW w:type="dxa" w:w="4082"/>
          </w:tcPr>
          <w:p>
            <w:r>
              <w:rPr>
                <w:b/>
                <w:i w:val="0"/>
                <w:color w:val="FF0000"/>
                <w:sz w:val="22"/>
              </w:rPr>
              <w:t>Valyuta riskiga sezgirlik bloki</w:t>
            </w:r>
          </w:p>
        </w:tc>
        <w:tc>
          <w:tcPr>
            <w:tcW w:type="dxa" w:w="1757"/>
          </w:tcPr>
          <w:p>
            <w:pPr>
              <w:jc w:val="center"/>
            </w:pPr>
            <w:r>
              <w:rPr>
                <w:b/>
                <w:i w:val="0"/>
                <w:color w:val="FF0000"/>
                <w:sz w:val="22"/>
              </w:rPr>
              <w:t>1,47</w:t>
            </w:r>
          </w:p>
        </w:tc>
        <w:tc>
          <w:tcPr>
            <w:tcW w:type="dxa" w:w="1757"/>
          </w:tcPr>
          <w:p>
            <w:pPr>
              <w:jc w:val="center"/>
            </w:pPr>
            <w:r>
              <w:rPr>
                <w:b/>
                <w:i w:val="0"/>
                <w:color w:val="FF0000"/>
                <w:sz w:val="22"/>
              </w:rPr>
              <w:t>3,79</w:t>
            </w:r>
          </w:p>
        </w:tc>
        <w:tc>
          <w:tcPr>
            <w:tcW w:type="dxa" w:w="1757"/>
          </w:tcPr>
          <w:p>
            <w:pPr>
              <w:jc w:val="center"/>
            </w:pPr>
            <w:r>
              <w:rPr>
                <w:b/>
                <w:i w:val="0"/>
                <w:color w:val="FF0000"/>
                <w:sz w:val="22"/>
              </w:rPr>
              <w:t>3,21</w:t>
            </w:r>
          </w:p>
        </w:tc>
      </w:tr>
      <w:tr>
        <w:tc>
          <w:tcPr>
            <w:tcW w:type="dxa" w:w="4082"/>
          </w:tcPr>
          <w:p>
            <w:r>
              <w:rPr>
                <w:b/>
                <w:i w:val="0"/>
                <w:color w:val="FF0000"/>
                <w:sz w:val="22"/>
              </w:rPr>
              <w:t>MBII</w:t>
            </w:r>
          </w:p>
        </w:tc>
        <w:tc>
          <w:tcPr>
            <w:tcW w:type="dxa" w:w="1757"/>
          </w:tcPr>
          <w:p>
            <w:pPr>
              <w:jc w:val="center"/>
            </w:pPr>
            <w:r>
              <w:rPr>
                <w:b/>
                <w:i w:val="0"/>
                <w:color w:val="FF0000"/>
                <w:sz w:val="22"/>
              </w:rPr>
              <w:t>3,27</w:t>
            </w:r>
          </w:p>
        </w:tc>
        <w:tc>
          <w:tcPr>
            <w:tcW w:type="dxa" w:w="1757"/>
          </w:tcPr>
          <w:p>
            <w:pPr>
              <w:jc w:val="center"/>
            </w:pPr>
            <w:r>
              <w:rPr>
                <w:b/>
                <w:i w:val="0"/>
                <w:color w:val="FF0000"/>
                <w:sz w:val="22"/>
              </w:rPr>
              <w:t>3,13</w:t>
            </w:r>
          </w:p>
        </w:tc>
        <w:tc>
          <w:tcPr>
            <w:tcW w:type="dxa" w:w="1757"/>
          </w:tcPr>
          <w:p>
            <w:pPr>
              <w:jc w:val="center"/>
            </w:pPr>
            <w:r>
              <w:rPr>
                <w:b/>
                <w:i w:val="0"/>
                <w:color w:val="FF0000"/>
                <w:sz w:val="22"/>
              </w:rPr>
              <w:t>3,248</w:t>
            </w:r>
          </w:p>
        </w:tc>
      </w:tr>
      <w:tr>
        <w:tc>
          <w:tcPr>
            <w:tcW w:type="dxa" w:w="4082"/>
          </w:tcPr>
          <w:p>
            <w:r>
              <w:rPr>
                <w:b/>
                <w:i w:val="0"/>
                <w:color w:val="FF0000"/>
                <w:sz w:val="22"/>
              </w:rPr>
              <w:t>Barqarorlik sinfi</w:t>
            </w:r>
          </w:p>
        </w:tc>
        <w:tc>
          <w:tcPr>
            <w:tcW w:type="dxa" w:w="1757"/>
          </w:tcPr>
          <w:p>
            <w:pPr>
              <w:jc w:val="center"/>
            </w:pPr>
            <w:r>
              <w:rPr>
                <w:b/>
                <w:i w:val="0"/>
                <w:color w:val="FF0000"/>
                <w:sz w:val="22"/>
              </w:rPr>
              <w:t>I</w:t>
            </w:r>
          </w:p>
        </w:tc>
        <w:tc>
          <w:tcPr>
            <w:tcW w:type="dxa" w:w="1757"/>
          </w:tcPr>
          <w:p>
            <w:pPr>
              <w:jc w:val="center"/>
            </w:pPr>
            <w:r>
              <w:rPr>
                <w:b/>
                <w:i w:val="0"/>
                <w:color w:val="FF0000"/>
                <w:sz w:val="22"/>
              </w:rPr>
              <w:t>II</w:t>
            </w:r>
          </w:p>
        </w:tc>
        <w:tc>
          <w:tcPr>
            <w:tcW w:type="dxa" w:w="1757"/>
          </w:tcPr>
          <w:p>
            <w:pPr>
              <w:jc w:val="center"/>
            </w:pPr>
            <w:r>
              <w:rPr>
                <w:b/>
                <w:i w:val="0"/>
                <w:color w:val="FF0000"/>
                <w:sz w:val="22"/>
              </w:rPr>
              <w:t>II</w:t>
            </w:r>
          </w:p>
        </w:tc>
      </w:tr>
    </w:tbl>
    <w:p>
      <w:pPr>
        <w:jc w:val="both"/>
      </w:pPr>
      <w:r>
        <w:rPr>
          <w:b w:val="0"/>
          <w:i/>
          <w:color w:val="FF0000"/>
          <w:sz w:val="24"/>
        </w:rPr>
        <w:t>Izoh: SQB – “O‘zsanoatqurilishbank” ATB, MKB – “Mikrokreditbank” ATB; qavs ichida – ball. “Aloqabank” ATB ning indeksi I sinf chegarasidan (3,25) 0,002 ball past bo‘lgani sababli uch xona aniqlikda keltirildi.</w:t>
      </w:r>
    </w:p>
    <w:p>
      <w:pPr>
        <w:spacing w:line="360" w:lineRule="auto"/>
        <w:ind w:firstLine="709"/>
        <w:jc w:val="both"/>
      </w:pPr>
      <w:r>
        <w:rPr>
          <w:b w:val="0"/>
          <w:i w:val="0"/>
          <w:color w:val="FF0000"/>
          <w:sz w:val="28"/>
        </w:rPr>
        <w:t>Milliy hisobot ma’lumotlari bo‘yicha uchala bank yuqori baholanadi: “O‘zsanoatqurilishbank” ATB ning indeksi 3,27 ballni tashkil etib, I sinfga kiradi, “Aloqabank” ATB niki 3,248 ball bilan I sinf chegarasidan atigi 0,002 ball past, “Mikrokreditbank” ATB niki esa 3,13 ball bilan II sinfning yuqori qismida joylashadi. Uchala bankda ham kapital yetarliligi (3,76–4,00 ball) va aktivlar sifati (3,42–3,80 ball) bloklari yuqori baholangan, chunki rasmiy muammoli kreditlar ulushi 2,5–4,4 foizni tashkil etadi. Zaif bo‘g‘inlar esa banklarning faoliyat modeliga qarab farqlanadi: “O‘zsanoatqurilishbank” ATB da valyuta riskiga sezgirlik (1,47 ball, kreditlarning 60,1 foizi xorijiy valyutada) va likvidlik (2,33 ball), “Mikrokreditbank” ATB da likvidlik (2,05 ball) va daromadlilik (2,09 ball, kapital rentabelligi 3,5 foiz), “Aloqabank” ATB da esa daromadlilik (2,22 ball, xarajatlar daromadlarning 82,2 foizini tashkil etadi) va likvidlik (2,56 ball) bloklari. Demak, milliy hisobot asosida uchala bank barqaror yoki qoniqarli darajada ko‘rinadi, ularning zaifliklari esa asosan likvidlik, daromadlilik va valyuta riski bilan bog‘liq bo‘lib, aktivlar sifati muammo sifatida namoyon bo‘lmaydi.</w:t>
      </w:r>
    </w:p>
    <w:p>
      <w:pPr>
        <w:jc w:val="right"/>
      </w:pPr>
      <w:r>
        <w:rPr>
          <w:b/>
          <w:i/>
          <w:color w:val="FF0000"/>
          <w:sz w:val="28"/>
        </w:rPr>
        <w:t>3.1.6-jadval</w:t>
      </w:r>
    </w:p>
    <w:p>
      <w:pPr>
        <w:jc w:val="center"/>
      </w:pPr>
      <w:r>
        <w:rPr>
          <w:b/>
          <w:i w:val="0"/>
          <w:color w:val="FF0000"/>
          <w:sz w:val="28"/>
        </w:rPr>
        <w:t>Uch bank bo‘yicha integral indeks ko‘rsatkichlari va ballari: MHXS hisobotlari, 2025-yil yakuni</w:t>
      </w:r>
      <w:r>
        <w:rPr>
          <w:b/>
          <w:i w:val="0"/>
          <w:color w:val="FF0000"/>
          <w:sz w:val="28"/>
          <w:vertAlign w:val="superscript"/>
        </w:rPr>
        <w:t>²</w:t>
      </w:r>
    </w:p>
    <w:tbl>
      <w:tblPr>
        <w:tblStyle w:val="TableGrid"/>
        <w:tblW w:type="auto" w:w="0"/>
        <w:tblLayout w:type="fixed"/>
        <w:tblLook w:firstColumn="1" w:firstRow="1" w:lastColumn="0" w:lastRow="0" w:noHBand="0" w:noVBand="1" w:val="04A0"/>
      </w:tblPr>
      <w:tblGrid>
        <w:gridCol w:w="4082"/>
        <w:gridCol w:w="1757"/>
        <w:gridCol w:w="1757"/>
        <w:gridCol w:w="1757"/>
      </w:tblGrid>
      <w:tr>
        <w:tc>
          <w:tcPr>
            <w:tcW w:type="dxa" w:w="4082"/>
          </w:tcPr>
          <w:p>
            <w:pPr>
              <w:jc w:val="center"/>
            </w:pPr>
            <w:r>
              <w:rPr>
                <w:b/>
                <w:i w:val="0"/>
                <w:color w:val="FF0000"/>
                <w:sz w:val="22"/>
              </w:rPr>
              <w:t>Ko‘rsatkich</w:t>
            </w:r>
          </w:p>
        </w:tc>
        <w:tc>
          <w:tcPr>
            <w:tcW w:type="dxa" w:w="1757"/>
          </w:tcPr>
          <w:p>
            <w:pPr>
              <w:jc w:val="center"/>
            </w:pPr>
            <w:r>
              <w:rPr>
                <w:b/>
                <w:i w:val="0"/>
                <w:color w:val="FF0000"/>
                <w:sz w:val="22"/>
              </w:rPr>
              <w:t>SQB</w:t>
            </w:r>
          </w:p>
        </w:tc>
        <w:tc>
          <w:tcPr>
            <w:tcW w:type="dxa" w:w="1757"/>
          </w:tcPr>
          <w:p>
            <w:pPr>
              <w:jc w:val="center"/>
            </w:pPr>
            <w:r>
              <w:rPr>
                <w:b/>
                <w:i w:val="0"/>
                <w:color w:val="FF0000"/>
                <w:sz w:val="22"/>
              </w:rPr>
              <w:t>MKB</w:t>
            </w:r>
          </w:p>
        </w:tc>
        <w:tc>
          <w:tcPr>
            <w:tcW w:type="dxa" w:w="1757"/>
          </w:tcPr>
          <w:p>
            <w:pPr>
              <w:jc w:val="center"/>
            </w:pPr>
            <w:r>
              <w:rPr>
                <w:b/>
                <w:i w:val="0"/>
                <w:color w:val="FF0000"/>
                <w:sz w:val="22"/>
              </w:rPr>
              <w:t>Aloqabank</w:t>
            </w:r>
          </w:p>
        </w:tc>
      </w:tr>
      <w:tr>
        <w:tc>
          <w:tcPr>
            <w:tcW w:type="dxa" w:w="4082"/>
          </w:tcPr>
          <w:p>
            <w:r>
              <w:rPr>
                <w:b w:val="0"/>
                <w:i w:val="0"/>
                <w:color w:val="FF0000"/>
                <w:sz w:val="22"/>
              </w:rPr>
              <w:t>K1. CET1 monandligi, %</w:t>
            </w:r>
          </w:p>
        </w:tc>
        <w:tc>
          <w:tcPr>
            <w:tcW w:type="dxa" w:w="1757"/>
          </w:tcPr>
          <w:p>
            <w:pPr>
              <w:jc w:val="center"/>
            </w:pPr>
            <w:r>
              <w:rPr>
                <w:b w:val="0"/>
                <w:i w:val="0"/>
                <w:color w:val="FF0000"/>
                <w:sz w:val="22"/>
              </w:rPr>
              <w:t>8,87 (3,35)</w:t>
            </w:r>
          </w:p>
        </w:tc>
        <w:tc>
          <w:tcPr>
            <w:tcW w:type="dxa" w:w="1757"/>
          </w:tcPr>
          <w:p>
            <w:pPr>
              <w:jc w:val="center"/>
            </w:pPr>
            <w:r>
              <w:rPr>
                <w:b w:val="0"/>
                <w:i w:val="0"/>
                <w:color w:val="FF0000"/>
                <w:sz w:val="22"/>
              </w:rPr>
              <w:t>18,24 (4,00)</w:t>
            </w:r>
          </w:p>
        </w:tc>
        <w:tc>
          <w:tcPr>
            <w:tcW w:type="dxa" w:w="1757"/>
          </w:tcPr>
          <w:p>
            <w:pPr>
              <w:jc w:val="center"/>
            </w:pPr>
            <w:r>
              <w:rPr>
                <w:b w:val="0"/>
                <w:i w:val="0"/>
                <w:color w:val="FF0000"/>
                <w:sz w:val="22"/>
              </w:rPr>
              <w:t>9,76 (3,70)</w:t>
            </w:r>
          </w:p>
        </w:tc>
      </w:tr>
      <w:tr>
        <w:tc>
          <w:tcPr>
            <w:tcW w:type="dxa" w:w="4082"/>
          </w:tcPr>
          <w:p>
            <w:r>
              <w:rPr>
                <w:b w:val="0"/>
                <w:i w:val="0"/>
                <w:color w:val="FF0000"/>
                <w:sz w:val="22"/>
              </w:rPr>
              <w:t>K2. Regulyativ kapital monandligi, %</w:t>
            </w:r>
          </w:p>
        </w:tc>
        <w:tc>
          <w:tcPr>
            <w:tcW w:type="dxa" w:w="1757"/>
          </w:tcPr>
          <w:p>
            <w:pPr>
              <w:jc w:val="center"/>
            </w:pPr>
            <w:r>
              <w:rPr>
                <w:b w:val="0"/>
                <w:i w:val="0"/>
                <w:color w:val="FF0000"/>
                <w:sz w:val="22"/>
              </w:rPr>
              <w:t>15,32 (3,93)</w:t>
            </w:r>
          </w:p>
        </w:tc>
        <w:tc>
          <w:tcPr>
            <w:tcW w:type="dxa" w:w="1757"/>
          </w:tcPr>
          <w:p>
            <w:pPr>
              <w:jc w:val="center"/>
            </w:pPr>
            <w:r>
              <w:rPr>
                <w:b w:val="0"/>
                <w:i w:val="0"/>
                <w:color w:val="FF0000"/>
                <w:sz w:val="22"/>
              </w:rPr>
              <w:t>19,96 (4,00)</w:t>
            </w:r>
          </w:p>
        </w:tc>
        <w:tc>
          <w:tcPr>
            <w:tcW w:type="dxa" w:w="1757"/>
          </w:tcPr>
          <w:p>
            <w:pPr>
              <w:jc w:val="center"/>
            </w:pPr>
            <w:r>
              <w:rPr>
                <w:b w:val="0"/>
                <w:i w:val="0"/>
                <w:color w:val="FF0000"/>
                <w:sz w:val="22"/>
              </w:rPr>
              <w:t>13,11 (3,04)</w:t>
            </w:r>
          </w:p>
        </w:tc>
      </w:tr>
      <w:tr>
        <w:tc>
          <w:tcPr>
            <w:tcW w:type="dxa" w:w="4082"/>
          </w:tcPr>
          <w:p>
            <w:r>
              <w:rPr>
                <w:b w:val="0"/>
                <w:i w:val="0"/>
                <w:color w:val="FF0000"/>
                <w:sz w:val="22"/>
              </w:rPr>
              <w:t>K3. Kapital / aktivlar, %</w:t>
            </w:r>
          </w:p>
        </w:tc>
        <w:tc>
          <w:tcPr>
            <w:tcW w:type="dxa" w:w="1757"/>
          </w:tcPr>
          <w:p>
            <w:pPr>
              <w:jc w:val="center"/>
            </w:pPr>
            <w:r>
              <w:rPr>
                <w:b w:val="0"/>
                <w:i w:val="0"/>
                <w:color w:val="FF0000"/>
                <w:sz w:val="22"/>
              </w:rPr>
              <w:t>10,6 (4,00)</w:t>
            </w:r>
          </w:p>
        </w:tc>
        <w:tc>
          <w:tcPr>
            <w:tcW w:type="dxa" w:w="1757"/>
          </w:tcPr>
          <w:p>
            <w:pPr>
              <w:jc w:val="center"/>
            </w:pPr>
            <w:r>
              <w:rPr>
                <w:b w:val="0"/>
                <w:i w:val="0"/>
                <w:color w:val="FF0000"/>
                <w:sz w:val="22"/>
              </w:rPr>
              <w:t>20,2 (4,00)</w:t>
            </w:r>
          </w:p>
        </w:tc>
        <w:tc>
          <w:tcPr>
            <w:tcW w:type="dxa" w:w="1757"/>
          </w:tcPr>
          <w:p>
            <w:pPr>
              <w:jc w:val="center"/>
            </w:pPr>
            <w:r>
              <w:rPr>
                <w:b w:val="0"/>
                <w:i w:val="0"/>
                <w:color w:val="FF0000"/>
                <w:sz w:val="22"/>
              </w:rPr>
              <w:t>11,1 (4,00)</w:t>
            </w:r>
          </w:p>
        </w:tc>
      </w:tr>
      <w:tr>
        <w:tc>
          <w:tcPr>
            <w:tcW w:type="dxa" w:w="4082"/>
          </w:tcPr>
          <w:p>
            <w:r>
              <w:rPr>
                <w:b w:val="0"/>
                <w:i w:val="0"/>
                <w:color w:val="FF0000"/>
                <w:sz w:val="22"/>
              </w:rPr>
              <w:t>A1. 3-bosqich kreditlar ulushi, %</w:t>
            </w:r>
          </w:p>
        </w:tc>
        <w:tc>
          <w:tcPr>
            <w:tcW w:type="dxa" w:w="1757"/>
          </w:tcPr>
          <w:p>
            <w:pPr>
              <w:jc w:val="center"/>
            </w:pPr>
            <w:r>
              <w:rPr>
                <w:b w:val="0"/>
                <w:i w:val="0"/>
                <w:color w:val="FF0000"/>
                <w:sz w:val="22"/>
              </w:rPr>
              <w:t>7,5 (2,50)</w:t>
            </w:r>
          </w:p>
        </w:tc>
        <w:tc>
          <w:tcPr>
            <w:tcW w:type="dxa" w:w="1757"/>
          </w:tcPr>
          <w:p>
            <w:pPr>
              <w:jc w:val="center"/>
            </w:pPr>
            <w:r>
              <w:rPr>
                <w:b w:val="0"/>
                <w:i w:val="0"/>
                <w:color w:val="FF0000"/>
                <w:sz w:val="22"/>
              </w:rPr>
              <w:t>12,3 (1,53)</w:t>
            </w:r>
          </w:p>
        </w:tc>
        <w:tc>
          <w:tcPr>
            <w:tcW w:type="dxa" w:w="1757"/>
          </w:tcPr>
          <w:p>
            <w:pPr>
              <w:jc w:val="center"/>
            </w:pPr>
            <w:r>
              <w:rPr>
                <w:b w:val="0"/>
                <w:i w:val="0"/>
                <w:color w:val="FF0000"/>
                <w:sz w:val="22"/>
              </w:rPr>
              <w:t>7,2 (2,56)</w:t>
            </w:r>
          </w:p>
        </w:tc>
      </w:tr>
      <w:tr>
        <w:tc>
          <w:tcPr>
            <w:tcW w:type="dxa" w:w="4082"/>
          </w:tcPr>
          <w:p>
            <w:r>
              <w:rPr>
                <w:b w:val="0"/>
                <w:i w:val="0"/>
                <w:color w:val="FF0000"/>
                <w:sz w:val="22"/>
              </w:rPr>
              <w:t>A2. 2-bosqich kreditlar ulushi, %</w:t>
            </w:r>
          </w:p>
        </w:tc>
        <w:tc>
          <w:tcPr>
            <w:tcW w:type="dxa" w:w="1757"/>
          </w:tcPr>
          <w:p>
            <w:pPr>
              <w:jc w:val="center"/>
            </w:pPr>
            <w:r>
              <w:rPr>
                <w:b w:val="0"/>
                <w:i w:val="0"/>
                <w:color w:val="FF0000"/>
                <w:sz w:val="22"/>
              </w:rPr>
              <w:t>35,7 (1,00)</w:t>
            </w:r>
          </w:p>
        </w:tc>
        <w:tc>
          <w:tcPr>
            <w:tcW w:type="dxa" w:w="1757"/>
          </w:tcPr>
          <w:p>
            <w:pPr>
              <w:jc w:val="center"/>
            </w:pPr>
            <w:r>
              <w:rPr>
                <w:b w:val="0"/>
                <w:i w:val="0"/>
                <w:color w:val="FF0000"/>
                <w:sz w:val="22"/>
              </w:rPr>
              <w:t>25,3 (1,97)</w:t>
            </w:r>
          </w:p>
        </w:tc>
        <w:tc>
          <w:tcPr>
            <w:tcW w:type="dxa" w:w="1757"/>
          </w:tcPr>
          <w:p>
            <w:pPr>
              <w:jc w:val="center"/>
            </w:pPr>
            <w:r>
              <w:rPr>
                <w:b w:val="0"/>
                <w:i w:val="0"/>
                <w:color w:val="FF0000"/>
                <w:sz w:val="22"/>
              </w:rPr>
              <w:t>6,6 (4,00)</w:t>
            </w:r>
          </w:p>
        </w:tc>
      </w:tr>
      <w:tr>
        <w:tc>
          <w:tcPr>
            <w:tcW w:type="dxa" w:w="4082"/>
          </w:tcPr>
          <w:p>
            <w:r>
              <w:rPr>
                <w:b w:val="0"/>
                <w:i w:val="0"/>
                <w:color w:val="FF0000"/>
                <w:sz w:val="22"/>
              </w:rPr>
              <w:t>A3. Qoplanmagan muammoli kreditlar / kapital, %</w:t>
            </w:r>
          </w:p>
        </w:tc>
        <w:tc>
          <w:tcPr>
            <w:tcW w:type="dxa" w:w="1757"/>
          </w:tcPr>
          <w:p>
            <w:pPr>
              <w:jc w:val="center"/>
            </w:pPr>
            <w:r>
              <w:rPr>
                <w:b w:val="0"/>
                <w:i w:val="0"/>
                <w:color w:val="FF0000"/>
                <w:sz w:val="22"/>
              </w:rPr>
              <w:t>6,5 (3,35)</w:t>
            </w:r>
          </w:p>
        </w:tc>
        <w:tc>
          <w:tcPr>
            <w:tcW w:type="dxa" w:w="1757"/>
          </w:tcPr>
          <w:p>
            <w:pPr>
              <w:jc w:val="center"/>
            </w:pPr>
            <w:r>
              <w:rPr>
                <w:b w:val="0"/>
                <w:i w:val="0"/>
                <w:color w:val="FF0000"/>
                <w:sz w:val="22"/>
              </w:rPr>
              <w:t>29,1 (1,09)</w:t>
            </w:r>
          </w:p>
        </w:tc>
        <w:tc>
          <w:tcPr>
            <w:tcW w:type="dxa" w:w="1757"/>
          </w:tcPr>
          <w:p>
            <w:pPr>
              <w:jc w:val="center"/>
            </w:pPr>
            <w:r>
              <w:rPr>
                <w:b w:val="0"/>
                <w:i w:val="0"/>
                <w:color w:val="FF0000"/>
                <w:sz w:val="22"/>
              </w:rPr>
              <w:t>17,8 (2,22)</w:t>
            </w:r>
          </w:p>
        </w:tc>
      </w:tr>
      <w:tr>
        <w:tc>
          <w:tcPr>
            <w:tcW w:type="dxa" w:w="4082"/>
          </w:tcPr>
          <w:p>
            <w:r>
              <w:rPr>
                <w:b w:val="0"/>
                <w:i w:val="0"/>
                <w:color w:val="FF0000"/>
                <w:sz w:val="22"/>
              </w:rPr>
              <w:t>L1. Yuqori likvid aktivlar / aktivlar, %</w:t>
            </w:r>
          </w:p>
        </w:tc>
        <w:tc>
          <w:tcPr>
            <w:tcW w:type="dxa" w:w="1757"/>
          </w:tcPr>
          <w:p>
            <w:pPr>
              <w:jc w:val="center"/>
            </w:pPr>
            <w:r>
              <w:rPr>
                <w:b w:val="0"/>
                <w:i w:val="0"/>
                <w:color w:val="FF0000"/>
                <w:sz w:val="22"/>
              </w:rPr>
              <w:t>18,3 (3,66)</w:t>
            </w:r>
          </w:p>
        </w:tc>
        <w:tc>
          <w:tcPr>
            <w:tcW w:type="dxa" w:w="1757"/>
          </w:tcPr>
          <w:p>
            <w:pPr>
              <w:jc w:val="center"/>
            </w:pPr>
            <w:r>
              <w:rPr>
                <w:b w:val="0"/>
                <w:i w:val="0"/>
                <w:color w:val="FF0000"/>
                <w:sz w:val="22"/>
              </w:rPr>
              <w:t>15,5 (3,09)</w:t>
            </w:r>
          </w:p>
        </w:tc>
        <w:tc>
          <w:tcPr>
            <w:tcW w:type="dxa" w:w="1757"/>
          </w:tcPr>
          <w:p>
            <w:pPr>
              <w:jc w:val="center"/>
            </w:pPr>
            <w:r>
              <w:rPr>
                <w:b w:val="0"/>
                <w:i w:val="0"/>
                <w:color w:val="FF0000"/>
                <w:sz w:val="22"/>
              </w:rPr>
              <w:t>12,7 (2,54)</w:t>
            </w:r>
          </w:p>
        </w:tc>
      </w:tr>
      <w:tr>
        <w:tc>
          <w:tcPr>
            <w:tcW w:type="dxa" w:w="4082"/>
          </w:tcPr>
          <w:p>
            <w:r>
              <w:rPr>
                <w:b w:val="0"/>
                <w:i w:val="0"/>
                <w:color w:val="FF0000"/>
                <w:sz w:val="22"/>
              </w:rPr>
              <w:t>L2. Kreditlar / depozitlar, %</w:t>
            </w:r>
          </w:p>
        </w:tc>
        <w:tc>
          <w:tcPr>
            <w:tcW w:type="dxa" w:w="1757"/>
          </w:tcPr>
          <w:p>
            <w:pPr>
              <w:jc w:val="center"/>
            </w:pPr>
            <w:r>
              <w:rPr>
                <w:b w:val="0"/>
                <w:i w:val="0"/>
                <w:color w:val="FF0000"/>
                <w:sz w:val="22"/>
              </w:rPr>
              <w:t>221,0 (1,00)</w:t>
            </w:r>
          </w:p>
        </w:tc>
        <w:tc>
          <w:tcPr>
            <w:tcW w:type="dxa" w:w="1757"/>
          </w:tcPr>
          <w:p>
            <w:pPr>
              <w:jc w:val="center"/>
            </w:pPr>
            <w:r>
              <w:rPr>
                <w:b w:val="0"/>
                <w:i w:val="0"/>
                <w:color w:val="FF0000"/>
                <w:sz w:val="22"/>
              </w:rPr>
              <w:t>324,5 (1,00)</w:t>
            </w:r>
          </w:p>
        </w:tc>
        <w:tc>
          <w:tcPr>
            <w:tcW w:type="dxa" w:w="1757"/>
          </w:tcPr>
          <w:p>
            <w:pPr>
              <w:jc w:val="center"/>
            </w:pPr>
            <w:r>
              <w:rPr>
                <w:b w:val="0"/>
                <w:i w:val="0"/>
                <w:color w:val="FF0000"/>
                <w:sz w:val="22"/>
              </w:rPr>
              <w:t>140,1 (2,20)</w:t>
            </w:r>
          </w:p>
        </w:tc>
      </w:tr>
      <w:tr>
        <w:tc>
          <w:tcPr>
            <w:tcW w:type="dxa" w:w="4082"/>
          </w:tcPr>
          <w:p>
            <w:r>
              <w:rPr>
                <w:b w:val="0"/>
                <w:i w:val="0"/>
                <w:color w:val="FF0000"/>
                <w:sz w:val="22"/>
              </w:rPr>
              <w:t>D1. ROA, %</w:t>
            </w:r>
          </w:p>
        </w:tc>
        <w:tc>
          <w:tcPr>
            <w:tcW w:type="dxa" w:w="1757"/>
          </w:tcPr>
          <w:p>
            <w:pPr>
              <w:jc w:val="center"/>
            </w:pPr>
            <w:r>
              <w:rPr>
                <w:b w:val="0"/>
                <w:i w:val="0"/>
                <w:color w:val="FF0000"/>
                <w:sz w:val="22"/>
              </w:rPr>
              <w:t>1,7 (3,49)</w:t>
            </w:r>
          </w:p>
        </w:tc>
        <w:tc>
          <w:tcPr>
            <w:tcW w:type="dxa" w:w="1757"/>
          </w:tcPr>
          <w:p>
            <w:pPr>
              <w:jc w:val="center"/>
            </w:pPr>
            <w:r>
              <w:rPr>
                <w:b w:val="0"/>
                <w:i w:val="0"/>
                <w:color w:val="FF0000"/>
                <w:sz w:val="22"/>
              </w:rPr>
              <w:t>0,2 (1,22)</w:t>
            </w:r>
          </w:p>
        </w:tc>
        <w:tc>
          <w:tcPr>
            <w:tcW w:type="dxa" w:w="1757"/>
          </w:tcPr>
          <w:p>
            <w:pPr>
              <w:jc w:val="center"/>
            </w:pPr>
            <w:r>
              <w:rPr>
                <w:b w:val="0"/>
                <w:i w:val="0"/>
                <w:color w:val="FF0000"/>
                <w:sz w:val="22"/>
              </w:rPr>
              <w:t>−0,7 (1,00)</w:t>
            </w:r>
          </w:p>
        </w:tc>
      </w:tr>
      <w:tr>
        <w:tc>
          <w:tcPr>
            <w:tcW w:type="dxa" w:w="4082"/>
          </w:tcPr>
          <w:p>
            <w:r>
              <w:rPr>
                <w:b w:val="0"/>
                <w:i w:val="0"/>
                <w:color w:val="FF0000"/>
                <w:sz w:val="22"/>
              </w:rPr>
              <w:t>D2. ROE, %</w:t>
            </w:r>
          </w:p>
        </w:tc>
        <w:tc>
          <w:tcPr>
            <w:tcW w:type="dxa" w:w="1757"/>
          </w:tcPr>
          <w:p>
            <w:pPr>
              <w:jc w:val="center"/>
            </w:pPr>
            <w:r>
              <w:rPr>
                <w:b w:val="0"/>
                <w:i w:val="0"/>
                <w:color w:val="FF0000"/>
                <w:sz w:val="22"/>
              </w:rPr>
              <w:t>15,7 (4,00)</w:t>
            </w:r>
          </w:p>
        </w:tc>
        <w:tc>
          <w:tcPr>
            <w:tcW w:type="dxa" w:w="1757"/>
          </w:tcPr>
          <w:p>
            <w:pPr>
              <w:jc w:val="center"/>
            </w:pPr>
            <w:r>
              <w:rPr>
                <w:b w:val="0"/>
                <w:i w:val="0"/>
                <w:color w:val="FF0000"/>
                <w:sz w:val="22"/>
              </w:rPr>
              <w:t>0,8 (1,16)</w:t>
            </w:r>
          </w:p>
        </w:tc>
        <w:tc>
          <w:tcPr>
            <w:tcW w:type="dxa" w:w="1757"/>
          </w:tcPr>
          <w:p>
            <w:pPr>
              <w:jc w:val="center"/>
            </w:pPr>
            <w:r>
              <w:rPr>
                <w:b w:val="0"/>
                <w:i w:val="0"/>
                <w:color w:val="FF0000"/>
                <w:sz w:val="22"/>
              </w:rPr>
              <w:t>−5,9 (1,00)</w:t>
            </w:r>
          </w:p>
        </w:tc>
      </w:tr>
      <w:tr>
        <w:tc>
          <w:tcPr>
            <w:tcW w:type="dxa" w:w="4082"/>
          </w:tcPr>
          <w:p>
            <w:r>
              <w:rPr>
                <w:b w:val="0"/>
                <w:i w:val="0"/>
                <w:color w:val="FF0000"/>
                <w:sz w:val="22"/>
              </w:rPr>
              <w:t>D3. Xarajatlar / daromadlar, %</w:t>
            </w:r>
          </w:p>
        </w:tc>
        <w:tc>
          <w:tcPr>
            <w:tcW w:type="dxa" w:w="1757"/>
          </w:tcPr>
          <w:p>
            <w:pPr>
              <w:jc w:val="center"/>
            </w:pPr>
            <w:r>
              <w:rPr>
                <w:b w:val="0"/>
                <w:i w:val="0"/>
                <w:color w:val="FF0000"/>
                <w:sz w:val="22"/>
              </w:rPr>
              <w:t>41,5 (4,00)</w:t>
            </w:r>
          </w:p>
        </w:tc>
        <w:tc>
          <w:tcPr>
            <w:tcW w:type="dxa" w:w="1757"/>
          </w:tcPr>
          <w:p>
            <w:pPr>
              <w:jc w:val="center"/>
            </w:pPr>
            <w:r>
              <w:rPr>
                <w:b w:val="0"/>
                <w:i w:val="0"/>
                <w:color w:val="FF0000"/>
                <w:sz w:val="22"/>
              </w:rPr>
              <w:t>87,6 (1,62)</w:t>
            </w:r>
          </w:p>
        </w:tc>
        <w:tc>
          <w:tcPr>
            <w:tcW w:type="dxa" w:w="1757"/>
          </w:tcPr>
          <w:p>
            <w:pPr>
              <w:jc w:val="center"/>
            </w:pPr>
            <w:r>
              <w:rPr>
                <w:b w:val="0"/>
                <w:i w:val="0"/>
                <w:color w:val="FF0000"/>
                <w:sz w:val="22"/>
              </w:rPr>
              <w:t>89,0 (1,55)</w:t>
            </w:r>
          </w:p>
        </w:tc>
      </w:tr>
      <w:tr>
        <w:tc>
          <w:tcPr>
            <w:tcW w:type="dxa" w:w="4082"/>
          </w:tcPr>
          <w:p>
            <w:r>
              <w:rPr>
                <w:b w:val="0"/>
                <w:i w:val="0"/>
                <w:color w:val="FF0000"/>
                <w:sz w:val="22"/>
              </w:rPr>
              <w:t>V1. Xorijiy valyutadagi kreditlar, %</w:t>
            </w:r>
          </w:p>
        </w:tc>
        <w:tc>
          <w:tcPr>
            <w:tcW w:type="dxa" w:w="1757"/>
          </w:tcPr>
          <w:p>
            <w:pPr>
              <w:jc w:val="center"/>
            </w:pPr>
            <w:r>
              <w:rPr>
                <w:b w:val="0"/>
                <w:i w:val="0"/>
                <w:color w:val="FF0000"/>
                <w:sz w:val="22"/>
              </w:rPr>
              <w:t>61,2 (1,25)</w:t>
            </w:r>
          </w:p>
        </w:tc>
        <w:tc>
          <w:tcPr>
            <w:tcW w:type="dxa" w:w="1757"/>
          </w:tcPr>
          <w:p>
            <w:pPr>
              <w:jc w:val="center"/>
            </w:pPr>
            <w:r>
              <w:rPr>
                <w:b w:val="0"/>
                <w:i w:val="0"/>
                <w:color w:val="FF0000"/>
                <w:sz w:val="22"/>
              </w:rPr>
              <w:t>–</w:t>
            </w:r>
          </w:p>
        </w:tc>
        <w:tc>
          <w:tcPr>
            <w:tcW w:type="dxa" w:w="1757"/>
          </w:tcPr>
          <w:p>
            <w:pPr>
              <w:jc w:val="center"/>
            </w:pPr>
            <w:r>
              <w:rPr>
                <w:b w:val="0"/>
                <w:i w:val="0"/>
                <w:color w:val="FF0000"/>
                <w:sz w:val="22"/>
              </w:rPr>
              <w:t>–</w:t>
            </w:r>
          </w:p>
        </w:tc>
      </w:tr>
      <w:tr>
        <w:tc>
          <w:tcPr>
            <w:tcW w:type="dxa" w:w="4082"/>
          </w:tcPr>
          <w:p>
            <w:r>
              <w:rPr>
                <w:b w:val="0"/>
                <w:i w:val="0"/>
                <w:color w:val="FF0000"/>
                <w:sz w:val="22"/>
              </w:rPr>
              <w:t>V2. Xorijiy valyutadagi majburiyatlar, %</w:t>
            </w:r>
          </w:p>
        </w:tc>
        <w:tc>
          <w:tcPr>
            <w:tcW w:type="dxa" w:w="1757"/>
          </w:tcPr>
          <w:p>
            <w:pPr>
              <w:jc w:val="center"/>
            </w:pPr>
            <w:r>
              <w:rPr>
                <w:b w:val="0"/>
                <w:i w:val="0"/>
                <w:color w:val="FF0000"/>
                <w:sz w:val="22"/>
              </w:rPr>
              <w:t>60,4 (1,64)</w:t>
            </w:r>
          </w:p>
        </w:tc>
        <w:tc>
          <w:tcPr>
            <w:tcW w:type="dxa" w:w="1757"/>
          </w:tcPr>
          <w:p>
            <w:pPr>
              <w:jc w:val="center"/>
            </w:pPr>
            <w:r>
              <w:rPr>
                <w:b w:val="0"/>
                <w:i w:val="0"/>
                <w:color w:val="FF0000"/>
                <w:sz w:val="22"/>
              </w:rPr>
              <w:t>22,4 (4,00)</w:t>
            </w:r>
          </w:p>
        </w:tc>
        <w:tc>
          <w:tcPr>
            <w:tcW w:type="dxa" w:w="1757"/>
          </w:tcPr>
          <w:p>
            <w:pPr>
              <w:jc w:val="center"/>
            </w:pPr>
            <w:r>
              <w:rPr>
                <w:b w:val="0"/>
                <w:i w:val="0"/>
                <w:color w:val="FF0000"/>
                <w:sz w:val="22"/>
              </w:rPr>
              <w:t>31,4 (3,57)</w:t>
            </w:r>
          </w:p>
        </w:tc>
      </w:tr>
      <w:tr>
        <w:tc>
          <w:tcPr>
            <w:tcW w:type="dxa" w:w="4082"/>
          </w:tcPr>
          <w:p>
            <w:r>
              <w:rPr>
                <w:b/>
                <w:i w:val="0"/>
                <w:color w:val="FF0000"/>
                <w:sz w:val="22"/>
              </w:rPr>
              <w:t>Kapital yetarliligi bloki</w:t>
            </w:r>
          </w:p>
        </w:tc>
        <w:tc>
          <w:tcPr>
            <w:tcW w:type="dxa" w:w="1757"/>
          </w:tcPr>
          <w:p>
            <w:pPr>
              <w:jc w:val="center"/>
            </w:pPr>
            <w:r>
              <w:rPr>
                <w:b/>
                <w:i w:val="0"/>
                <w:color w:val="FF0000"/>
                <w:sz w:val="22"/>
              </w:rPr>
              <w:t>3,76</w:t>
            </w:r>
          </w:p>
        </w:tc>
        <w:tc>
          <w:tcPr>
            <w:tcW w:type="dxa" w:w="1757"/>
          </w:tcPr>
          <w:p>
            <w:pPr>
              <w:jc w:val="center"/>
            </w:pPr>
            <w:r>
              <w:rPr>
                <w:b/>
                <w:i w:val="0"/>
                <w:color w:val="FF0000"/>
                <w:sz w:val="22"/>
              </w:rPr>
              <w:t>4,00</w:t>
            </w:r>
          </w:p>
        </w:tc>
        <w:tc>
          <w:tcPr>
            <w:tcW w:type="dxa" w:w="1757"/>
          </w:tcPr>
          <w:p>
            <w:pPr>
              <w:jc w:val="center"/>
            </w:pPr>
            <w:r>
              <w:rPr>
                <w:b/>
                <w:i w:val="0"/>
                <w:color w:val="FF0000"/>
                <w:sz w:val="22"/>
              </w:rPr>
              <w:t>3,58</w:t>
            </w:r>
          </w:p>
        </w:tc>
      </w:tr>
      <w:tr>
        <w:tc>
          <w:tcPr>
            <w:tcW w:type="dxa" w:w="4082"/>
          </w:tcPr>
          <w:p>
            <w:r>
              <w:rPr>
                <w:b/>
                <w:i w:val="0"/>
                <w:color w:val="FF0000"/>
                <w:sz w:val="22"/>
              </w:rPr>
              <w:t>Aktivlar sifati bloki</w:t>
            </w:r>
          </w:p>
        </w:tc>
        <w:tc>
          <w:tcPr>
            <w:tcW w:type="dxa" w:w="1757"/>
          </w:tcPr>
          <w:p>
            <w:pPr>
              <w:jc w:val="center"/>
            </w:pPr>
            <w:r>
              <w:rPr>
                <w:b/>
                <w:i w:val="0"/>
                <w:color w:val="FF0000"/>
                <w:sz w:val="22"/>
              </w:rPr>
              <w:t>2,28</w:t>
            </w:r>
          </w:p>
        </w:tc>
        <w:tc>
          <w:tcPr>
            <w:tcW w:type="dxa" w:w="1757"/>
          </w:tcPr>
          <w:p>
            <w:pPr>
              <w:jc w:val="center"/>
            </w:pPr>
            <w:r>
              <w:rPr>
                <w:b/>
                <w:i w:val="0"/>
                <w:color w:val="FF0000"/>
                <w:sz w:val="22"/>
              </w:rPr>
              <w:t>1,53</w:t>
            </w:r>
          </w:p>
        </w:tc>
        <w:tc>
          <w:tcPr>
            <w:tcW w:type="dxa" w:w="1757"/>
          </w:tcPr>
          <w:p>
            <w:pPr>
              <w:jc w:val="center"/>
            </w:pPr>
            <w:r>
              <w:rPr>
                <w:b/>
                <w:i w:val="0"/>
                <w:color w:val="FF0000"/>
                <w:sz w:val="22"/>
              </w:rPr>
              <w:t>2,93</w:t>
            </w:r>
          </w:p>
        </w:tc>
      </w:tr>
      <w:tr>
        <w:tc>
          <w:tcPr>
            <w:tcW w:type="dxa" w:w="4082"/>
          </w:tcPr>
          <w:p>
            <w:r>
              <w:rPr>
                <w:b/>
                <w:i w:val="0"/>
                <w:color w:val="FF0000"/>
                <w:sz w:val="22"/>
              </w:rPr>
              <w:t>Likvidlik bloki</w:t>
            </w:r>
          </w:p>
        </w:tc>
        <w:tc>
          <w:tcPr>
            <w:tcW w:type="dxa" w:w="1757"/>
          </w:tcPr>
          <w:p>
            <w:pPr>
              <w:jc w:val="center"/>
            </w:pPr>
            <w:r>
              <w:rPr>
                <w:b/>
                <w:i w:val="0"/>
                <w:color w:val="FF0000"/>
                <w:sz w:val="22"/>
              </w:rPr>
              <w:t>2,33</w:t>
            </w:r>
          </w:p>
        </w:tc>
        <w:tc>
          <w:tcPr>
            <w:tcW w:type="dxa" w:w="1757"/>
          </w:tcPr>
          <w:p>
            <w:pPr>
              <w:jc w:val="center"/>
            </w:pPr>
            <w:r>
              <w:rPr>
                <w:b/>
                <w:i w:val="0"/>
                <w:color w:val="FF0000"/>
                <w:sz w:val="22"/>
              </w:rPr>
              <w:t>2,05</w:t>
            </w:r>
          </w:p>
        </w:tc>
        <w:tc>
          <w:tcPr>
            <w:tcW w:type="dxa" w:w="1757"/>
          </w:tcPr>
          <w:p>
            <w:pPr>
              <w:jc w:val="center"/>
            </w:pPr>
            <w:r>
              <w:rPr>
                <w:b/>
                <w:i w:val="0"/>
                <w:color w:val="FF0000"/>
                <w:sz w:val="22"/>
              </w:rPr>
              <w:t>2,37</w:t>
            </w:r>
          </w:p>
        </w:tc>
      </w:tr>
      <w:tr>
        <w:tc>
          <w:tcPr>
            <w:tcW w:type="dxa" w:w="4082"/>
          </w:tcPr>
          <w:p>
            <w:r>
              <w:rPr>
                <w:b/>
                <w:i w:val="0"/>
                <w:color w:val="FF0000"/>
                <w:sz w:val="22"/>
              </w:rPr>
              <w:t>Daromadlilik bloki</w:t>
            </w:r>
          </w:p>
        </w:tc>
        <w:tc>
          <w:tcPr>
            <w:tcW w:type="dxa" w:w="1757"/>
          </w:tcPr>
          <w:p>
            <w:pPr>
              <w:jc w:val="center"/>
            </w:pPr>
            <w:r>
              <w:rPr>
                <w:b/>
                <w:i w:val="0"/>
                <w:color w:val="FF0000"/>
                <w:sz w:val="22"/>
              </w:rPr>
              <w:t>3,83</w:t>
            </w:r>
          </w:p>
        </w:tc>
        <w:tc>
          <w:tcPr>
            <w:tcW w:type="dxa" w:w="1757"/>
          </w:tcPr>
          <w:p>
            <w:pPr>
              <w:jc w:val="center"/>
            </w:pPr>
            <w:r>
              <w:rPr>
                <w:b/>
                <w:i w:val="0"/>
                <w:color w:val="FF0000"/>
                <w:sz w:val="22"/>
              </w:rPr>
              <w:t>1,33</w:t>
            </w:r>
          </w:p>
        </w:tc>
        <w:tc>
          <w:tcPr>
            <w:tcW w:type="dxa" w:w="1757"/>
          </w:tcPr>
          <w:p>
            <w:pPr>
              <w:jc w:val="center"/>
            </w:pPr>
            <w:r>
              <w:rPr>
                <w:b/>
                <w:i w:val="0"/>
                <w:color w:val="FF0000"/>
                <w:sz w:val="22"/>
              </w:rPr>
              <w:t>1,18</w:t>
            </w:r>
          </w:p>
        </w:tc>
      </w:tr>
      <w:tr>
        <w:tc>
          <w:tcPr>
            <w:tcW w:type="dxa" w:w="4082"/>
          </w:tcPr>
          <w:p>
            <w:r>
              <w:rPr>
                <w:b/>
                <w:i w:val="0"/>
                <w:color w:val="FF0000"/>
                <w:sz w:val="22"/>
              </w:rPr>
              <w:t>Valyuta riskiga sezgirlik bloki</w:t>
            </w:r>
          </w:p>
        </w:tc>
        <w:tc>
          <w:tcPr>
            <w:tcW w:type="dxa" w:w="1757"/>
          </w:tcPr>
          <w:p>
            <w:pPr>
              <w:jc w:val="center"/>
            </w:pPr>
            <w:r>
              <w:rPr>
                <w:b/>
                <w:i w:val="0"/>
                <w:color w:val="FF0000"/>
                <w:sz w:val="22"/>
              </w:rPr>
              <w:t>1,45</w:t>
            </w:r>
          </w:p>
        </w:tc>
        <w:tc>
          <w:tcPr>
            <w:tcW w:type="dxa" w:w="1757"/>
          </w:tcPr>
          <w:p>
            <w:pPr>
              <w:jc w:val="center"/>
            </w:pPr>
            <w:r>
              <w:rPr>
                <w:b/>
                <w:i w:val="0"/>
                <w:color w:val="FF0000"/>
                <w:sz w:val="22"/>
              </w:rPr>
              <w:t>4,00</w:t>
            </w:r>
          </w:p>
        </w:tc>
        <w:tc>
          <w:tcPr>
            <w:tcW w:type="dxa" w:w="1757"/>
          </w:tcPr>
          <w:p>
            <w:pPr>
              <w:jc w:val="center"/>
            </w:pPr>
            <w:r>
              <w:rPr>
                <w:b/>
                <w:i w:val="0"/>
                <w:color w:val="FF0000"/>
                <w:sz w:val="22"/>
              </w:rPr>
              <w:t>3,57</w:t>
            </w:r>
          </w:p>
        </w:tc>
      </w:tr>
      <w:tr>
        <w:tc>
          <w:tcPr>
            <w:tcW w:type="dxa" w:w="4082"/>
          </w:tcPr>
          <w:p>
            <w:r>
              <w:rPr>
                <w:b/>
                <w:i w:val="0"/>
                <w:color w:val="FF0000"/>
                <w:sz w:val="22"/>
              </w:rPr>
              <w:t>MBII</w:t>
            </w:r>
          </w:p>
        </w:tc>
        <w:tc>
          <w:tcPr>
            <w:tcW w:type="dxa" w:w="1757"/>
          </w:tcPr>
          <w:p>
            <w:pPr>
              <w:jc w:val="center"/>
            </w:pPr>
            <w:r>
              <w:rPr>
                <w:b/>
                <w:i w:val="0"/>
                <w:color w:val="FF0000"/>
                <w:sz w:val="22"/>
              </w:rPr>
              <w:t>2,81</w:t>
            </w:r>
          </w:p>
        </w:tc>
        <w:tc>
          <w:tcPr>
            <w:tcW w:type="dxa" w:w="1757"/>
          </w:tcPr>
          <w:p>
            <w:pPr>
              <w:jc w:val="center"/>
            </w:pPr>
            <w:r>
              <w:rPr>
                <w:b/>
                <w:i w:val="0"/>
                <w:color w:val="FF0000"/>
                <w:sz w:val="22"/>
              </w:rPr>
              <w:t>2,47</w:t>
            </w:r>
          </w:p>
        </w:tc>
        <w:tc>
          <w:tcPr>
            <w:tcW w:type="dxa" w:w="1757"/>
          </w:tcPr>
          <w:p>
            <w:pPr>
              <w:jc w:val="center"/>
            </w:pPr>
            <w:r>
              <w:rPr>
                <w:b/>
                <w:i w:val="0"/>
                <w:color w:val="FF0000"/>
                <w:sz w:val="22"/>
              </w:rPr>
              <w:t>2,78</w:t>
            </w:r>
          </w:p>
        </w:tc>
      </w:tr>
      <w:tr>
        <w:tc>
          <w:tcPr>
            <w:tcW w:type="dxa" w:w="4082"/>
          </w:tcPr>
          <w:p>
            <w:r>
              <w:rPr>
                <w:b/>
                <w:i w:val="0"/>
                <w:color w:val="FF0000"/>
                <w:sz w:val="22"/>
              </w:rPr>
              <w:t>Barqarorlik sinfi</w:t>
            </w:r>
          </w:p>
        </w:tc>
        <w:tc>
          <w:tcPr>
            <w:tcW w:type="dxa" w:w="1757"/>
          </w:tcPr>
          <w:p>
            <w:pPr>
              <w:jc w:val="center"/>
            </w:pPr>
            <w:r>
              <w:rPr>
                <w:b/>
                <w:i w:val="0"/>
                <w:color w:val="FF0000"/>
                <w:sz w:val="22"/>
              </w:rPr>
              <w:t>II</w:t>
            </w:r>
          </w:p>
        </w:tc>
        <w:tc>
          <w:tcPr>
            <w:tcW w:type="dxa" w:w="1757"/>
          </w:tcPr>
          <w:p>
            <w:pPr>
              <w:jc w:val="center"/>
            </w:pPr>
            <w:r>
              <w:rPr>
                <w:b/>
                <w:i w:val="0"/>
                <w:color w:val="FF0000"/>
                <w:sz w:val="22"/>
              </w:rPr>
              <w:t>III</w:t>
            </w:r>
          </w:p>
        </w:tc>
        <w:tc>
          <w:tcPr>
            <w:tcW w:type="dxa" w:w="1757"/>
          </w:tcPr>
          <w:p>
            <w:pPr>
              <w:jc w:val="center"/>
            </w:pPr>
            <w:r>
              <w:rPr>
                <w:b/>
                <w:i w:val="0"/>
                <w:color w:val="FF0000"/>
                <w:sz w:val="22"/>
              </w:rPr>
              <w:t>II</w:t>
            </w:r>
          </w:p>
        </w:tc>
      </w:tr>
    </w:tbl>
    <w:p>
      <w:pPr>
        <w:jc w:val="both"/>
      </w:pPr>
      <w:r>
        <w:rPr>
          <w:b w:val="0"/>
          <w:i/>
          <w:color w:val="FF0000"/>
          <w:sz w:val="24"/>
        </w:rPr>
        <w:t>Izoh: SQB – “O‘zsanoatqurilishbank” ATB, MKB – “Mikrokreditbank” ATB; qavs ichida – ball. CET1 va regulyativ kapital monandligi 2.3-paragrafda Markaziy bank metodikasi bo‘yicha MHXS ma’lumotlari asosida qayta hisoblangan qiymatlarda olindi (2.3.4, 2.3.5-jadvallar va “Mikrokreditbank” ATB bo‘yicha jadval), chunki banklar MHXS hisobotida oshkor qiladigan kapital koeffitsiyentlari milliy buxgalteriya hisobi ma’lumotlari asosida hisoblanadi. Yuqori likvid aktivlar MHXS hisobotlarida alohida oshkor qilinmagani sababli L1 ko‘rsatkichi ikkala variantda milliy balans asosida olindi. “Mikrokreditbank” va “Aloqabank” ATBlarining MHXS hisobotlarida xorijiy valyutadagi kreditlar ulushi oshkor qilinmagan, shu sababli ularda valyuta bloki bitta ko‘rsatkich bo‘yicha baholandi.</w:t>
      </w:r>
    </w:p>
    <w:p>
      <w:pPr>
        <w:spacing w:line="360" w:lineRule="auto"/>
        <w:ind w:firstLine="709"/>
        <w:jc w:val="both"/>
      </w:pPr>
      <w:r>
        <w:rPr>
          <w:b w:val="0"/>
          <w:i w:val="0"/>
          <w:color w:val="FF0000"/>
          <w:sz w:val="28"/>
        </w:rPr>
        <w:t>MHXS ma’lumotlari asosida esa uchala bankning indeksi pasayadi: “O‘zsanoatqurilishbank” ATB niki 2,81 ballga (II sinf), “Aloqabank” ATB niki 2,78 ballga (II sinf), “Mikrokreditbank” ATB niki 2,47 ballga (III sinf) tushadi. ΔMBII mos ravishda −0,46; −0,47 va −0,66 ballni tashkil etadi: “O‘zsanoatqurilishbank” va “Mikrokreditbank” ATBlari bir sinf pastga tushadi, “Aloqabank” ATB esa I sinf chegarasidan II sinfning quyi qismiga, 4.1-paragrafdagi qizil zona chegarasiga (2,75) yaqin darajaga tushadi. Indeks pasayishining asosiy manbai uchala bankda ham aktivlar sifati blokidir: uning bali “O‘zsanoatqurilishbank” ATB da 3,55 dan 2,28 ga, “Mikrokreditbank” ATB da 3,42 dan 1,53 ga, “Aloqabank” ATB da 3,80 dan 2,93 ga pasaygan, bu esa ΔMBII ning mos ravishda 83, 86 va 56 foizini tashkil etadi. Ikkinchi manba – daromadlilik bloki: u “Aloqabank” ATB da 2,22 dan 1,18 ballga pasayib, ΔMBII ning 33 foizini belgilaydi, chunki MHXS bo‘yicha bank 2025-yilda 193,9 mlrd so‘m zarar ko‘rgan, “Mikrokreditbank” ATB da esa 2,09 dan 1,33 ballga tushgan (ΔMBII ning 17 foizi). Kapital bloki “O‘zsanoatqurilishbank” va “Aloqabank” ATBlarida biroz pasaygan, “Mikrokreditbank” ATB da esa maksimal darajada qolgan. Shunday qilib, tizimli ahamiyatga molik bo‘lmagan uchinchi bank misolida ham milliy hisobot asosidagi baholash barqarorlikni oshirib ko‘rsatishi, ΔMBII esa asosan aktivlar sifati va daromadlilik bloklari hisobiga shakllanishi tasdiqlandi.</w:t>
      </w:r>
    </w:p>
    <w:p>
      <w:r>
        <w:rPr>
          <w:b w:val="0"/>
          <w:i w:val="0"/>
          <w:color w:val="FF0000"/>
          <w:sz w:val="20"/>
        </w:rPr>
        <w:t>¹ Tadqiqot natijasida muallif tomonidan “O‘zsanoatqurilishbank” ATB (crs003C, crs003L, crs003O), “Mikrokreditbank” ATB (crs005C, crs005L, crs005O) va “Aloqabank” ATB (crs031C, crs031L, crs031O) ning Markaziy bankka taqdim etilgan prudensial hisobot shakllari asosida, 2025-yil 31-dekabr holatiga hisoblandi.</w:t>
      </w:r>
    </w:p>
    <w:p>
      <w:r>
        <w:rPr>
          <w:b w:val="0"/>
          <w:i w:val="0"/>
          <w:color w:val="FF0000"/>
          <w:sz w:val="20"/>
        </w:rPr>
        <w:t>² Tadqiqot natijasida muallif tomonidan quyidagi manbalar asosida hisoblandi: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 Joint Stock Commercial “Aloqabank” and its subsidiaries: Consolidated Financial Statements and Independent Auditor’s Report, 31 December 2025. – Tashkent: Audit Organization “PricewaterhouseCoopers” LLC, 2026. – P. 1–2, 35, 55, 64–65.</w:t>
      </w:r>
    </w:p>
    <w:p/>
    <w:p>
      <w:r>
        <w:rPr>
          <w:b/>
          <w:i w:val="0"/>
          <w:sz w:val="22"/>
        </w:rPr>
        <w:t>Eslatma (dissertatsiyaga kiritilmaydi): mavjud 3.1.6-jadval va undan keyingi 3.1-§ jadvallari bir raqamga suriladi; eski 3.1.5-jadval, uning izohi va tahlil xatboshisi yangilari bilan almashtiriladi. “Aloqabank” ATB ning milliy K3 ko‘rsatkichi boshqa banklar kabi xususiy kapital / aktivlar sifatida qayta hisoblandi (12,2 foiz; avval prudensial leverage 9,9 foiz olingan), ball o‘zgarmaydi (4,00).</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