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40</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59</w:t>
      </w:r>
    </w:p>
    <w:p>
      <w:pPr>
        <w:tabs>
          <w:tab w:pos="9354" w:val="right" w:leader="dot"/>
        </w:tabs>
        <w:spacing w:line="240" w:lineRule="auto" w:after="80"/>
        <w:ind w:left="454"/>
      </w:pPr>
      <w:r>
        <w:rPr>
          <w:rFonts w:ascii="Times New Roman" w:hAnsi="Times New Roman"/>
          <w:b w:val="0"/>
          <w:sz w:val="26"/>
        </w:rPr>
        <w:t>I bob bo‘yicha xulosalar</w:t>
        <w:tab/>
        <w:t>83</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86</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86</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99</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117</w:t>
      </w:r>
    </w:p>
    <w:p>
      <w:pPr>
        <w:tabs>
          <w:tab w:pos="9354" w:val="right" w:leader="dot"/>
        </w:tabs>
        <w:spacing w:line="240" w:lineRule="auto" w:after="80"/>
        <w:ind w:left="454"/>
      </w:pPr>
      <w:r>
        <w:rPr>
          <w:rFonts w:ascii="Times New Roman" w:hAnsi="Times New Roman"/>
          <w:b w:val="0"/>
          <w:sz w:val="26"/>
        </w:rPr>
        <w:t>II bob bo‘yicha xulosalar</w:t>
        <w:tab/>
        <w:t>137</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140</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140</w:t>
      </w:r>
    </w:p>
    <w:p>
      <w:pPr>
        <w:tabs>
          <w:tab w:pos="9354" w:val="right" w:leader="dot"/>
        </w:tabs>
        <w:spacing w:line="240" w:lineRule="auto" w:after="80"/>
        <w:ind w:left="454"/>
      </w:pPr>
      <w:r>
        <w:rPr>
          <w:rFonts w:ascii="Times New Roman" w:hAnsi="Times New Roman"/>
          <w:b w:val="0"/>
          <w:sz w:val="26"/>
        </w:rPr>
        <w:t>3.2-§. Tijorat banklari moliyaviy barqarorligini integral indeks asosida reyting baholash</w:t>
        <w:tab/>
        <w:t>156</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170</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188</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188</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[oliy ta’lim muassasasi nomi]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erta ogohlantirish tizimini shakllantirish va uni o‘rta muddatli istiqbolda prognozlash;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amaliyotini xalqaro standartlarga muvofiqlashtirish bo‘yicha taklif va tavsiyalar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360" w:lineRule="auto" w:before="0" w:after="0"/>
        <w:ind w:firstLine="709"/>
        <w:jc w:val="both"/>
      </w:pPr>
      <w:r>
        <w:rPr>
          <w:rFonts w:ascii="Times New Roman" w:hAnsi="Times New Roman" w:cs="Times New Roman" w:eastAsia="Times New Roman"/>
          <w:sz w:val="28"/>
        </w:rPr>
        <w:t xml:space="preserve">[4-bob natijalari bo‘yicha: erta ogohlantirish tizimi yoki prognoz modeli bo‘yicha ilmiy yangilik].</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[3–4-boblar natijalari bo‘yicha: integral indeks asosida banklar reytingi, erta ogohlantirish tizimi va 2026–2028-yillarga prognoz natijalari].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2021–2025-yillarda 17,4–18,3 foiz oralig‘ida bo‘lib, 2023-yil oxirida 17,5 foizni</w:t>
      </w:r>
      <w:r>
        <w:rPr>
          <w:rStyle w:val="FootnoteReference"/>
        </w:rPr>
        <w:footnoteReference w:id="247"/>
      </w:r>
      <w:r>
        <w:rPr>
          <w:rFonts w:ascii="Times New Roman" w:hAnsi="Times New Roman" w:cs="Times New Roman" w:eastAsia="Times New Roman"/>
          <w:sz w:val="28"/>
        </w:rPr>
        <w:t xml:space="preserve">,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Muammoli kreditlar ulushi esa 2021-yil oxiridagi 5,2 foizdan 2025-yil oxirida 3,0 foizgacha kamaygan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Bazel III metodikasi bo‘yicha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14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Likvidlikni qoplash koeffitsiyenti,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Sof barqaror moliyalashtirish me’yori,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L3.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talabdagi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blokida likvidlikni qoplash koeffitsiyenti va sof barqaror moliyalashtirish me’yori uchun 2 ball chegarasi sifatida Bazel III dagi 100 foizlik talab olindi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3"/>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4"/>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8"/>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79"/>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4"/>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8,87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15,32 (3,93)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19,96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11,07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16,82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7,48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4,41 (3,29)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12,34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35,66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25,30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7,3 (3,27)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26,4 (1,36)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LCR,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222,9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154,0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NSFR,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124,8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L3.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324,4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1,98 (3,97)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 (3,50)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0,59 (1,84)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0,15 (1,21)</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(1,70)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88,0 (1,60)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3,40</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2,94</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2,62</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edf75e61584998612e27357f6db1c0de4e5c38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Tijorat banklari moliyaviy barqarorligini integral indeks asosida reyting baholash</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89"/>
      </w:r>
      <w:r>
        <w:rPr>
          <w:rFonts w:ascii="Times New Roman" w:hAnsi="Times New Roman" w:cs="Times New Roman" w:eastAsia="Times New Roman"/>
          <w:sz w:val="28"/>
        </w:rPr>
        <w:t xml:space="preserve">.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90"/>
      </w:r>
      <w:r>
        <w:rPr>
          <w:rStyle w:val="FootnoteReference"/>
        </w:rPr>
        <w:footnoteReference w:id="391"/>
      </w:r>
      <w:r>
        <w:rPr>
          <w:rFonts w:ascii="Times New Roman" w:hAnsi="Times New Roman" w:cs="Times New Roman" w:eastAsia="Times New Roman"/>
          <w:sz w:val="28"/>
        </w:rPr>
        <w:t xml:space="preserve">.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360" w:lineRule="auto" w:before="0" w:after="0"/>
        <w:ind w:firstLine="709"/>
        <w:jc w:val="both"/>
      </w:pPr>
      <w:r>
        <w:rPr>
          <w:rFonts w:ascii="Times New Roman" w:hAnsi="Times New Roman" w:cs="Times New Roman" w:eastAsia="Times New Roman"/>
          <w:sz w:val="28"/>
        </w:rPr>
        <w:t xml:space="preserve">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92"/>
      </w:r>
      <w:r>
        <w:rPr>
          <w:rFonts w:ascii="Times New Roman" w:hAnsi="Times New Roman" w:cs="Times New Roman" w:eastAsia="Times New Roman"/>
          <w:sz w:val="28"/>
        </w:rPr>
        <w:t xml:space="preserve">. Har bir yil ko‘rsatkichlari keyingi yil hisobotidagi qayta hisoblangan qiyosiy ma’lumotlardan olindi: 2024 va 2025-yillar uchun 2025-yil hisobotidan, 2023-yil uchun 2024-yil hisobotidan va hokazo</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rPr>
          <w:rFonts w:ascii="Times New Roman" w:hAnsi="Times New Roman" w:cs="Times New Roman" w:eastAsia="Times New Roman"/>
          <w:sz w:val="28"/>
        </w:rPr>
        <w:t xml:space="preserve">.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98"/>
      </w:r>
      <w:r>
        <w:rPr>
          <w:rStyle w:val="FootnoteReference"/>
        </w:rPr>
        <w:footnoteReference w:id="3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 ochiq ma’lumotlar asosida hisoblashda ko‘rsatkichlarning moslashtirilishi</w:t>
      </w:r>
      <w:r>
        <w:rPr>
          <w:rStyle w:val="FootnoteReference"/>
        </w:rPr>
        <w:footnoteReference w:id="40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3061"/>
        <w:gridCol w:w="2041"/>
        <w:gridCol w:w="2268"/>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 (3.1-§)</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Ochiq ma’lumotlar varianti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Manba</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K1. CET1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(MHXS bo‘yicha kapital − ozchilik ulushi − joriy yil foydasi) / risk bo‘yicha tortilgan aktivlar</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hisoboti: balans, 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Joriy foyda milliy qoidada asosiy kapitalga kirmaydi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K2. Regulyativ kapital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Hisobotda oshkor qilingan qiymat (Markaziy bank metodikasi)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MHXS asosidagi qiymat e’lon qilinmaydi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K3. Leverage</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Xususiy kapital / jami aktivlar (MHXS)</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Balans</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Yaqinlashtirilgan ko‘rsatkich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L1. LCR, L2. NSFR</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aktivlardagi ulushi (chegaralar: 5; 10; 15; 20%)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Banklar ko‘rsatkichlari bazasi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talabi – kamida 10%, XVJ asosiy ko‘rsatkichi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Qolgan 10 ta ko‘rsatkich</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O‘zgarishsiz, MHXS ma’lumotlari bo‘yicha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Bosqichlar, zaxiralar, valyuta riski izohlari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401"/>
      </w:r>
      <w:r>
        <w:rPr>
          <w:rFonts w:ascii="Times New Roman" w:hAnsi="Times New Roman" w:cs="Times New Roman" w:eastAsia="Times New Roman"/>
          <w:sz w:val="28"/>
        </w:rPr>
        <w:t xml:space="preserve">, Markaziy bank ham uning minimal darajasini 10 foiz qilib belgilagan</w:t>
      </w:r>
      <w:r>
        <w:rPr>
          <w:rStyle w:val="FootnoteReference"/>
        </w:rPr>
        <w:footnoteReference w:id="402"/>
      </w:r>
      <w:r>
        <w:rPr>
          <w:rFonts w:ascii="Times New Roman" w:hAnsi="Times New Roman" w:cs="Times New Roman" w:eastAsia="Times New Roman"/>
          <w:sz w:val="28"/>
        </w:rPr>
        <w:t xml:space="preserve">.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403"/>
      </w:r>
      <w:r>
        <w:rPr>
          <w:rFonts w:ascii="Times New Roman" w:hAnsi="Times New Roman" w:cs="Times New Roman" w:eastAsia="Times New Roman"/>
          <w:sz w:val="28"/>
        </w:rPr>
        <w:t xml:space="preserve">.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360" w:lineRule="auto" w:before="0" w:after="0"/>
        <w:ind w:firstLine="709"/>
        <w:jc w:val="both"/>
      </w:pPr>
      <w:r>
        <w:rPr>
          <w:rFonts w:ascii="Times New Roman" w:hAnsi="Times New Roman" w:cs="Times New Roman" w:eastAsia="Times New Roman"/>
          <w:sz w:val="28"/>
        </w:rPr>
        <w:t xml:space="preserve">Hisob-kitob natijasida beshta bank bo‘yicha 2021–2025-yillar uchun integral indeks qiymatlari olindi (3.2.1-rasm).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Tanlangan banklarda moliyaviy barqarorlikning integral indeksi, MHXS hisobotlari asosida, 2021–2025-yillar</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405"/>
      </w:r>
      <w:r>
        <w:rPr>
          <w:rFonts w:ascii="Times New Roman" w:hAnsi="Times New Roman" w:cs="Times New Roman" w:eastAsia="Times New Roman"/>
          <w:sz w:val="28"/>
        </w:rPr>
        <w:t xml:space="preserve">.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406"/>
      </w:r>
      <w:r>
        <w:rPr>
          <w:rFonts w:ascii="Times New Roman" w:hAnsi="Times New Roman" w:cs="Times New Roman" w:eastAsia="Times New Roman"/>
          <w:sz w:val="28"/>
        </w:rPr>
        <w:t xml:space="preserve">. «Ipoteka-bank» ATB da indeks 2023-yilda 3,37 dan 2,69 gacha keskin pasaygan, bunga 1 615,6 mlrd so‘mlik zarar va 3-bosqich kreditlari ulushining 7,0 foizdan 18,7 foizgacha oshishi sabab bo‘lgan</w:t>
      </w:r>
      <w:r>
        <w:rPr>
          <w:rStyle w:val="FootnoteReference"/>
        </w:rPr>
        <w:footnoteReference w:id="407"/>
      </w:r>
      <w:r>
        <w:rPr>
          <w:rFonts w:ascii="Times New Roman" w:hAnsi="Times New Roman" w:cs="Times New Roman" w:eastAsia="Times New Roman"/>
          <w:sz w:val="28"/>
        </w:rPr>
        <w:t xml:space="preserve">. «O‘zsanoatqurilishbank» ATB ning indeksi butun davr mobaynida 2,75–2,93 oralig‘ida barqaror saqlangan, «Mikrokreditbank» ATB niki esa 2,20–2,47 oralig‘ida bo‘lib, besh yilning barchasida III sinfda, ya’ni zaif banklar qatorida qolgan.</w:t>
      </w:r>
    </w:p>
    <w:p>
      <w:pPr>
        <w:pStyle w:val="BodyText"/>
        <w:spacing w:line="360" w:lineRule="auto" w:before="0" w:after="0"/>
        <w:ind w:firstLine="709"/>
        <w:jc w:val="both"/>
      </w:pPr>
      <w:r>
        <w:rPr>
          <w:rFonts w:ascii="Times New Roman" w:hAnsi="Times New Roman" w:cs="Times New Roman" w:eastAsia="Times New Roman"/>
          <w:sz w:val="28"/>
        </w:rPr>
        <w:t xml:space="preserve">Indeks dinamikasidagi o‘zgarishlarning sabablarini aniqlash uchun 2025-yil yakunidagi ko‘rsatkichlar va ularning ballari solishtirildi (3.2.2-jadval).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integral indeks ko‘rsatkichlari va ballari, 2025-yil yakuni, MHXS</w:t>
      </w:r>
      <w:r>
        <w:rPr>
          <w:rStyle w:val="FootnoteReference"/>
        </w:rPr>
        <w:footnoteReference w:id="4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360"/>
        <w:gridCol w:w="1360"/>
        <w:gridCol w:w="1360"/>
        <w:gridCol w:w="1360"/>
        <w:gridCol w:w="1360"/>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BRB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 banki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Ipoteka-bank</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CET1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9,1 (3,45)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9,5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15,0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17,0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19,8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20,2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9,9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3-bosqich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12,3 (1,53)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8,2 (2,37)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5,2 (2,96)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19,7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2-bosqich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25,3 (1,97)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11,0 (3,80)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10,5 (3,89)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29,1 (1,09)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7,0 (3,30)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−5,8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17,2 (2,28)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18,0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10,0 (1,99)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14,6 (2,91)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324,5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242,2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417,2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228,9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 (1,22)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 (3,20)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3,9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 (1,16)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14,7 (3,95)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28,1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87,6 (1,62)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81,0 (1,95)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43,7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47,5 (3,83)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kreditlar,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21,3 (3,91)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majburiyatlar,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24,8 (4,00)</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2,47</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3,23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3,38</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3,11</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«Mikrokreditbank» ATB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Tanlangan banklarda integral indeks bloklari ballari, 2025-yil</w:t>
      </w:r>
      <w:r>
        <w:rPr>
          <w:rStyle w:val="FootnoteReference"/>
        </w:rPr>
        <w:footnoteReference w:id="40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360" w:lineRule="auto" w:before="0" w:after="0"/>
        <w:ind w:firstLine="709"/>
        <w:jc w:val="both"/>
      </w:pPr>
      <w:r>
        <w:rPr>
          <w:rFonts w:ascii="Times New Roman" w:hAnsi="Times New Roman" w:cs="Times New Roman" w:eastAsia="Times New Roman"/>
          <w:sz w:val="28"/>
        </w:rPr>
        <w:t xml:space="preserve">Besh yil bo‘yicha indeks qiymatlari asosida banklar reytingi tuzildi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moliyaviy barqarorlik reytingi, MHXS asosida, 2021–2025-yillar</w:t>
      </w:r>
      <w:r>
        <w:rPr>
          <w:rStyle w:val="FootnoteReference"/>
        </w:rPr>
        <w:footnoteReference w:id="41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11"/>
        <w:gridCol w:w="1417"/>
        <w:gridCol w:w="1417"/>
        <w:gridCol w:w="1417"/>
        <w:gridCol w:w="1417"/>
        <w:gridCol w:w="1417"/>
      </w:tblGrid>
      <w:tr>
        <w:trPr>
          <w:tblHeader w:val="true"/>
          <w:cantSplit/>
          <w:tblHeader/>
        </w:trPr>
        <w:tc>
          <w:tcPr>
            <w:tcW w:type="dxa" w:w="221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Xalq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2,66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2,96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3,20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3,38 (I) – 1</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Biznesni rivojlantirish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2,51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2,25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2,03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3,23 (II) – 2</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Ipoteka-bank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3,32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3,37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2,69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3,11 (II) – 3</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O‘zsanoatqurilishbank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2,82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2,91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2,75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2,83 (II) – 4</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Mikrokreditbank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2,20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2,31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2,22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2,24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2,47 (III) – 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barqarorlik sinfi, tire belgisidan keyin – reytingdagi o‘rni.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411"/>
      </w:r>
      <w:r>
        <w:rPr>
          <w:rFonts w:ascii="Times New Roman" w:hAnsi="Times New Roman" w:cs="Times New Roman" w:eastAsia="Times New Roman"/>
          <w:sz w:val="28"/>
        </w:rPr>
        <w:t xml:space="preserve">. 1.3-paragrafda keltirilganidek, xalqaro reyting agentliklari bankning mustaqil, ya’ni tashqi qo‘llab-quvvatlashsiz moliyaviy barqarorligini alohida baholaydi</w:t>
      </w:r>
      <w:r>
        <w:rPr>
          <w:rStyle w:val="FootnoteReference"/>
        </w:rPr>
        <w:footnoteReference w:id="412"/>
      </w:r>
      <w:r>
        <w:rPr>
          <w:rStyle w:val="FootnoteReference"/>
        </w:rPr>
        <w:footnoteReference w:id="413"/>
      </w:r>
      <w:r>
        <w:rPr>
          <w:rFonts w:ascii="Times New Roman" w:hAnsi="Times New Roman" w:cs="Times New Roman" w:eastAsia="Times New Roman"/>
          <w:sz w:val="28"/>
        </w:rPr>
        <w:t xml:space="preserve">. Shu mantiqqa asoslanib, 2025-yil uchun integral indeks kapitalga kiritilgan mablag‘larsiz qayta hisoblandi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Moliyaviy barqarorlikning integral indeksi: amaldagi va davlat ko‘magisiz, 2025-yil</w:t>
      </w:r>
      <w:r>
        <w:rPr>
          <w:rStyle w:val="FootnoteReference"/>
        </w:rPr>
        <w:footnoteReference w:id="414"/>
      </w:r>
    </w:p>
    <w:p>
      <w:pPr>
        <w:pStyle w:val="BodyText"/>
        <w:spacing w:line="360" w:lineRule="auto" w:before="0" w:after="0"/>
        <w:ind w:firstLine="709"/>
        <w:jc w:val="both"/>
      </w:pPr>
      <w:r>
        <w:rPr>
          <w:rFonts w:ascii="Times New Roman" w:hAnsi="Times New Roman" w:cs="Times New Roman" w:eastAsia="Times New Roman"/>
          <w:sz w:val="28"/>
        </w:rPr>
        <w:t xml:space="preserve">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415"/>
      </w:r>
      <w:r>
        <w:rPr>
          <w:rStyle w:val="FootnoteReference"/>
        </w:rPr>
        <w:footnoteReference w:id="41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(3.2.4-rasm).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2.4-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3.2.4-rasm. «O‘zsanoatqurilishbank» ATB va «Mikrokreditbank» ATB da integral indeks: milliy hisobot va MHXS, 2021–2025-yillar</w:t>
      </w:r>
      <w:r>
        <w:rPr>
          <w:rStyle w:val="FootnoteReference"/>
        </w:rPr>
        <w:footnoteReference w:id="41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 mavjud banklar va boshqa banklarning asosiy ko‘rsatkichlari, milliy hisobot, 2023–2025-yillar</w:t>
      </w:r>
      <w:r>
        <w:rPr>
          <w:rStyle w:val="FootnoteReference"/>
        </w:rPr>
        <w:footnoteReference w:id="41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247"/>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2025</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2025</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Banklar soni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7,6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108,1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97,7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16,3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18,9</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davlat ulushi mavjud banklar – O‘zmilliybank, O‘zsanoatqurilishbank, Agrobank, Asakabank, Xalq banki, Biznesni rivojlantirish banki, Mikrokreditbank, Aloqabank, Turonbank; ko‘rsatkichlar guruh bo‘yicha jami qiymatlar asosida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2.5-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3.2.5-rasm. Davlat ulushi mavjud banklar va boshqa banklarda kapital rentabelligi (ROE), %</w:t>
      </w:r>
      <w:r>
        <w:rPr>
          <w:rStyle w:val="FootnoteReference"/>
        </w:rPr>
        <w:footnoteReference w:id="41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20"/>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21"/>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4"/>
      </w:r>
      <w:r>
        <w:rPr>
          <w:rStyle w:val="FootnoteReference"/>
        </w:rPr>
        <w:footnoteReference w:id="425"/>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6"/>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27"/>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8"/>
      </w:r>
      <w:r>
        <w:rPr>
          <w:rStyle w:val="FootnoteReference"/>
        </w:rPr>
        <w:footnoteReference w:id="429"/>
      </w:r>
      <w:r>
        <w:rPr>
          <w:rStyle w:val="FootnoteReference"/>
        </w:rPr>
        <w:footnoteReference w:id="4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1"/>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32"/>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33"/>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34"/>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5"/>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6"/>
      </w:r>
      <w:r>
        <w:rPr>
          <w:rStyle w:val="FootnoteReference"/>
        </w:rPr>
        <w:footnoteReference w:id="437"/>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8"/>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1-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3.3.2-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4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3.3.3-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4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3"/>
      </w:r>
      <w:r>
        <w:rPr>
          <w:rStyle w:val="FootnoteReference"/>
        </w:rPr>
        <w:footnoteReference w:id="444"/>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45"/>
      </w:r>
      <w:r>
        <w:rPr>
          <w:rStyle w:val="FootnoteReference"/>
        </w:rPr>
        <w:footnoteReference w:id="446"/>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8"/>
      </w:r>
      <w:r>
        <w:rPr>
          <w:rStyle w:val="FootnoteReference"/>
        </w:rPr>
        <w:footnoteReference w:id="449"/>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1"/>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2"/>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3"/>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6"/>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8"/>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9"/>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61"/>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62"/>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6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64"/>
      </w:r>
      <w:r>
        <w:rPr>
          <w:rStyle w:val="FootnoteReference"/>
        </w:rPr>
        <w:footnoteReference w:id="465"/>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66"/>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67"/>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8"/>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9"/>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70"/>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71"/>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72"/>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73"/>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7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75"/>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1-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8"/>
      </w:r>
      <w:r>
        <w:rPr>
          <w:rStyle w:val="FootnoteReference"/>
        </w:rPr>
        <w:footnoteReference w:id="479"/>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2-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8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82"/>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va tadqiqotning asosiy obyekti bo‘lgan «O‘zsanoatqurilishbank» ATB misolida ko‘rib chiqish mumkin. Dastlab «Mikrokreditbank» ATB ning integral indeksi dinamikasini ko‘rib chiqamiz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4" name="4.1.3-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integral indeks dinamikasi va erta ogohlantirish chegaralari, 2021–2025-yillar</w:t>
      </w:r>
      <w:r>
        <w:rPr>
          <w:rStyle w:val="FootnoteReference"/>
        </w:rPr>
        <w:footnoteReference w:id="48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«Biznesni rivojlantirish banki» ATB da ham xuddi shunday manzara kuzatilgan (4.1.4-rasm).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5" name="4.1.4-rasm"/>
            <wp:cNvGraphicFramePr/>
            <a:graphic>
              <a:graphicData uri="http://schemas.openxmlformats.org/drawingml/2006/chart">
                <c:chart r:id="rId4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«Biznesni rivojlantirish banki» ATB da integral indeks dinamikasi va erta ogohlantirish chegaralari, 2021–2025-yillar</w:t>
      </w:r>
      <w:r>
        <w:rPr>
          <w:rStyle w:val="FootnoteReference"/>
        </w:rPr>
        <w:footnoteReference w:id="48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2022-yilda 2,67–2,93 ballni tashkil etgan bo‘lsa, 2023-yil III choragidagi 2,64 balldan 2023-yil IV choragida 2,44 ballgacha va 2024-yil I choragida 2,20 ballgacha pasaygan. Bu signal bankning 2024-yil I choragidagi 394,0 mlrd so‘mlik va IV choragidagi 1 952,0 mlrd so‘mlik zararlaridan oldin berilgan. Zarar va qayta kapitallashtirishdan keyin indeks 2025-yilda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6" name="4.1.5-rasm"/>
            <wp:cNvGraphicFramePr/>
            <a:graphic>
              <a:graphicData uri="http://schemas.openxmlformats.org/drawingml/2006/chart">
                <c:chart r:id="rId4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4.1.5-rasm. «O‘zsanoatqurilishbank» ATB da milliy hisobot va MHXS hisoboti asosidagi integral indeks hamda erta ogohlantirish chegaralari, 2021–2025-yillar</w:t>
      </w:r>
      <w:r>
        <w:rPr>
          <w:rStyle w:val="FootnoteReference"/>
        </w:rPr>
        <w:footnoteReference w:id="4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8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0">
    <w:p>
      <w:pPr>
        <w:pStyle w:val="FootnoteText"/>
      </w:pPr>
      <w:r>
        <w:rPr>
          <w:rStyle w:val="FootnoteReference"/>
        </w:rPr>
        <w:footnoteRef/>
      </w:r>
      <w:r>
        <w:t xml:space="preserve"> </w:t>
      </w:r>
      <w:r>
        <w:t xml:space="preserve">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6">
    <w:p>
      <w:pPr>
        <w:pStyle w:val="FootnoteText"/>
      </w:pPr>
      <w:r>
        <w:rPr>
          <w:rStyle w:val="FootnoteReference"/>
        </w:rPr>
        <w:footnoteRef/>
      </w:r>
      <w:r>
        <w:t xml:space="preserve"> </w:t>
      </w:r>
      <w:r>
        <w:t xml:space="preserve">Tadqiqot natijasida muallif tomonidan 3.1.2-jadval asosida ishlab chiqildi.</w:t>
      </w:r>
    </w:p>
  </w:footnote>
  <w:footnote w:id="37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7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1">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3">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6">
    <w:p>
      <w:pPr>
        <w:pStyle w:val="FootnoteText"/>
      </w:pPr>
      <w:r>
        <w:rPr>
          <w:rStyle w:val="FootnoteReference"/>
        </w:rPr>
        <w:footnoteRef/>
      </w:r>
      <w:r>
        <w:t xml:space="preserve"> </w:t>
      </w:r>
      <w:r>
        <w:t xml:space="preserve">Tadqiqot natijasida muallif tomonidan 3.1.5-jadval ma’lumotlari asosida ishlab chiqildi.</w:t>
      </w:r>
    </w:p>
  </w:footnote>
  <w:footnote w:id="387">
    <w:p>
      <w:pPr>
        <w:pStyle w:val="FootnoteText"/>
      </w:pPr>
      <w:r>
        <w:rPr>
          <w:rStyle w:val="FootnoteReference"/>
        </w:rPr>
        <w:footnoteRef/>
      </w:r>
      <w:r>
        <w:t xml:space="preserve"> </w:t>
      </w:r>
      <w:r>
        <w:t xml:space="preserve">Tadqiqot natijasida muallif tomonidan 3.1.3 va 3.1.5-jadvallar ma’lumotlari asosida hisoblandi.</w:t>
      </w:r>
    </w:p>
  </w:footnote>
  <w:footnote w:id="388">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8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0">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39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392">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9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4">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5">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6">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9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98">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Consolidated financial statements and independent auditor’s report for the year ended 31 December 2022. – Tashkent: Ernst &amp; Young, 2023. – P. 8–10.</w:t>
      </w:r>
    </w:p>
  </w:footnote>
  <w:footnote w:id="399">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2023. – Tashkent: Ernst &amp; Young, 2024.</w:t>
      </w:r>
    </w:p>
  </w:footnote>
  <w:footnote w:id="400">
    <w:p>
      <w:pPr>
        <w:pStyle w:val="FootnoteText"/>
      </w:pPr>
      <w:r>
        <w:rPr>
          <w:rStyle w:val="FootnoteReference"/>
        </w:rPr>
        <w:footnoteRef/>
      </w:r>
      <w:r>
        <w:t xml:space="preserve"> </w:t>
      </w:r>
      <w:r>
        <w:t xml:space="preserve">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401">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40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3">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5">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6">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40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9">
    <w:p>
      <w:pPr>
        <w:pStyle w:val="FootnoteText"/>
      </w:pPr>
      <w:r>
        <w:rPr>
          <w:rStyle w:val="FootnoteReference"/>
        </w:rPr>
        <w:footnoteRef/>
      </w:r>
      <w:r>
        <w:t xml:space="preserve"> </w:t>
      </w:r>
      <w:r>
        <w:t xml:space="preserve">Tadqiqot natijasida muallif tomonidan 3.2.2-jadval ma’lumotlari asosida ishlab chiqildi.</w:t>
      </w:r>
    </w:p>
  </w:footnote>
  <w:footnote w:id="410">
    <w:p>
      <w:pPr>
        <w:pStyle w:val="FootnoteText"/>
      </w:pPr>
      <w:r>
        <w:rPr>
          <w:rStyle w:val="FootnoteReference"/>
        </w:rPr>
        <w:footnoteRef/>
      </w:r>
      <w:r>
        <w:t xml:space="preserve"> </w:t>
      </w:r>
      <w:r>
        <w:t xml:space="preserve">Tadqiqot natijasida muallif tomonidan 3.2.1-rasm ma’lumotlari asosida ishlab chiqildi.</w:t>
      </w:r>
    </w:p>
  </w:footnote>
  <w:footnote w:id="411">
    <w:p>
      <w:pPr>
        <w:pStyle w:val="FootnoteText"/>
      </w:pPr>
      <w:r>
        <w:rPr>
          <w:rStyle w:val="FootnoteReference"/>
        </w:rPr>
        <w:footnoteRef/>
      </w:r>
      <w:r>
        <w:t xml:space="preserve"> </w:t>
      </w:r>
      <w:r>
        <w:t xml:space="preserve">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41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41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416">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417">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8">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19">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0">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21">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2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3">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4">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25">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2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27">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8">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9">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30">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31">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32">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33">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34">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5">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6">
    <w:p>
      <w:pPr>
        <w:pStyle w:val="FootnoteText"/>
      </w:pPr>
      <w:r>
        <w:rPr>
          <w:rStyle w:val="FootnoteReference"/>
        </w:rPr>
        <w:footnoteRef/>
      </w:r>
      <w:r>
        <w:t xml:space="preserve"> </w:t>
      </w:r>
      <w:r>
        <w:t xml:space="preserve">Roy A.D. Safety First and the Holding of Assets // Econometrica. – 1952. – Vol. 20, No. 3. – P. 431–449.</w:t>
      </w:r>
    </w:p>
  </w:footnote>
  <w:footnote w:id="437">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8">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9">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Baltagi B.H. Econometric Analysis of Panel Data. – 6th ed. – Cham: Springer, 2021.</w:t>
      </w:r>
    </w:p>
  </w:footnote>
  <w:footnote w:id="444">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45">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46">
    <w:p>
      <w:pPr>
        <w:pStyle w:val="FootnoteText"/>
      </w:pPr>
      <w:r>
        <w:rPr>
          <w:rStyle w:val="FootnoteReference"/>
        </w:rPr>
        <w:footnoteRef/>
      </w:r>
      <w:r>
        <w:t xml:space="preserve"> </w:t>
      </w:r>
      <w:r>
        <w:t xml:space="preserve">Hausman J.A. Specification Tests in Econometrics // Econometrica. – 1978. – Vol. 46, No. 6. – P. 1251–1271.</w:t>
      </w:r>
    </w:p>
  </w:footnote>
  <w:footnote w:id="447">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8">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9">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5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1">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52">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53">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5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5">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8">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9">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60">
    <w:p>
      <w:pPr>
        <w:pStyle w:val="FootnoteText"/>
      </w:pPr>
      <w:r>
        <w:rPr>
          <w:rStyle w:val="FootnoteReference"/>
        </w:rPr>
        <w:footnoteRef/>
      </w:r>
      <w:r>
        <w:t xml:space="preserve"> </w:t>
      </w:r>
      <w:r>
        <w:t xml:space="preserve">Tadqiqot natijasida muallif tomonidan 3.3.3–3.3.6-jadvallar ma’lumotlari asosida ishlab chiqildi.</w:t>
      </w:r>
    </w:p>
  </w:footnote>
  <w:footnote w:id="461">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62">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63">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65">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66">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67">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9">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70">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2">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73">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5">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7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7">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8">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9">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8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1">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2">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8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6">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87">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4A412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56D2BCE"/>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398CCB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 Id="rId48" Type="http://schemas.openxmlformats.org/officeDocument/2006/relationships/chart" Target="charts/chart38.xml"/><Relationship Id="rId49" Type="http://schemas.openxmlformats.org/officeDocument/2006/relationships/chart" Target="charts/chart39.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9.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3.0</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2.26</c:v>
                </c:pt>
                <c:pt idx="2">
                  <c:v>3.0</c:v>
                </c:pt>
                <c:pt idx="3">
                  <c:v>3.83</c:v>
                </c:pt>
                <c:pt idx="4">
                  <c:v>1.47</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2.77</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1.62</c:v>
                </c:pt>
                <c:pt idx="2">
                  <c:v>2.77</c:v>
                </c:pt>
                <c:pt idx="3">
                  <c:v>1.33</c:v>
                </c:pt>
                <c:pt idx="4">
                  <c:v>3.79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3.4</c:v>
                </c:pt>
                <c:pt idx="1">
                  <c:v>2.94</c:v>
                </c:pt>
                <c:pt idx="2">
                  <c:v>3.27</c:v>
                </c:pt>
                <c:pt idx="3">
                  <c:v>2.62</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3.19</c:v>
                </c:pt>
                <c:pt idx="1">
                  <c:v>2.86</c:v>
                </c:pt>
                <c:pt idx="2">
                  <c:v>3.21</c:v>
                </c:pt>
                <c:pt idx="3">
                  <c:v>2.7</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3.67</c:v>
                </c:pt>
                <c:pt idx="1">
                  <c:v>3.11</c:v>
                </c:pt>
                <c:pt idx="2">
                  <c:v>3.12</c:v>
                </c:pt>
                <c:pt idx="3">
                  <c:v>2.27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«Xalq banki»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4.0</c:v>
                </c:pt>
                <c:pt idx="1">
                  <c:v>3.62</c:v>
                </c:pt>
                <c:pt idx="2">
                  <c:v>1.5</c:v>
                </c:pt>
                <c:pt idx="3">
                  <c:v>3.98</c:v>
                </c:pt>
                <c:pt idx="4">
                  <c:v>4.0</c:v>
                </c:pt>
              </c:numCache>
            </c:numRef>
          </c:val>
        </c:ser>
        <c:ser>
          <c:idx val="1"/>
          <c:order val="1"/>
          <c:tx>
            <c:strRef>
              <c:f>Sheet1!$C$1</c:f>
              <c:strCache>
                <c:ptCount val="1"/>
                <c:pt idx="0">
                  <c:v>«Biznesni rivojlantirish banki»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3.87</c:v>
                </c:pt>
                <c:pt idx="1">
                  <c:v>3.15</c:v>
                </c:pt>
                <c:pt idx="2">
                  <c:v>2.3</c:v>
                </c:pt>
                <c:pt idx="3">
                  <c:v>3.05</c:v>
                </c:pt>
                <c:pt idx="4">
                  <c:v>3.96</c:v>
                </c:pt>
              </c:numCache>
            </c:numRef>
          </c:val>
        </c:ser>
        <c:ser>
          <c:idx val="2"/>
          <c:order val="2"/>
          <c:tx>
            <c:strRef>
              <c:f>Sheet1!$D$1</c:f>
              <c:strCache>
                <c:ptCount val="1"/>
                <c:pt idx="0">
                  <c:v>«Ipoteka-bank»</c:v>
                </c:pt>
              </c:strCache>
            </c:strRef>
          </c:tx>
          <c:spPr>
            <a:solidFill>
              <a:srgbClr val="7030A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2.43</c:v>
                </c:pt>
                <c:pt idx="2">
                  <c:v>1.96</c:v>
                </c:pt>
                <c:pt idx="3">
                  <c:v>3.94</c:v>
                </c:pt>
                <c:pt idx="4">
                  <c:v>4.0</c:v>
                </c:pt>
              </c:numCache>
            </c:numRef>
          </c:val>
        </c:ser>
        <c:ser>
          <c:idx val="3"/>
          <c:order val="3"/>
          <c:tx>
            <c:strRef>
              <c:f>Sheet1!$E$1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3.82</c:v>
                </c:pt>
                <c:pt idx="1">
                  <c:v>2.28</c:v>
                </c:pt>
                <c:pt idx="2">
                  <c:v>2.33</c:v>
                </c:pt>
                <c:pt idx="3">
                  <c:v>3.83</c:v>
                </c:pt>
                <c:pt idx="4">
                  <c:v>1.45</c:v>
                </c:pt>
              </c:numCache>
            </c:numRef>
          </c:val>
        </c:ser>
        <c:ser>
          <c:idx val="4"/>
          <c:order val="4"/>
          <c:tx>
            <c:strRef>
              <c:f>Sheet1!$F$1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4.0</c:v>
                </c:pt>
                <c:pt idx="1">
                  <c:v>1.53</c:v>
                </c:pt>
                <c:pt idx="2">
                  <c:v>2.05</c:v>
                </c:pt>
                <c:pt idx="3">
                  <c:v>1.33</c:v>
                </c:pt>
                <c:pt idx="4">
                  <c:v>4.0</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Sheet1!$B$2:$B$6</c:f>
              <c:numCache>
                <c:formatCode>General</c:formatCode>
                <c:ptCount val="5"/>
                <c:pt idx="0">
                  <c:v>3.38</c:v>
                </c:pt>
                <c:pt idx="1">
                  <c:v>3.23</c:v>
                </c:pt>
                <c:pt idx="2">
                  <c:v>3.11</c:v>
                </c:pt>
                <c:pt idx="3">
                  <c:v>2.83</c:v>
                </c:pt>
                <c:pt idx="4">
                  <c:v>2.47</c:v>
                </c:pt>
              </c:numCache>
            </c:numRef>
          </c:val>
        </c:ser>
        <c:ser>
          <c:idx val="1"/>
          <c:order val="1"/>
          <c:tx>
            <c:strRef>
              <c:f>Sheet1!$C$1</c:f>
              <c:strCache>
                <c:ptCount val="1"/>
                <c:pt idx="0">
                  <c:v>Davlat ko‘magisiz</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Sheet1!$C$2:$C$6</c:f>
              <c:numCache>
                <c:formatCode>General</c:formatCode>
                <c:ptCount val="5"/>
                <c:pt idx="0">
                  <c:v>3.23</c:v>
                </c:pt>
                <c:pt idx="1">
                  <c:v>2.51</c:v>
                </c:pt>
                <c:pt idx="2">
                  <c:v>3.11</c:v>
                </c:pt>
                <c:pt idx="3">
                  <c:v>2.82</c:v>
                </c:pt>
                <c:pt idx="4">
                  <c:v>1.72</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c:v>
                </c:pt>
              </c:strCache>
            </c:strRef>
          </c:tx>
          <c:spPr>
            <a:ln w="28575">
              <a:solidFill>
                <a:srgbClr val="9DC3E6"/>
              </a:solidFill>
              <a:prstDash val="dash"/>
            </a:ln>
          </c:spPr>
          <c:marker>
            <c:symbol val="circle"/>
            <c:size val="7"/>
            <c:spPr>
              <a:solidFill>
                <a:srgbClr val="9DC3E6"/>
              </a:solidFill>
              <a:ln>
                <a:noFill/>
              </a:ln>
            </c:spPr>
          </c:marker>
          <c:dLbls>
            <c:spPr>
              <a:noFill/>
              <a:ln>
                <a:noFill/>
              </a:ln>
            </c:spPr>
            <c:txPr>
              <a:bodyPr/>
              <a:lstStyle/>
              <a:p>
                <a:pPr>
                  <a:defRPr sz="1000" b="1">
                    <a:solidFill>
                      <a:srgbClr val="9DC3E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3.4</c:v>
                </c:pt>
                <c:pt idx="1">
                  <c:v>3.27</c:v>
                </c:pt>
                <c:pt idx="2">
                  <c:v>3.28</c:v>
                </c:pt>
                <c:pt idx="3">
                  <c:v>3.33</c:v>
                </c:pt>
                <c:pt idx="4">
                  <c:v>3.4</c:v>
                </c:pt>
              </c:numCache>
            </c:numRef>
          </c:yVal>
          <c:smooth val="0"/>
        </c:ser>
        <c:ser>
          <c:idx val="1"/>
          <c:order val="1"/>
          <c:tx>
            <c:strRef>
              <c:f>Sheet1!$D$1</c:f>
              <c:strCache>
                <c:ptCount val="1"/>
                <c:pt idx="0">
                  <c:v>SQB: MHXS</c:v>
                </c:pt>
              </c:strCache>
            </c:strRef>
          </c:tx>
          <c:spPr>
            <a:ln w="28575">
              <a:solidFill>
                <a:srgbClr val="1F4E79"/>
              </a:solidFill>
            </a:ln>
          </c:spPr>
          <c:marker>
            <c:symbol val="circle"/>
            <c:size val="7"/>
            <c:spPr>
              <a:solidFill>
                <a:srgbClr val="1F4E79"/>
              </a:solidFill>
              <a:ln>
                <a:noFill/>
              </a:ln>
            </c:spPr>
          </c:marker>
          <c:dLbls>
            <c:spPr>
              <a:noFill/>
              <a:ln>
                <a:noFill/>
              </a:ln>
            </c:spPr>
            <c:txPr>
              <a:bodyPr/>
              <a:lstStyle/>
              <a:p>
                <a:pPr>
                  <a:defRPr sz="1000" b="1">
                    <a:solidFill>
                      <a:srgbClr val="1F4E79"/>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3.02</c:v>
                </c:pt>
                <c:pt idx="1">
                  <c:v>2.94</c:v>
                </c:pt>
                <c:pt idx="2">
                  <c:v>3.05</c:v>
                </c:pt>
                <c:pt idx="3">
                  <c:v>2.95</c:v>
                </c:pt>
                <c:pt idx="4">
                  <c:v>2.94</c:v>
                </c:pt>
              </c:numCache>
            </c:numRef>
          </c:yVal>
          <c:smooth val="0"/>
        </c:ser>
        <c:ser>
          <c:idx val="2"/>
          <c:order val="2"/>
          <c:tx>
            <c:strRef>
              <c:f>Sheet1!$F$1</c:f>
              <c:strCache>
                <c:ptCount val="1"/>
                <c:pt idx="0">
                  <c:v>MKB: milliy</c:v>
                </c:pt>
              </c:strCache>
            </c:strRef>
          </c:tx>
          <c:spPr>
            <a:ln w="28575">
              <a:solidFill>
                <a:srgbClr val="F4B183"/>
              </a:solidFill>
              <a:prstDash val="dash"/>
            </a:ln>
          </c:spPr>
          <c:marker>
            <c:symbol val="square"/>
            <c:size val="7"/>
            <c:spPr>
              <a:solidFill>
                <a:srgbClr val="F4B183"/>
              </a:solidFill>
              <a:ln>
                <a:noFill/>
              </a:ln>
            </c:spPr>
          </c:marker>
          <c:dLbls>
            <c:spPr>
              <a:noFill/>
              <a:ln>
                <a:noFill/>
              </a:ln>
            </c:spPr>
            <c:txPr>
              <a:bodyPr/>
              <a:lstStyle/>
              <a:p>
                <a:pPr>
                  <a:defRPr sz="1000" b="1">
                    <a:solidFill>
                      <a:srgbClr val="F4B183"/>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3.08</c:v>
                </c:pt>
                <c:pt idx="1">
                  <c:v>3.05</c:v>
                </c:pt>
                <c:pt idx="2">
                  <c:v>2.81</c:v>
                </c:pt>
                <c:pt idx="3">
                  <c:v>2.99</c:v>
                </c:pt>
                <c:pt idx="4">
                  <c:v>3.27</c:v>
                </c:pt>
              </c:numCache>
            </c:numRef>
          </c:yVal>
          <c:smooth val="0"/>
        </c:ser>
        <c:ser>
          <c:idx val="3"/>
          <c:order val="3"/>
          <c:tx>
            <c:strRef>
              <c:f>Sheet1!$H$1</c:f>
              <c:strCache>
                <c:ptCount val="1"/>
                <c:pt idx="0">
                  <c:v>MKB: MHXS</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2.51</c:v>
                </c:pt>
                <c:pt idx="1">
                  <c:v>2.59</c:v>
                </c:pt>
                <c:pt idx="2">
                  <c:v>2.41</c:v>
                </c:pt>
                <c:pt idx="3">
                  <c:v>2.47</c:v>
                </c:pt>
                <c:pt idx="4">
                  <c:v>2.62</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ulushi mavjud banklar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4.4</c:v>
                </c:pt>
                <c:pt idx="1">
                  <c:v>8.1</c:v>
                </c:pt>
                <c:pt idx="2">
                  <c:v>-0.5</c:v>
                </c:pt>
                <c:pt idx="3">
                  <c:v>7.6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27.3</c:v>
                </c:pt>
                <c:pt idx="1">
                  <c:v>27.7</c:v>
                </c:pt>
                <c:pt idx="2">
                  <c:v>19.2</c:v>
                </c:pt>
                <c:pt idx="3">
                  <c:v>20.3</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0"/>
          <c:min val="-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«Mikrokreditbank» ATB</c:v>
                </c:pt>
              </c:strCache>
            </c:strRef>
          </c:tx>
          <c:spPr>
            <a:ln w="28575">
              <a:solidFill>
                <a:srgbClr val="EB6834"/>
              </a:solidFill>
            </a:ln>
          </c:spPr>
          <c:marker>
            <c:symbol val="square"/>
            <c:size val="7"/>
            <c:spPr>
              <a:solidFill>
                <a:srgbClr val="EB6834"/>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12"/>
              <c:delete val="1"/>
            </c:dLbl>
            <c:dLbl>
              <c:idx val="13"/>
              <c:delete val="1"/>
            </c:dLbl>
            <c:dLbl>
              <c:idx val="14"/>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Qizil zona chegarasi (2,75)</c:v>
                </c:pt>
              </c:strCache>
            </c:strRef>
          </c:tx>
          <c:spPr>
            <a:ln w="15875">
              <a:solidFill>
                <a:srgbClr val="C00000"/>
              </a:solidFill>
              <a:prstDash val="dash"/>
            </a:ln>
          </c:spPr>
          <c:marker>
            <c:symbol val="none"/>
          </c:marker>
          <c:xVal>
            <c:numRef>
              <c:f>Sheet1!$C$2:$C$18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Sheet1!$D$2:$D$18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2"/>
          <c:order val="2"/>
          <c:tx>
            <c:strRef>
              <c:f>Sheet1!$F$1</c:f>
              <c:strCache>
                <c:ptCount val="1"/>
                <c:pt idx="0">
                  <c:v>Yashil zona chegarasi (3,25)</c:v>
                </c:pt>
              </c:strCache>
            </c:strRef>
          </c:tx>
          <c:spPr>
            <a:ln w="15875">
              <a:solidFill>
                <a:srgbClr val="70AD47"/>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2"/>
              <c:delete val="1"/>
            </c:dLbl>
            <c:dLbl>
              <c:idx val="4"/>
              <c:delete val="1"/>
            </c:dLbl>
            <c:dLbl>
              <c:idx val="5"/>
              <c:delete val="1"/>
            </c:dLbl>
            <c:dLbl>
              <c:idx val="6"/>
              <c:delete val="1"/>
            </c:dLbl>
            <c:dLbl>
              <c:idx val="10"/>
              <c:delete val="1"/>
            </c:dLbl>
            <c:dLbl>
              <c:idx val="11"/>
              <c:delete val="1"/>
            </c:dLbl>
            <c:dLbl>
              <c:idx val="14"/>
              <c:delete val="1"/>
            </c:dLbl>
            <c:dLbl>
              <c:idx val="15"/>
              <c:delete val="1"/>
            </c:dLbl>
            <c:dLbl>
              <c:idx val="16"/>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1">
                  <c:v>2.67</c:v>
                </c:pt>
                <c:pt idx="2">
                  <c:v>2.71</c:v>
                </c:pt>
                <c:pt idx="3">
                  <c:v>2.93</c:v>
                </c:pt>
                <c:pt idx="5">
                  <c:v>2.85</c:v>
                </c:pt>
                <c:pt idx="6">
                  <c:v>2.65</c:v>
                </c:pt>
                <c:pt idx="7">
                  <c:v>2.64</c:v>
                </c:pt>
                <c:pt idx="8">
                  <c:v>2.44</c:v>
                </c:pt>
                <c:pt idx="9">
                  <c:v>2.2</c:v>
                </c:pt>
                <c:pt idx="10">
                  <c:v>2.3</c:v>
                </c:pt>
                <c:pt idx="11">
                  <c:v>2.45</c:v>
                </c:pt>
                <c:pt idx="12">
                  <c:v>2.83</c:v>
                </c:pt>
                <c:pt idx="13">
                  <c:v>3.18</c:v>
                </c:pt>
                <c:pt idx="14">
                  <c:v>3.28</c:v>
                </c:pt>
                <c:pt idx="15">
                  <c:v>3.22</c:v>
                </c:pt>
                <c:pt idx="16">
                  <c:v>3.15</c:v>
                </c:pt>
              </c:numCache>
            </c:numRef>
          </c:yVal>
          <c:smooth val="0"/>
        </c:ser>
        <c:ser>
          <c:idx val="1"/>
          <c:order val="1"/>
          <c:tx>
            <c:strRef>
              <c:f>Sheet1!$D$1</c:f>
              <c:strCache>
                <c:ptCount val="1"/>
                <c:pt idx="0">
                  <c:v>Qizil zona chegarasi (2,75)</c:v>
                </c:pt>
              </c:strCache>
            </c:strRef>
          </c:tx>
          <c:spPr>
            <a:ln w="15875">
              <a:solidFill>
                <a:srgbClr val="C00000"/>
              </a:solidFill>
              <a:prstDash val="dash"/>
            </a:ln>
          </c:spPr>
          <c:marker>
            <c:symbol val="none"/>
          </c:marker>
          <c:xVal>
            <c:numRef>
              <c:f>Sheet1!$C$2:$C$18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Sheet1!$D$2:$D$18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2"/>
          <c:order val="2"/>
          <c:tx>
            <c:strRef>
              <c:f>Sheet1!$F$1</c:f>
              <c:strCache>
                <c:ptCount val="1"/>
                <c:pt idx="0">
                  <c:v>Yashil zona chegarasi (3,25)</c:v>
                </c:pt>
              </c:strCache>
            </c:strRef>
          </c:tx>
          <c:spPr>
            <a:ln w="15875">
              <a:solidFill>
                <a:srgbClr val="70AD47"/>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