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sz w:val="28"/>
        </w:rPr>
        <w:t>1.1.5-rasmning yangi varianti (namuna)</w:t>
      </w:r>
    </w:p>
    <w:p>
      <w:pPr>
        <w:ind w:firstLine="709"/>
        <w:jc w:val="both"/>
      </w:pPr>
      <w:r>
        <w:rPr>
          <w:b w:val="0"/>
          <w:i w:val="0"/>
          <w:sz w:val="28"/>
        </w:rPr>
        <w:t>Buni rivojlangan mamlakatlar bank tizimlari tajribasi ham tasdiqlaydi: 1.1.5-rasmda AQSh va “Katta yettilik” mamlakatlarida banklar moliyaviy barqarorligi yo‘qotilishining sabablari uch davr bo‘yicha taqqoslangan – 1979–1987-yillar, 2008–2010-yillardagi global moliyaviy inqiroz davri hamda 2021–2025-yillar.</w:t>
      </w:r>
    </w:p>
    <w:p>
      <w:pPr>
        <w:ind w:firstLine="0"/>
        <w:jc w:val="center"/>
      </w:pPr>
      <w:r xmlns:a="http://schemas.openxmlformats.org/drawingml/2006/main" xmlns:c="http://schemas.openxmlformats.org/drawingml/2006/chart">
        <w:rPr>
          <w:noProof/>
        </w:rPr>
        <w:drawing>
          <wp:inline distT="0" distB="0" distL="0" distR="0">
            <wp:extent cx="5760000" cy="4320000"/>
            <wp:effectExtent l="0" t="0" r="0" b="0"/>
            <wp:docPr id="1001" name="1.1.5-rasm"/>
            <wp:cNvGraphicFramePr/>
            <a:graphic>
              <a:graphicData uri="http://schemas.openxmlformats.org/drawingml/2006/chart">
                <c:chart r:id="rId9"/>
              </a:graphicData>
            </a:graphic>
          </wp:inline>
        </w:drawing>
      </w:r>
    </w:p>
    <w:p>
      <w:pPr>
        <w:ind w:firstLine="0"/>
        <w:jc w:val="center"/>
      </w:pPr>
      <w:r>
        <w:rPr>
          <w:b/>
          <w:i w:val="0"/>
          <w:sz w:val="28"/>
        </w:rPr>
        <w:t>1.1.5-rasm. Rivojlangan mamlakatlarda banklar moliyaviy barqarorligi yo‘qotilishining sabablari, tegishli sabab qayd etilgan banklar ulushi, %[3]</w:t>
      </w:r>
    </w:p>
    <w:p>
      <w:pPr>
        <w:ind w:firstLine="709"/>
        <w:jc w:val="both"/>
      </w:pPr>
      <w:r>
        <w:rPr>
          <w:b w:val="0"/>
          <w:i w:val="0"/>
          <w:sz w:val="28"/>
        </w:rPr>
        <w:t>Rasm ma’lumotlari shuni ko‘rsatadiki, uchala davrda ham boshqaruv va kengash nazoratining zaifligi banklar barqarorligi yo‘qotilishining eng ko‘p qayd etiladigan sababi bo‘lib qolmoqda: 1979–1987-yillarda u muammoli banklarning 90 foizida, 2008–2010-yillarda Federal rezerv tizimi nazoratidagi faoliyati to‘xtatilgan 20 ta bankning barchasida, 2021–2025-yillarda esa “Katta yettilik” mamlakatlarida faoliyati to‘xtatilgan 12 ta bankning 58 foizida qayd etilgan (9-ilova). Aktivlar sifati va kredit konsentratsiyasining ulushi esa oldingi davrlardagi 98–100 foizdan 17 foizgacha pasaygan, chunki so‘nggi davrdagi yirik banklar muvaffaqiyatsizliklari kredit zararlari bilan emas, balki likvidlik va foiz stavkasi riski bilan bog‘liq bo‘ldi. 2023-yilda Silicon Valley Bank va First Republic Bank misolida sug‘urtalanmagan depozitlarning yuqori konsentratsiyasi va uzoq muddatli aktivlar bo‘yicha foiz stavkasi riski bir necha kun ichida likvidlik inqiroziga aylanishi mumkinligi namoyon bo‘ldi[1]: 12 ta bankning 33 foizida likvidlik va moliyalashtirish, 25 foizida esa foiz stavkasi riski asosiy sabablar qatorida bo‘lgan. Kichik banklarda esa firibgarlik (33 foiz) va ichki nazorat tizimining buzilishi (33 foiz) yetakchi sabablarga aylangan.</w:t>
      </w:r>
    </w:p>
    <w:p>
      <w:pPr>
        <w:ind w:firstLine="709"/>
        <w:jc w:val="both"/>
      </w:pPr>
      <w:r>
        <w:rPr>
          <w:b w:val="0"/>
          <w:i w:val="0"/>
          <w:sz w:val="28"/>
        </w:rPr>
        <w:t>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ko‘rsatgan[2]. Bundan kelib chiqadiki, moliyaviy barqarorlikni baholashda aktivlar sifati va boshqaruv sifati bilan bir qatorda likvidlik hamda bozor risklariga, O‘zbekiston sharoitida birinchi navbatda valyuta riskiga sezgirlik bloklari ham bo‘lishi lozim.</w:t>
      </w:r>
    </w:p>
    <w:p>
      <w:r>
        <w:br w:type="page"/>
      </w:r>
    </w:p>
    <w:p>
      <w:pPr>
        <w:ind w:firstLine="0"/>
        <w:jc w:val="right"/>
      </w:pPr>
      <w:r>
        <w:rPr>
          <w:b/>
          <w:i/>
          <w:sz w:val="24"/>
        </w:rPr>
        <w:t>9-ilova</w:t>
      </w:r>
    </w:p>
    <w:p>
      <w:pPr>
        <w:ind w:firstLine="0"/>
        <w:jc w:val="center"/>
      </w:pPr>
      <w:r>
        <w:rPr>
          <w:b/>
          <w:i w:val="0"/>
          <w:sz w:val="24"/>
        </w:rPr>
        <w:t>2021–2025-yillarda “Katta yettilik” mamlakatlarida faoliyati to‘xtatilgan banklar va ularning sabablari</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line="240" w:lineRule="auto"/>
              <w:ind w:firstLine="0"/>
            </w:pPr>
            <w:r>
              <w:rPr>
                <w:sz w:val="18"/>
              </w:rPr>
              <w:t>№</w:t>
            </w:r>
          </w:p>
        </w:tc>
        <w:tc>
          <w:tcPr>
            <w:tcW w:type="dxa" w:w="780"/>
          </w:tcPr>
          <w:p>
            <w:pPr>
              <w:spacing w:line="240" w:lineRule="auto"/>
              <w:ind w:firstLine="0"/>
            </w:pPr>
            <w:r>
              <w:rPr>
                <w:sz w:val="18"/>
              </w:rPr>
              <w:t>Bank, mamlakat</w:t>
            </w:r>
          </w:p>
        </w:tc>
        <w:tc>
          <w:tcPr>
            <w:tcW w:type="dxa" w:w="780"/>
          </w:tcPr>
          <w:p>
            <w:pPr>
              <w:spacing w:line="240" w:lineRule="auto"/>
              <w:ind w:firstLine="0"/>
            </w:pPr>
            <w:r>
              <w:rPr>
                <w:sz w:val="18"/>
              </w:rPr>
              <w:t>Yil</w:t>
            </w:r>
          </w:p>
        </w:tc>
        <w:tc>
          <w:tcPr>
            <w:tcW w:type="dxa" w:w="780"/>
          </w:tcPr>
          <w:p>
            <w:pPr>
              <w:spacing w:line="240" w:lineRule="auto"/>
              <w:ind w:firstLine="0"/>
            </w:pPr>
            <w:r>
              <w:rPr>
                <w:sz w:val="18"/>
              </w:rPr>
              <w:t>Rasmiy hisobotlarda qayd etilgan sabablar</w:t>
            </w:r>
          </w:p>
        </w:tc>
        <w:tc>
          <w:tcPr>
            <w:tcW w:type="dxa" w:w="780"/>
          </w:tcPr>
          <w:p>
            <w:pPr>
              <w:spacing w:line="240" w:lineRule="auto"/>
              <w:ind w:firstLine="0"/>
            </w:pPr>
            <w:r>
              <w:rPr>
                <w:sz w:val="18"/>
              </w:rPr>
              <w:t>B</w:t>
            </w:r>
          </w:p>
        </w:tc>
        <w:tc>
          <w:tcPr>
            <w:tcW w:type="dxa" w:w="780"/>
          </w:tcPr>
          <w:p>
            <w:pPr>
              <w:spacing w:line="240" w:lineRule="auto"/>
              <w:ind w:firstLine="0"/>
            </w:pPr>
            <w:r>
              <w:rPr>
                <w:sz w:val="18"/>
              </w:rPr>
              <w:t>A</w:t>
            </w:r>
          </w:p>
        </w:tc>
        <w:tc>
          <w:tcPr>
            <w:tcW w:type="dxa" w:w="780"/>
          </w:tcPr>
          <w:p>
            <w:pPr>
              <w:spacing w:line="240" w:lineRule="auto"/>
              <w:ind w:firstLine="0"/>
            </w:pPr>
            <w:r>
              <w:rPr>
                <w:sz w:val="18"/>
              </w:rPr>
              <w:t>N</w:t>
            </w:r>
          </w:p>
        </w:tc>
        <w:tc>
          <w:tcPr>
            <w:tcW w:type="dxa" w:w="780"/>
          </w:tcPr>
          <w:p>
            <w:pPr>
              <w:spacing w:line="240" w:lineRule="auto"/>
              <w:ind w:firstLine="0"/>
            </w:pPr>
            <w:r>
              <w:rPr>
                <w:sz w:val="18"/>
              </w:rPr>
              <w:t>F</w:t>
            </w:r>
          </w:p>
        </w:tc>
        <w:tc>
          <w:tcPr>
            <w:tcW w:type="dxa" w:w="780"/>
          </w:tcPr>
          <w:p>
            <w:pPr>
              <w:spacing w:line="240" w:lineRule="auto"/>
              <w:ind w:firstLine="0"/>
            </w:pPr>
            <w:r>
              <w:rPr>
                <w:sz w:val="18"/>
              </w:rPr>
              <w:t>L</w:t>
            </w:r>
          </w:p>
        </w:tc>
        <w:tc>
          <w:tcPr>
            <w:tcW w:type="dxa" w:w="780"/>
          </w:tcPr>
          <w:p>
            <w:pPr>
              <w:spacing w:line="240" w:lineRule="auto"/>
              <w:ind w:firstLine="0"/>
            </w:pPr>
            <w:r>
              <w:rPr>
                <w:sz w:val="18"/>
              </w:rPr>
              <w:t>S</w:t>
            </w:r>
          </w:p>
        </w:tc>
        <w:tc>
          <w:tcPr>
            <w:tcW w:type="dxa" w:w="780"/>
          </w:tcPr>
          <w:p>
            <w:pPr>
              <w:spacing w:line="240" w:lineRule="auto"/>
              <w:ind w:firstLine="0"/>
            </w:pPr>
            <w:r>
              <w:rPr>
                <w:sz w:val="18"/>
              </w:rPr>
              <w:t>D</w:t>
            </w:r>
          </w:p>
        </w:tc>
        <w:tc>
          <w:tcPr>
            <w:tcW w:type="dxa" w:w="780"/>
          </w:tcPr>
          <w:p>
            <w:pPr>
              <w:spacing w:line="240" w:lineRule="auto"/>
              <w:ind w:firstLine="0"/>
            </w:pPr>
            <w:r>
              <w:rPr>
                <w:sz w:val="18"/>
              </w:rPr>
              <w:t>Manba</w:t>
            </w:r>
          </w:p>
        </w:tc>
      </w:tr>
      <w:tr>
        <w:tc>
          <w:tcPr>
            <w:tcW w:type="dxa" w:w="780"/>
          </w:tcPr>
          <w:p>
            <w:pPr>
              <w:spacing w:line="240" w:lineRule="auto"/>
              <w:ind w:firstLine="0"/>
            </w:pPr>
            <w:r>
              <w:rPr>
                <w:sz w:val="18"/>
              </w:rPr>
              <w:t>1</w:t>
            </w:r>
          </w:p>
        </w:tc>
        <w:tc>
          <w:tcPr>
            <w:tcW w:type="dxa" w:w="780"/>
          </w:tcPr>
          <w:p>
            <w:pPr>
              <w:spacing w:line="240" w:lineRule="auto"/>
              <w:ind w:firstLine="0"/>
            </w:pPr>
            <w:r>
              <w:rPr>
                <w:sz w:val="18"/>
              </w:rPr>
              <w:t>Greensill Bank AG (Germaniya)</w:t>
            </w:r>
          </w:p>
        </w:tc>
        <w:tc>
          <w:tcPr>
            <w:tcW w:type="dxa" w:w="780"/>
          </w:tcPr>
          <w:p>
            <w:pPr>
              <w:spacing w:line="240" w:lineRule="auto"/>
              <w:ind w:firstLine="0"/>
            </w:pPr>
            <w:r>
              <w:rPr>
                <w:sz w:val="18"/>
              </w:rPr>
              <w:t>2021</w:t>
            </w:r>
          </w:p>
        </w:tc>
        <w:tc>
          <w:tcPr>
            <w:tcW w:type="dxa" w:w="780"/>
          </w:tcPr>
          <w:p>
            <w:pPr>
              <w:spacing w:line="240" w:lineRule="auto"/>
              <w:ind w:firstLine="0"/>
            </w:pPr>
            <w:r>
              <w:rPr>
                <w:sz w:val="18"/>
              </w:rPr>
              <w:t>Balansdagi GFG Alliance guruhi debitorlik qarzlari mavjudligini tasdiqlay olmaslik (kredit konsentratsiyasi); balansni soxtalashtirish bo‘yicha jinoiy ariza</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BaFin</w:t>
            </w:r>
          </w:p>
        </w:tc>
      </w:tr>
      <w:tr>
        <w:tc>
          <w:tcPr>
            <w:tcW w:type="dxa" w:w="780"/>
          </w:tcPr>
          <w:p>
            <w:pPr>
              <w:spacing w:line="240" w:lineRule="auto"/>
              <w:ind w:firstLine="0"/>
            </w:pPr>
            <w:r>
              <w:rPr>
                <w:sz w:val="18"/>
              </w:rPr>
              <w:t>2</w:t>
            </w:r>
          </w:p>
        </w:tc>
        <w:tc>
          <w:tcPr>
            <w:tcW w:type="dxa" w:w="780"/>
          </w:tcPr>
          <w:p>
            <w:pPr>
              <w:spacing w:line="240" w:lineRule="auto"/>
              <w:ind w:firstLine="0"/>
            </w:pPr>
            <w:r>
              <w:rPr>
                <w:sz w:val="18"/>
              </w:rPr>
              <w:t>Silicon Valley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Boshqaruv tez o‘sish va konsentratsiya risklarini nazorat qilmagan; foiz stavkasi riski xedjlari olib tashlangan; 40 mlrd dollarlik depozitlar oqimi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FRT OIG, 2023-SR-B-013</w:t>
            </w:r>
          </w:p>
        </w:tc>
      </w:tr>
      <w:tr>
        <w:tc>
          <w:tcPr>
            <w:tcW w:type="dxa" w:w="780"/>
          </w:tcPr>
          <w:p>
            <w:pPr>
              <w:spacing w:line="240" w:lineRule="auto"/>
              <w:ind w:firstLine="0"/>
            </w:pPr>
            <w:r>
              <w:rPr>
                <w:sz w:val="18"/>
              </w:rPr>
              <w:t>3</w:t>
            </w:r>
          </w:p>
        </w:tc>
        <w:tc>
          <w:tcPr>
            <w:tcW w:type="dxa" w:w="780"/>
          </w:tcPr>
          <w:p>
            <w:pPr>
              <w:spacing w:line="240" w:lineRule="auto"/>
              <w:ind w:firstLine="0"/>
            </w:pPr>
            <w:r>
              <w:rPr>
                <w:sz w:val="18"/>
              </w:rPr>
              <w:t>Signature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Likvidlik va favqulodda moliyalashtirish mexanizmlarining yetarli emasligi; boshqaruvning risk menejmenti amaliyoti zaif</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EVAL-24-02</w:t>
            </w:r>
          </w:p>
        </w:tc>
      </w:tr>
      <w:tr>
        <w:tc>
          <w:tcPr>
            <w:tcW w:type="dxa" w:w="780"/>
          </w:tcPr>
          <w:p>
            <w:pPr>
              <w:spacing w:line="240" w:lineRule="auto"/>
              <w:ind w:firstLine="0"/>
            </w:pPr>
            <w:r>
              <w:rPr>
                <w:sz w:val="18"/>
              </w:rPr>
              <w:t>4</w:t>
            </w:r>
          </w:p>
        </w:tc>
        <w:tc>
          <w:tcPr>
            <w:tcW w:type="dxa" w:w="780"/>
          </w:tcPr>
          <w:p>
            <w:pPr>
              <w:spacing w:line="240" w:lineRule="auto"/>
              <w:ind w:firstLine="0"/>
            </w:pPr>
            <w:r>
              <w:rPr>
                <w:sz w:val="18"/>
              </w:rPr>
              <w:t>First Republic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Sug‘urtalanmagan depozitlar konsentratsiyasi, aktiv va passivlar muddatlarining nomutanosibligi, foiz stavkasi riski; boshqa banklar inqirozining yuqumli ta’siri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EVAL-24-03</w:t>
            </w:r>
          </w:p>
        </w:tc>
      </w:tr>
      <w:tr>
        <w:tc>
          <w:tcPr>
            <w:tcW w:type="dxa" w:w="780"/>
          </w:tcPr>
          <w:p>
            <w:pPr>
              <w:spacing w:line="240" w:lineRule="auto"/>
              <w:ind w:firstLine="0"/>
            </w:pPr>
            <w:r>
              <w:rPr>
                <w:sz w:val="18"/>
              </w:rPr>
              <w:t>5</w:t>
            </w:r>
          </w:p>
        </w:tc>
        <w:tc>
          <w:tcPr>
            <w:tcW w:type="dxa" w:w="780"/>
          </w:tcPr>
          <w:p>
            <w:pPr>
              <w:spacing w:line="240" w:lineRule="auto"/>
              <w:ind w:firstLine="0"/>
            </w:pPr>
            <w:r>
              <w:rPr>
                <w:sz w:val="18"/>
              </w:rPr>
              <w:t>Heartland Tri-State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 direktorning firibgarlik bilan bog‘liq 47,1 mln dollarlik pul o‘tkazmalari; ichki nazoratning buzilishi va rahbarning hukmron mavqei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FRT OIG, 2024-SR-B-004</w:t>
            </w:r>
          </w:p>
        </w:tc>
      </w:tr>
      <w:tr>
        <w:tc>
          <w:tcPr>
            <w:tcW w:type="dxa" w:w="780"/>
          </w:tcPr>
          <w:p>
            <w:pPr>
              <w:spacing w:line="240" w:lineRule="auto"/>
              <w:ind w:firstLine="0"/>
            </w:pPr>
            <w:r>
              <w:rPr>
                <w:sz w:val="18"/>
              </w:rPr>
              <w:t>6</w:t>
            </w:r>
          </w:p>
        </w:tc>
        <w:tc>
          <w:tcPr>
            <w:tcW w:type="dxa" w:w="780"/>
          </w:tcPr>
          <w:p>
            <w:pPr>
              <w:spacing w:line="240" w:lineRule="auto"/>
              <w:ind w:firstLine="0"/>
            </w:pPr>
            <w:r>
              <w:rPr>
                <w:sz w:val="18"/>
              </w:rPr>
              <w:t>Citizens Bank (AQSh)</w:t>
            </w:r>
          </w:p>
        </w:tc>
        <w:tc>
          <w:tcPr>
            <w:tcW w:type="dxa" w:w="780"/>
          </w:tcPr>
          <w:p>
            <w:pPr>
              <w:spacing w:line="240" w:lineRule="auto"/>
              <w:ind w:firstLine="0"/>
            </w:pPr>
            <w:r>
              <w:rPr>
                <w:sz w:val="18"/>
              </w:rPr>
              <w:t>2023</w:t>
            </w:r>
          </w:p>
        </w:tc>
        <w:tc>
          <w:tcPr>
            <w:tcW w:type="dxa" w:w="780"/>
          </w:tcPr>
          <w:p>
            <w:pPr>
              <w:spacing w:line="240" w:lineRule="auto"/>
              <w:ind w:firstLine="0"/>
            </w:pPr>
            <w:r>
              <w:rPr>
                <w:sz w:val="18"/>
              </w:rPr>
              <w:t>Kengash va boshqaruvning sust kreditlash amaliyoti; yirik yuk tashish kompaniyalari kreditlarining yomonlashuvi</w:t>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AEC 24-01</w:t>
            </w:r>
          </w:p>
        </w:tc>
      </w:tr>
      <w:tr>
        <w:tc>
          <w:tcPr>
            <w:tcW w:type="dxa" w:w="780"/>
          </w:tcPr>
          <w:p>
            <w:pPr>
              <w:spacing w:line="240" w:lineRule="auto"/>
              <w:ind w:firstLine="0"/>
            </w:pPr>
            <w:r>
              <w:rPr>
                <w:sz w:val="18"/>
              </w:rPr>
              <w:t>7</w:t>
            </w:r>
          </w:p>
        </w:tc>
        <w:tc>
          <w:tcPr>
            <w:tcW w:type="dxa" w:w="780"/>
          </w:tcPr>
          <w:p>
            <w:pPr>
              <w:spacing w:line="240" w:lineRule="auto"/>
              <w:ind w:firstLine="0"/>
            </w:pPr>
            <w:r>
              <w:rPr>
                <w:sz w:val="18"/>
              </w:rPr>
              <w:t>North Channel Bank (Germaniya)</w:t>
            </w:r>
          </w:p>
        </w:tc>
        <w:tc>
          <w:tcPr>
            <w:tcW w:type="dxa" w:w="780"/>
          </w:tcPr>
          <w:p>
            <w:pPr>
              <w:spacing w:line="240" w:lineRule="auto"/>
              <w:ind w:firstLine="0"/>
            </w:pPr>
            <w:r>
              <w:rPr>
                <w:sz w:val="18"/>
              </w:rPr>
              <w:t>2023</w:t>
            </w:r>
          </w:p>
        </w:tc>
        <w:tc>
          <w:tcPr>
            <w:tcW w:type="dxa" w:w="780"/>
          </w:tcPr>
          <w:p>
            <w:pPr>
              <w:spacing w:line="240" w:lineRule="auto"/>
              <w:ind w:firstLine="0"/>
            </w:pPr>
            <w:r>
              <w:rPr>
                <w:sz w:val="18"/>
              </w:rPr>
              <w:t>Surunkali zarar va barqaror biznes modelining yo‘qligi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BaFin</w:t>
            </w:r>
          </w:p>
        </w:tc>
      </w:tr>
      <w:tr>
        <w:tc>
          <w:tcPr>
            <w:tcW w:type="dxa" w:w="780"/>
          </w:tcPr>
          <w:p>
            <w:pPr>
              <w:spacing w:line="240" w:lineRule="auto"/>
              <w:ind w:firstLine="0"/>
            </w:pPr>
            <w:r>
              <w:rPr>
                <w:sz w:val="18"/>
              </w:rPr>
              <w:t>8</w:t>
            </w:r>
          </w:p>
        </w:tc>
        <w:tc>
          <w:tcPr>
            <w:tcW w:type="dxa" w:w="780"/>
          </w:tcPr>
          <w:p>
            <w:pPr>
              <w:spacing w:line="240" w:lineRule="auto"/>
              <w:ind w:firstLine="0"/>
            </w:pPr>
            <w:r>
              <w:rPr>
                <w:sz w:val="18"/>
              </w:rPr>
              <w:t>SVB UK (Buyuk Britaniya)</w:t>
            </w:r>
          </w:p>
        </w:tc>
        <w:tc>
          <w:tcPr>
            <w:tcW w:type="dxa" w:w="780"/>
          </w:tcPr>
          <w:p>
            <w:pPr>
              <w:spacing w:line="240" w:lineRule="auto"/>
              <w:ind w:firstLine="0"/>
            </w:pPr>
            <w:r>
              <w:rPr>
                <w:sz w:val="18"/>
              </w:rPr>
              <w:t>2023</w:t>
            </w:r>
          </w:p>
        </w:tc>
        <w:tc>
          <w:tcPr>
            <w:tcW w:type="dxa" w:w="780"/>
          </w:tcPr>
          <w:p>
            <w:pPr>
              <w:spacing w:line="240" w:lineRule="auto"/>
              <w:ind w:firstLine="0"/>
            </w:pPr>
            <w:r>
              <w:rPr>
                <w:sz w:val="18"/>
              </w:rPr>
              <w:t>Bosh bank inqirozi sababli depozitlar oqimi va likvidlik tanqisligi; mijozlar bazasining texnologiya sohasida konsentratsiyasi</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Angliya banki</w:t>
            </w:r>
          </w:p>
        </w:tc>
      </w:tr>
      <w:tr>
        <w:tc>
          <w:tcPr>
            <w:tcW w:type="dxa" w:w="780"/>
          </w:tcPr>
          <w:p>
            <w:pPr>
              <w:spacing w:line="240" w:lineRule="auto"/>
              <w:ind w:firstLine="0"/>
            </w:pPr>
            <w:r>
              <w:rPr>
                <w:sz w:val="18"/>
              </w:rPr>
              <w:t>9</w:t>
            </w:r>
          </w:p>
        </w:tc>
        <w:tc>
          <w:tcPr>
            <w:tcW w:type="dxa" w:w="780"/>
          </w:tcPr>
          <w:p>
            <w:pPr>
              <w:spacing w:line="240" w:lineRule="auto"/>
              <w:ind w:firstLine="0"/>
            </w:pPr>
            <w:r>
              <w:rPr>
                <w:sz w:val="18"/>
              </w:rPr>
              <w:t>Republic First Bank (AQSh)</w:t>
            </w:r>
          </w:p>
        </w:tc>
        <w:tc>
          <w:tcPr>
            <w:tcW w:type="dxa" w:w="780"/>
          </w:tcPr>
          <w:p>
            <w:pPr>
              <w:spacing w:line="240" w:lineRule="auto"/>
              <w:ind w:firstLine="0"/>
            </w:pPr>
            <w:r>
              <w:rPr>
                <w:sz w:val="18"/>
              </w:rPr>
              <w:t>2024</w:t>
            </w:r>
          </w:p>
        </w:tc>
        <w:tc>
          <w:tcPr>
            <w:tcW w:type="dxa" w:w="780"/>
          </w:tcPr>
          <w:p>
            <w:pPr>
              <w:spacing w:line="240" w:lineRule="auto"/>
              <w:ind w:firstLine="0"/>
            </w:pPr>
            <w:r>
              <w:rPr>
                <w:sz w:val="18"/>
              </w:rPr>
              <w:t>Muddatigacha saqlanadigan qimmatli qog‘ozlar bo‘yicha zararlarni tan olish (foiz stavkasi riski); kengash va boshqaruvning samarasizligi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FDIC OIG, EVAL-25-01</w:t>
            </w:r>
          </w:p>
        </w:tc>
      </w:tr>
      <w:tr>
        <w:tc>
          <w:tcPr>
            <w:tcW w:type="dxa" w:w="780"/>
          </w:tcPr>
          <w:p>
            <w:pPr>
              <w:spacing w:line="240" w:lineRule="auto"/>
              <w:ind w:firstLine="0"/>
            </w:pPr>
            <w:r>
              <w:rPr>
                <w:sz w:val="18"/>
              </w:rPr>
              <w:t>10</w:t>
            </w:r>
          </w:p>
        </w:tc>
        <w:tc>
          <w:tcPr>
            <w:tcW w:type="dxa" w:w="780"/>
          </w:tcPr>
          <w:p>
            <w:pPr>
              <w:spacing w:line="240" w:lineRule="auto"/>
              <w:ind w:firstLine="0"/>
            </w:pPr>
            <w:r>
              <w:rPr>
                <w:sz w:val="18"/>
              </w:rPr>
              <w:t>First National Bank of Lindsay (AQSh)</w:t>
            </w:r>
          </w:p>
        </w:tc>
        <w:tc>
          <w:tcPr>
            <w:tcW w:type="dxa" w:w="780"/>
          </w:tcPr>
          <w:p>
            <w:pPr>
              <w:spacing w:line="240" w:lineRule="auto"/>
              <w:ind w:firstLine="0"/>
            </w:pPr>
            <w:r>
              <w:rPr>
                <w:sz w:val="18"/>
              </w:rPr>
              <w:t>2024</w:t>
            </w:r>
          </w:p>
        </w:tc>
        <w:tc>
          <w:tcPr>
            <w:tcW w:type="dxa" w:w="780"/>
          </w:tcPr>
          <w:p>
            <w:pPr>
              <w:spacing w:line="240" w:lineRule="auto"/>
              <w:ind w:firstLine="0"/>
            </w:pPr>
            <w:r>
              <w:rPr>
                <w:sz w:val="18"/>
              </w:rPr>
              <w:t>Ichki nazoratning keskin buzilishi natijasida kredit portfeli va likvid aktivlarga ta’sir qilgan firibgarlik</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G‘aznachilik OIG, OIG-25-024</w:t>
            </w:r>
          </w:p>
        </w:tc>
      </w:tr>
      <w:tr>
        <w:tc>
          <w:tcPr>
            <w:tcW w:type="dxa" w:w="780"/>
          </w:tcPr>
          <w:p>
            <w:pPr>
              <w:spacing w:line="240" w:lineRule="auto"/>
              <w:ind w:firstLine="0"/>
            </w:pPr>
            <w:r>
              <w:rPr>
                <w:sz w:val="18"/>
              </w:rPr>
              <w:t>11</w:t>
            </w:r>
          </w:p>
        </w:tc>
        <w:tc>
          <w:tcPr>
            <w:tcW w:type="dxa" w:w="780"/>
          </w:tcPr>
          <w:p>
            <w:pPr>
              <w:spacing w:line="240" w:lineRule="auto"/>
              <w:ind w:firstLine="0"/>
            </w:pPr>
            <w:r>
              <w:rPr>
                <w:sz w:val="18"/>
              </w:rPr>
              <w:t>Pulaski Savings Bank (AQSh)</w:t>
            </w:r>
          </w:p>
        </w:tc>
        <w:tc>
          <w:tcPr>
            <w:tcW w:type="dxa" w:w="780"/>
          </w:tcPr>
          <w:p>
            <w:pPr>
              <w:spacing w:line="240" w:lineRule="auto"/>
              <w:ind w:firstLine="0"/>
            </w:pPr>
            <w:r>
              <w:rPr>
                <w:sz w:val="18"/>
              </w:rPr>
              <w:t>2025</w:t>
            </w:r>
          </w:p>
        </w:tc>
        <w:tc>
          <w:tcPr>
            <w:tcW w:type="dxa" w:w="780"/>
          </w:tcPr>
          <w:p>
            <w:pPr>
              <w:spacing w:line="240" w:lineRule="auto"/>
              <w:ind w:firstLine="0"/>
            </w:pPr>
            <w:r>
              <w:rPr>
                <w:sz w:val="18"/>
              </w:rPr>
              <w:t>Kapitalning qadrsizlanishi: buxgalteriya tizimida aks ettirilmagan 20,7 mln dollarlik depozit sertifikatlari; kengash va boshqaruv nazoratining zaifligi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FDIC OIG, REV-25-02, EVAL-26-01</w:t>
            </w:r>
          </w:p>
        </w:tc>
      </w:tr>
      <w:tr>
        <w:tc>
          <w:tcPr>
            <w:tcW w:type="dxa" w:w="780"/>
          </w:tcPr>
          <w:p>
            <w:pPr>
              <w:spacing w:line="240" w:lineRule="auto"/>
              <w:ind w:firstLine="0"/>
            </w:pPr>
            <w:r>
              <w:rPr>
                <w:sz w:val="18"/>
              </w:rPr>
              <w:t>12</w:t>
            </w:r>
          </w:p>
        </w:tc>
        <w:tc>
          <w:tcPr>
            <w:tcW w:type="dxa" w:w="780"/>
          </w:tcPr>
          <w:p>
            <w:pPr>
              <w:spacing w:line="240" w:lineRule="auto"/>
              <w:ind w:firstLine="0"/>
            </w:pPr>
            <w:r>
              <w:rPr>
                <w:sz w:val="18"/>
              </w:rPr>
              <w:t>Santa Anna National Bank (AQSh)</w:t>
            </w:r>
          </w:p>
        </w:tc>
        <w:tc>
          <w:tcPr>
            <w:tcW w:type="dxa" w:w="780"/>
          </w:tcPr>
          <w:p>
            <w:pPr>
              <w:spacing w:line="240" w:lineRule="auto"/>
              <w:ind w:firstLine="0"/>
            </w:pPr>
            <w:r>
              <w:rPr>
                <w:sz w:val="18"/>
              </w:rPr>
              <w:t>2025</w:t>
            </w:r>
          </w:p>
        </w:tc>
        <w:tc>
          <w:tcPr>
            <w:tcW w:type="dxa" w:w="780"/>
          </w:tcPr>
          <w:p>
            <w:pPr>
              <w:spacing w:line="240" w:lineRule="auto"/>
              <w:ind w:firstLine="0"/>
            </w:pPr>
            <w:r>
              <w:rPr>
                <w:sz w:val="18"/>
              </w:rPr>
              <w:t>Ichki nazoratning keskin buzilishi natijasida kredit portfeliga ta’sir qilgan firibgarlik; kengash nazoratining zaifligi</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t>+</w:t>
            </w:r>
          </w:p>
        </w:tc>
        <w:tc>
          <w:tcPr>
            <w:tcW w:type="dxa" w:w="780"/>
          </w:tcPr>
          <w:p>
            <w:pPr>
              <w:spacing w:line="240" w:lineRule="auto"/>
              <w:ind w:firstLine="0"/>
            </w:pPr>
            <w:r>
              <w:rPr>
                <w:sz w:val="18"/>
              </w:rPr>
              <w:t>+</w:t>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r>
          </w:p>
        </w:tc>
        <w:tc>
          <w:tcPr>
            <w:tcW w:type="dxa" w:w="780"/>
          </w:tcPr>
          <w:p>
            <w:pPr>
              <w:spacing w:line="240" w:lineRule="auto"/>
              <w:ind w:firstLine="0"/>
            </w:pPr>
            <w:r>
              <w:rPr>
                <w:sz w:val="18"/>
              </w:rPr>
              <w:t>G‘aznachilik OIG, OIG-26-023</w:t>
            </w:r>
          </w:p>
        </w:tc>
      </w:tr>
      <w:tr>
        <w:tc>
          <w:tcPr>
            <w:tcW w:type="dxa" w:w="780"/>
          </w:tcPr>
          <w:p>
            <w:pPr>
              <w:spacing w:line="240" w:lineRule="auto"/>
              <w:ind w:firstLine="0"/>
            </w:pPr>
            <w:r>
              <w:rPr>
                <w:sz w:val="18"/>
              </w:rPr>
            </w:r>
          </w:p>
        </w:tc>
        <w:tc>
          <w:tcPr>
            <w:tcW w:type="dxa" w:w="780"/>
          </w:tcPr>
          <w:p>
            <w:pPr>
              <w:spacing w:line="240" w:lineRule="auto"/>
              <w:ind w:firstLine="0"/>
            </w:pPr>
            <w:r>
              <w:rPr>
                <w:sz w:val="18"/>
              </w:rPr>
              <w:t>Jami, %</w:t>
            </w:r>
          </w:p>
        </w:tc>
        <w:tc>
          <w:tcPr>
            <w:tcW w:type="dxa" w:w="780"/>
          </w:tcPr>
          <w:p>
            <w:pPr>
              <w:spacing w:line="240" w:lineRule="auto"/>
              <w:ind w:firstLine="0"/>
            </w:pPr>
            <w:r>
              <w:rPr>
                <w:sz w:val="18"/>
              </w:rPr>
            </w:r>
          </w:p>
        </w:tc>
        <w:tc>
          <w:tcPr>
            <w:tcW w:type="dxa" w:w="780"/>
          </w:tcPr>
          <w:p>
            <w:pPr>
              <w:spacing w:line="240" w:lineRule="auto"/>
              <w:ind w:firstLine="0"/>
            </w:pPr>
            <w:r>
              <w:rPr>
                <w:sz w:val="18"/>
              </w:rPr>
              <w:t>12 ta bank bo‘yicha ulush</w:t>
            </w:r>
          </w:p>
        </w:tc>
        <w:tc>
          <w:tcPr>
            <w:tcW w:type="dxa" w:w="780"/>
          </w:tcPr>
          <w:p>
            <w:pPr>
              <w:spacing w:line="240" w:lineRule="auto"/>
              <w:ind w:firstLine="0"/>
            </w:pPr>
            <w:r>
              <w:rPr>
                <w:sz w:val="18"/>
              </w:rPr>
              <w:t>58</w:t>
            </w:r>
          </w:p>
        </w:tc>
        <w:tc>
          <w:tcPr>
            <w:tcW w:type="dxa" w:w="780"/>
          </w:tcPr>
          <w:p>
            <w:pPr>
              <w:spacing w:line="240" w:lineRule="auto"/>
              <w:ind w:firstLine="0"/>
            </w:pPr>
            <w:r>
              <w:rPr>
                <w:sz w:val="18"/>
              </w:rPr>
              <w:t>17</w:t>
            </w:r>
          </w:p>
        </w:tc>
        <w:tc>
          <w:tcPr>
            <w:tcW w:type="dxa" w:w="780"/>
          </w:tcPr>
          <w:p>
            <w:pPr>
              <w:spacing w:line="240" w:lineRule="auto"/>
              <w:ind w:firstLine="0"/>
            </w:pPr>
            <w:r>
              <w:rPr>
                <w:sz w:val="18"/>
              </w:rPr>
              <w:t>33</w:t>
            </w:r>
          </w:p>
        </w:tc>
        <w:tc>
          <w:tcPr>
            <w:tcW w:type="dxa" w:w="780"/>
          </w:tcPr>
          <w:p>
            <w:pPr>
              <w:spacing w:line="240" w:lineRule="auto"/>
              <w:ind w:firstLine="0"/>
            </w:pPr>
            <w:r>
              <w:rPr>
                <w:sz w:val="18"/>
              </w:rPr>
              <w:t>33</w:t>
            </w:r>
          </w:p>
        </w:tc>
        <w:tc>
          <w:tcPr>
            <w:tcW w:type="dxa" w:w="780"/>
          </w:tcPr>
          <w:p>
            <w:pPr>
              <w:spacing w:line="240" w:lineRule="auto"/>
              <w:ind w:firstLine="0"/>
            </w:pPr>
            <w:r>
              <w:rPr>
                <w:sz w:val="18"/>
              </w:rPr>
              <w:t>33</w:t>
            </w:r>
          </w:p>
        </w:tc>
        <w:tc>
          <w:tcPr>
            <w:tcW w:type="dxa" w:w="780"/>
          </w:tcPr>
          <w:p>
            <w:pPr>
              <w:spacing w:line="240" w:lineRule="auto"/>
              <w:ind w:firstLine="0"/>
            </w:pPr>
            <w:r>
              <w:rPr>
                <w:sz w:val="18"/>
              </w:rPr>
              <w:t>25</w:t>
            </w:r>
          </w:p>
        </w:tc>
        <w:tc>
          <w:tcPr>
            <w:tcW w:type="dxa" w:w="780"/>
          </w:tcPr>
          <w:p>
            <w:pPr>
              <w:spacing w:line="240" w:lineRule="auto"/>
              <w:ind w:firstLine="0"/>
            </w:pPr>
            <w:r>
              <w:rPr>
                <w:sz w:val="18"/>
              </w:rPr>
              <w:t>8</w:t>
            </w:r>
          </w:p>
        </w:tc>
        <w:tc>
          <w:tcPr>
            <w:tcW w:type="dxa" w:w="780"/>
          </w:tcPr>
          <w:p>
            <w:pPr>
              <w:spacing w:line="240" w:lineRule="auto"/>
              <w:ind w:firstLine="0"/>
            </w:pPr>
            <w:r>
              <w:rPr>
                <w:sz w:val="18"/>
              </w:rPr>
            </w:r>
          </w:p>
        </w:tc>
      </w:tr>
    </w:tbl>
    <w:p>
      <w:pPr>
        <w:ind w:firstLine="0"/>
        <w:jc w:val="both"/>
      </w:pPr>
      <w:r>
        <w:rPr>
          <w:b w:val="0"/>
          <w:i/>
          <w:sz w:val="20"/>
        </w:rPr>
        <w:t>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pPr>
        <w:ind w:firstLine="0"/>
        <w:jc w:val="both"/>
      </w:pPr>
      <w:r>
        <w:rPr>
          <w:b w:val="0"/>
          <w:i/>
          <w:sz w:val="20"/>
        </w:rPr>
        <w:t>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p>
      <w:r>
        <w:br w:type="page"/>
      </w:r>
    </w:p>
    <w:p>
      <w:pPr>
        <w:ind w:firstLine="0"/>
        <w:jc w:val="center"/>
      </w:pPr>
      <w:r>
        <w:rPr>
          <w:b/>
          <w:i w:val="0"/>
          <w:sz w:val="28"/>
        </w:rPr>
        <w:t>Sahifa osti snoskalari</w:t>
      </w:r>
    </w:p>
    <w:p>
      <w:pPr>
        <w:ind w:firstLine="0"/>
        <w:jc w:val="both"/>
      </w:pPr>
      <w:r>
        <w:rPr>
          <w:b w:val="0"/>
          <w:i w:val="0"/>
          <w:sz w:val="22"/>
        </w:rPr>
        <w:t>[1]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p>
      <w:pPr>
        <w:ind w:firstLine="0"/>
        <w:jc w:val="both"/>
      </w:pPr>
      <w:r>
        <w:rPr>
          <w:b w:val="0"/>
          <w:i w:val="0"/>
          <w:sz w:val="22"/>
        </w:rPr>
        <w:t>[2] Correia S., Luck S., Verner E. Failing Banks // Quarterly Journal of Economics. – 2026. – Vol. 141, No. 1. – P. 147–204; ishchi varianti: arXiv:2506.06082. – 2025. – P. 1, 52.</w:t>
      </w:r>
    </w:p>
    <w:p>
      <w:pPr>
        <w:ind w:firstLine="0"/>
        <w:jc w:val="both"/>
      </w:pPr>
      <w:r>
        <w:rPr>
          <w:b w:val="0"/>
          <w:i w:val="0"/>
          <w:sz w:val="22"/>
        </w:rPr>
        <w:t>[3] Tadqiqot natijasida muallif tomonidan quyidagi manbalar asosida ishlab chiqildi: 1979–1987-yillar – Оценка финансовой устойчивости кредитной организации: учебник / под ред. О.И. Лаврушина, И.Д. Мамоновой. – М.: КНОРУС, 2011. – С. 44; 2008–2010-yillar – Board of Governors of the Federal Reserve System, Office of Inspector General. Summary Analysis of Failed Bank Reviews. – Washington, DC, September 2011. – P. 8–10, 47 (Federal rezerv tizimi nazoratidagi faoliyati to‘xtatilgan 20 ta bank); 2021–2025-yillar – 9-ilovada keltirilgan rasmiy hisobotlar asosida (12 ta bank). Bir bankda bir nechta sabab qayd etilishi mumkin; ustunning yo‘qligi tegishli tadqiqotda bu sabab alohida baholanmaganini bildiradi.</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1979–1987-yillar (AQSh)</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Sheet1!$B$2:$B$8</c:f>
              <c:numCache>
                <c:formatCode>General</c:formatCode>
                <c:ptCount val="7"/>
                <c:pt idx="0">
                  <c:v>90</c:v>
                </c:pt>
                <c:pt idx="1">
                  <c:v>98</c:v>
                </c:pt>
                <c:pt idx="2">
                  <c:v>25</c:v>
                </c:pt>
                <c:pt idx="3">
                  <c:v>11</c:v>
                </c:pt>
              </c:numCache>
            </c:numRef>
          </c:val>
        </c:ser>
        <c:ser>
          <c:idx val="1"/>
          <c:order val="1"/>
          <c:tx>
            <c:strRef>
              <c:f>Sheet1!$C$1</c:f>
              <c:strCache>
                <c:ptCount val="1"/>
                <c:pt idx="0">
                  <c:v>2008–2010-yillar (AQSh)</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Sheet1!$C$2:$C$8</c:f>
              <c:numCache>
                <c:formatCode>General</c:formatCode>
                <c:ptCount val="7"/>
                <c:pt idx="0">
                  <c:v>100</c:v>
                </c:pt>
                <c:pt idx="1">
                  <c:v>100</c:v>
                </c:pt>
                <c:pt idx="2">
                  <c:v>80</c:v>
                </c:pt>
                <c:pt idx="4">
                  <c:v>50</c:v>
                </c:pt>
              </c:numCache>
            </c:numRef>
          </c:val>
        </c:ser>
        <c:ser>
          <c:idx val="2"/>
          <c:order val="2"/>
          <c:tx>
            <c:strRef>
              <c:f>Sheet1!$D$1</c:f>
              <c:strCache>
                <c:ptCount val="1"/>
                <c:pt idx="0">
                  <c:v>2021–2025-yillar (“Katta yettilik”, 12 ta bank)</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Sheet1!$D$2:$D$8</c:f>
              <c:numCache>
                <c:formatCode>General</c:formatCode>
                <c:ptCount val="7"/>
                <c:pt idx="0">
                  <c:v>58</c:v>
                </c:pt>
                <c:pt idx="1">
                  <c:v>17</c:v>
                </c:pt>
                <c:pt idx="2">
                  <c:v>33</c:v>
                </c:pt>
                <c:pt idx="3">
                  <c:v>33</c:v>
                </c:pt>
                <c:pt idx="4">
                  <c:v>33</c:v>
                </c:pt>
                <c:pt idx="5">
                  <c:v>25</c:v>
                </c:pt>
                <c:pt idx="6">
                  <c:v>8</c:v>
                </c:pt>
              </c:numCache>
            </c:numRef>
          </c:val>
        </c:ser>
        <c:gapWidth val="5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