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</w:rPr>
        <w:t>Sinf chegaralari: 3.2-§ (namuna)</w:t>
      </w:r>
    </w:p>
    <w:p>
      <w:pPr>
        <w:jc w:val="both"/>
      </w:pPr>
      <w:r>
        <w:rPr>
          <w:b/>
          <w:strike w:val="0"/>
        </w:rPr>
        <w:t>1) 3.2.4-jadvaldan oldingi xatboshida:</w:t>
      </w:r>
    </w:p>
    <w:p>
      <w:pPr>
        <w:jc w:val="both"/>
      </w:pPr>
      <w:r>
        <w:rPr>
          <w:b w:val="0"/>
          <w:strike w:val="0"/>
        </w:rPr>
        <w:t xml:space="preserve">Vaznlardan tashqari, integral indeksning ikkinchi metodik elementi – barqarorlik sinflari chegaralari, ya’ni 3,25; 2,5 va 1,75 ball hisoblanadi. </w:t>
      </w:r>
      <w:r>
        <w:rPr>
          <w:b w:val="0"/>
          <w:strike/>
          <w:color w:val="7F7F7F"/>
        </w:rPr>
        <w:t>Ular ham 3.1-paragrafda me’yoriy talablar asosida belgilangan edi.</w:t>
      </w:r>
      <w:r>
        <w:rPr>
          <w:b w:val="0"/>
          <w:strike w:val="0"/>
        </w:rPr>
        <w:t xml:space="preserve"> </w:t>
      </w:r>
      <w:r>
        <w:rPr>
          <w:b w:val="0"/>
          <w:strike w:val="0"/>
          <w:color w:val="FF0000"/>
        </w:rPr>
        <w:t>Ular 3.1-paragrafda 1–4 ballik shkalani teng to‘rt oraliqqa bo‘lish yo‘li bilan oldindan belgilangan edi.</w:t>
      </w:r>
      <w:r>
        <w:rPr>
          <w:b w:val="0"/>
          <w:strike w:val="0"/>
        </w:rPr>
        <w:t xml:space="preserve"> Ularni empirik tekshirish uchun …</w:t>
      </w:r>
    </w:p>
    <w:p>
      <w:pPr>
        <w:jc w:val="both"/>
      </w:pPr>
      <w:r>
        <w:rPr>
          <w:b/>
          <w:strike w:val="0"/>
        </w:rPr>
        <w:t>2) 3.2.4-jadval tahlili oxirida:</w:t>
      </w:r>
    </w:p>
    <w:p>
      <w:pPr>
        <w:jc w:val="both"/>
      </w:pPr>
      <w:r>
        <w:rPr>
          <w:b w:val="0"/>
          <w:strike w:val="0"/>
        </w:rPr>
        <w:t xml:space="preserve">… 4.1-paragrafda ko‘rsatiladiganidek, 2,75 balldan past bo‘lgan banklarda muammo ehtimoli keskin oshadi, </w:t>
      </w:r>
      <w:r>
        <w:rPr>
          <w:b w:val="0"/>
          <w:strike w:val="0"/>
        </w:rPr>
        <w:t>shu sababli erta ogohlantirish tizimida II sinf ikki zonaga ajratilgan.</w:t>
      </w:r>
      <w:r>
        <w:rPr>
          <w:b w:val="0"/>
          <w:strike w:val="0"/>
          <w:color w:val="FF0000"/>
        </w:rPr>
        <w:t xml:space="preserve"> Sinflar chegaralari MBII-13 va MBII-8 uchun bir xil bo‘lib, ular MBII-8 bo‘yicha tekshirildi, chunki 25 ta bank panelida kuzatuvlar soni yetarli. MBII-13 bo‘yicha beshta bankning 2021–2024-yillardagi 20 ta kuzatuvida ham natija shu yo‘nalishda: keyingi yilda muammo hodisasi I sinfdagi 2 ta kuzatuvda kuzatilmagan, II sinfdagi 12 ta kuzatuvning 2 tasida (17 foiz), III sinfdagi 6 ta kuzatuvning 2 tasida (33 foiz) yuz bergan. Masalan, 2023-yilda III sinfda bo‘lgan “Mikrokreditbank” va “Biznesni rivojlantirish banki” ATBlarida 2024-yilda yirik zarar qayd etilgan. Kuzatuvlar soni kamligi sababli bu natija statistik dalil emas, balki MBII-8 bo‘yicha olingan xulosani tasdiqlovchi qo‘shimcha tekshiruv hisoblanadi.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