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 w:before="0" w:after="0"/>
        <w:ind w:firstLine="0"/>
        <w:jc w:val="center"/>
      </w:pPr>
      <w:r xmlns:a="http://schemas.openxmlformats.org/drawingml/2006/main" xmlns:c="http://schemas.openxmlformats.org/drawingml/2006/chart">
        <w:rPr>
          <w:noProof/>
        </w:rPr>
        <w:drawing>
          <wp:inline distT="0" distB="0" distL="0" distR="0">
            <wp:extent cx="5760000" cy="2880000"/>
            <wp:effectExtent l="0" t="0" r="0" b="0"/>
            <wp:docPr id="1001" name="2.2.7-rasm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/>
          <w:sz w:val="24"/>
        </w:rPr>
        <w:t>2.2.7-rasm. «O‘zsanoatqurilishbank» ATB, «Mikrokreditbank» ATB va «Aloqabank» ATB da MHXS 9 bo‘yicha 3-bosqich kreditlari va rasmiy muammoli kreditlar ulushi, %</w:t>
      </w:r>
    </w:p>
    <w:p>
      <w:r>
        <w:rPr>
          <w:rFonts w:ascii="Times New Roman" w:hAnsi="Times New Roman"/>
          <w:i/>
          <w:sz w:val="22"/>
        </w:rPr>
        <w:t>Namuna (ko‘rish uchun): 16×8 sm o‘lchamda 6 ta ustun – har bir yil uchun uch bankning ikki ko‘rsatkichi. Aloqabank ma’lumotlari: muallif hisob-kitobi (prudensial shakllar va MHXS hisobotlari).</w:t>
      </w:r>
    </w:p>
    <w:sectPr w:rsidR="00FC693F" w:rsidRPr="0006063C" w:rsidSect="00034616">
      <w:pgSz w:w="11906" w:h="16838"/>
      <w:pgMar w:top="1440" w:right="85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uz-Latn-UZ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SQB: rasmiy muammoli kreditlar</c:v>
                </c:pt>
              </c:strCache>
            </c:strRef>
          </c:tx>
          <c:spPr>
            <a:solidFill>
              <a:srgbClr val="9DC3E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3.8</c:v>
                </c:pt>
                <c:pt idx="1">
                  <c:v>2.8</c:v>
                </c:pt>
                <c:pt idx="2">
                  <c:v>2.2</c:v>
                </c:pt>
                <c:pt idx="3">
                  <c:v>2.8</c:v>
                </c:pt>
                <c:pt idx="4">
                  <c:v>2.5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SQB: MHXS 9 bo‘yicha 3-bosqich</c:v>
                </c:pt>
              </c:strCache>
            </c:strRef>
          </c:tx>
          <c:spPr>
            <a:solidFill>
              <a:srgbClr val="2E75B6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6.2</c:v>
                </c:pt>
                <c:pt idx="1">
                  <c:v>7.4</c:v>
                </c:pt>
                <c:pt idx="2">
                  <c:v>4.8</c:v>
                </c:pt>
                <c:pt idx="3">
                  <c:v>5.9</c:v>
                </c:pt>
                <c:pt idx="4">
                  <c:v>7.5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MKB: rasmiy muammoli kreditlar</c:v>
                </c:pt>
              </c:strCache>
            </c:strRef>
          </c:tx>
          <c:spPr>
            <a:solidFill>
              <a:srgbClr val="A9D18E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5.9</c:v>
                </c:pt>
                <c:pt idx="1">
                  <c:v>4.8</c:v>
                </c:pt>
                <c:pt idx="2">
                  <c:v>6.0</c:v>
                </c:pt>
                <c:pt idx="3">
                  <c:v>4.6</c:v>
                </c:pt>
                <c:pt idx="4">
                  <c:v>4.4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MKB: MHXS 9 bo‘yicha 3-bosqich</c:v>
                </c:pt>
              </c:strCache>
            </c:strRef>
          </c:tx>
          <c:spPr>
            <a:solidFill>
              <a:srgbClr val="38761D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Sheet1!$E$2:$E$6</c:f>
              <c:numCache>
                <c:formatCode>General</c:formatCode>
                <c:ptCount val="5"/>
                <c:pt idx="0">
                  <c:v>17.4</c:v>
                </c:pt>
                <c:pt idx="1">
                  <c:v>13.5</c:v>
                </c:pt>
                <c:pt idx="2">
                  <c:v>16.6</c:v>
                </c:pt>
                <c:pt idx="3">
                  <c:v>15.2</c:v>
                </c:pt>
                <c:pt idx="4">
                  <c:v>12.3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Aloqabank: rasmiy muammoli kreditlar</c:v>
                </c:pt>
              </c:strCache>
            </c:strRef>
          </c:tx>
          <c:spPr>
            <a:solidFill>
              <a:srgbClr val="F4B183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Sheet1!$F$2:$F$6</c:f>
              <c:numCache>
                <c:formatCode>General</c:formatCode>
                <c:ptCount val="5"/>
                <c:pt idx="0">
                  <c:v>4.1</c:v>
                </c:pt>
                <c:pt idx="1">
                  <c:v>2.0</c:v>
                </c:pt>
                <c:pt idx="2">
                  <c:v>1.5</c:v>
                </c:pt>
                <c:pt idx="3">
                  <c:v>1.9</c:v>
                </c:pt>
                <c:pt idx="4">
                  <c:v>2.5</c:v>
                </c:pt>
              </c:numCache>
            </c:numRef>
          </c:val>
        </c:ser>
        <c:ser>
          <c:idx val="5"/>
          <c:order val="5"/>
          <c:tx>
            <c:strRef>
              <c:f>Sheet1!$G$1</c:f>
              <c:strCache>
                <c:ptCount val="1"/>
                <c:pt idx="0">
                  <c:v>Aloqabank: MHXS 9 bo‘yicha 3-bosqich</c:v>
                </c:pt>
              </c:strCache>
            </c:strRef>
          </c:tx>
          <c:spPr>
            <a:solidFill>
              <a:srgbClr val="C55A11"/>
            </a:solidFill>
            <a:ln w="6350">
              <a:solidFill>
                <a:srgbClr val="FFFFFF"/>
              </a:solidFill>
            </a:ln>
          </c:spPr>
          <c:invertIfNegative val="0"/>
          <c:dLbls>
            <c:numFmt formatCode="0.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1050" b="1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endParaRPr lang="uz-Latn-UZ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Sheet1!$G$2:$G$6</c:f>
              <c:numCache>
                <c:formatCode>General</c:formatCode>
                <c:ptCount val="5"/>
                <c:pt idx="0">
                  <c:v>10.0</c:v>
                </c:pt>
                <c:pt idx="1">
                  <c:v>9.9</c:v>
                </c:pt>
                <c:pt idx="2">
                  <c:v>6.1</c:v>
                </c:pt>
                <c:pt idx="3">
                  <c:v>7.5</c:v>
                </c:pt>
                <c:pt idx="4">
                  <c:v>7.2</c:v>
                </c:pt>
              </c:numCache>
            </c:numRef>
          </c:val>
        </c:ser>
        <c:gapWidth val="40"/>
        <c:axId val="111"/>
        <c:axId val="222"/>
      </c:barChart>
      <c:catAx>
        <c:axId val="111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 rot="0" vert="horz"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222"/>
        <c:crosses val="autoZero"/>
        <c:auto val="1"/>
        <c:lblAlgn val="ctr"/>
        <c:lblOffset val="100"/>
        <c:tickLblSkip val="1"/>
        <c:noMultiLvlLbl val="0"/>
      </c:catAx>
      <c:valAx>
        <c:axId val="222"/>
        <c:scaling>
          <c:orientation val="minMax"/>
          <c:max val="20"/>
          <c:min val="0"/>
        </c:scaling>
        <c:delete val="0"/>
        <c:axPos val="l"/>
        <c:majorGridlines>
          <c:spPr>
            <a:ln w="6350">
              <a:solidFill>
                <a:srgbClr val="D9D9D9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1100" b="0">
                    <a:solidFill>
                      <a:srgbClr val="000000"/>
                    </a:solidFill>
                    <a:latin typeface="Times New Roman"/>
                    <a:cs typeface="Times New Roman"/>
                  </a:defRPr>
                </a:pPr>
                <a:r>
                  <a:rPr lang="uz-Latn-UZ" sz="1100" b="0">
                    <a:solidFill>
                      <a:srgbClr val="000000"/>
                    </a:solidFill>
                    <a:latin typeface="Times New Roman"/>
                  </a:rPr>
                  <a:t>Jami kreditlarga nisbatan, %</a:t>
                </a:r>
              </a:p>
            </c:rich>
          </c:tx>
          <c:overlay val="0"/>
        </c:title>
        <c:numFmt formatCode="General" sourceLinked="0"/>
        <c:majorTickMark val="out"/>
        <c:minorTickMark val="none"/>
        <c:tickLblPos val="low"/>
        <c:spPr>
          <a:ln w="9525">
            <a:solidFill>
              <a:srgbClr val="595959"/>
            </a:solidFill>
          </a:ln>
        </c:spPr>
        <c:txPr>
          <a:bodyPr/>
          <a:lstStyle/>
          <a:p>
            <a:pPr>
              <a:defRPr sz="1100" b="0">
                <a:solidFill>
                  <a:srgbClr val="000000"/>
                </a:solidFill>
                <a:latin typeface="Times New Roman"/>
                <a:cs typeface="Times New Roman"/>
              </a:defRPr>
            </a:pPr>
            <a:endParaRPr lang="uz-Latn-UZ"/>
          </a:p>
        </c:txPr>
        <c:crossAx val="111"/>
        <c:crosses val="autoZero"/>
        <c:crossBetween val="between"/>
        <c:majorUnit val="4"/>
      </c:valAx>
      <c:spPr>
        <a:noFill/>
        <a:ln>
          <a:noFill/>
        </a:ln>
      </c:spPr>
    </c:plotArea>
    <c:legend>
      <c:legendPos val="b"/>
      <c:overlay val="0"/>
      <c:txPr>
        <a:bodyPr/>
        <a:lstStyle/>
        <a:p>
          <a:pPr>
            <a:defRPr sz="1050" b="0">
              <a:solidFill>
                <a:srgbClr val="000000"/>
              </a:solidFill>
              <a:latin typeface="Times New Roman"/>
              <a:cs typeface="Times New Roman"/>
            </a:defRPr>
          </a:pPr>
          <a:endParaRPr lang="uz-Latn-UZ"/>
        </a:p>
      </c:txPr>
    </c:legend>
    <c:plotVisOnly val="1"/>
    <c:dispBlanksAs val="gap"/>
  </c:chart>
  <c:spPr>
    <a:solidFill>
      <a:srgbClr val="FFFFFF"/>
    </a:solidFill>
    <a:ln>
      <a:noFill/>
    </a:ln>
  </c:spPr>
  <c:txPr>
    <a:bodyPr/>
    <a:lstStyle/>
    <a:p>
      <a:pPr>
        <a:defRPr sz="1100" b="0">
          <a:solidFill>
            <a:srgbClr val="000000"/>
          </a:solidFill>
          <a:latin typeface="Times New Roman"/>
          <a:cs typeface="Times New Roman"/>
        </a:defRPr>
      </a:pPr>
      <a:endParaRPr lang="uz-Latn-UZ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