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HISOBOTNING XALQARO STANDARTLARI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MHXS405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 Moliyaviy hisobotning xalqaro standartlarini (MHXS) qo‘llaydigan korxona va tashkilotlarda MHXS asosida moliyaviy hisobotlarni tayyorlash va taqdim etish bo‘yicha talabalarda nazariy va amaliy bilimlar hamda kompetensiyalarni rivojlantirishdan iborat. MHXSni xalqaro darajada (ISA) chuqur o‘rganishni ta’minlovchi ushbu dastur buxgalterlarni xalqaro sertifikatlash doirasidagi “Moliyaviy hisobotning xalqaro standartlari” fani talablarini ham to‘liq qamrab oladi.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hisobotning xalqaro standartlari bilan tanishish;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Moliyaviy hisobotning xalqaro standartlariga oid umumiy masalalar haqida tasavvurga ega bo‘lishi kerak.</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Daromadlarni hisobga olish standartlarining tavsifi;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Nomoliyaviy aktivlarni hisobga olish standartlarining tavsifi;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Baholashda hisobga olinadigan standartlarning tavsifi;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Nomoliyaviy majburiyatlarni hisobga oluvchi standartlarning tavsifini bilishi va ulardan foydalana olishi kerak.</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instrumentlarni hisobga olish standartlarining tavsifi;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Konsolidatsiya asoslarini hisobga oluvchi standartlarning tavsifi;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Moliyaviy hisobotlarni transformatsiya qilish ko‘nikmalariga ega bo‘lishi kerak.</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hisobotning xalqaro standartlarini tartibga soluvchi normativ-huquqiy baza:</w:t>
            </w:r>
            <w:r>
              <w:rPr>
                <w:rFonts w:ascii="Arial" w:hAnsi="Arial" w:cs="Arial" w:eastAsia="Arial"/>
                <w:b w:val="0"/>
                <w:sz w:val="28"/>
              </w:rPr>
              <w:t xml:space="preserve"> MHXSning tuzilishi, ishlab chiqilishi, qabul qilinish jarayoni va ularning me’yoriy muhiti bilan tanishtirish.</w:t>
            </w:r>
          </w:p>
          <w:p>
            <w:pPr>
              <w:spacing w:before="0" w:after="0" w:line="240" w:lineRule="auto"/>
              <w:jc w:val="both"/>
            </w:pPr>
            <w:r>
              <w:rPr>
                <w:rFonts w:ascii="Arial" w:hAnsi="Arial" w:cs="Arial" w:eastAsia="Arial"/>
                <w:b/>
                <w:sz w:val="28"/>
              </w:rPr>
              <w:t>L2. Moliyaviy hisobotning konseptual asoslari:</w:t>
            </w:r>
            <w:r>
              <w:rPr>
                <w:rFonts w:ascii="Arial" w:hAnsi="Arial" w:cs="Arial" w:eastAsia="Arial"/>
                <w:b w:val="0"/>
                <w:sz w:val="28"/>
              </w:rPr>
              <w:t xml:space="preserve"> MHXS Konseptual asoslariga muvofiq moliyaviy hisobotlarning maqsadlari, tamoyillari va sifat xususiyatlarini tushuntirish.</w:t>
            </w:r>
          </w:p>
          <w:p>
            <w:pPr>
              <w:spacing w:before="0" w:after="0" w:line="240" w:lineRule="auto"/>
              <w:jc w:val="both"/>
            </w:pPr>
            <w:r>
              <w:rPr>
                <w:rFonts w:ascii="Arial" w:hAnsi="Arial" w:cs="Arial" w:eastAsia="Arial"/>
                <w:b/>
                <w:sz w:val="28"/>
              </w:rPr>
              <w:t>L3. Asosiy vositalar:</w:t>
            </w:r>
            <w:r>
              <w:rPr>
                <w:rFonts w:ascii="Arial" w:hAnsi="Arial" w:cs="Arial" w:eastAsia="Arial"/>
                <w:b w:val="0"/>
                <w:sz w:val="28"/>
              </w:rPr>
              <w:t xml:space="preserve"> IAS 16 ga muvofiq asosiy vositalarni tan olish, dastlabki va keyingi baholash, eskirish va hisobdan chiqarish.</w:t>
            </w:r>
          </w:p>
          <w:p>
            <w:pPr>
              <w:spacing w:before="0" w:after="0" w:line="240" w:lineRule="auto"/>
              <w:jc w:val="both"/>
            </w:pPr>
            <w:r>
              <w:rPr>
                <w:rFonts w:ascii="Arial" w:hAnsi="Arial" w:cs="Arial" w:eastAsia="Arial"/>
                <w:b/>
                <w:sz w:val="28"/>
              </w:rPr>
              <w:t>L4. Nomoddiy aktivlar:</w:t>
            </w:r>
            <w:r>
              <w:rPr>
                <w:rFonts w:ascii="Arial" w:hAnsi="Arial" w:cs="Arial" w:eastAsia="Arial"/>
                <w:b w:val="0"/>
                <w:sz w:val="28"/>
              </w:rPr>
              <w:t xml:space="preserve"> Tadqiqot va ishlanmalar xarajatlari, nomoddiy aktivlarning amortizatsiyasi va qadrsizlanishini hisobga olish tartibi (IAS 38).</w:t>
            </w:r>
          </w:p>
          <w:p>
            <w:pPr>
              <w:spacing w:before="0" w:after="0" w:line="240" w:lineRule="auto"/>
              <w:jc w:val="both"/>
            </w:pPr>
            <w:r>
              <w:rPr>
                <w:rFonts w:ascii="Arial" w:hAnsi="Arial" w:cs="Arial" w:eastAsia="Arial"/>
                <w:b/>
                <w:sz w:val="28"/>
              </w:rPr>
              <w:t>L5. Aktivlarning qadrsizlanishi:</w:t>
            </w:r>
            <w:r>
              <w:rPr>
                <w:rFonts w:ascii="Arial" w:hAnsi="Arial" w:cs="Arial" w:eastAsia="Arial"/>
                <w:b w:val="0"/>
                <w:sz w:val="28"/>
              </w:rPr>
              <w:t xml:space="preserve"> Qadrsizlanish testini o‘tkazish metodologiyasi, qoplanadigan summani hisoblash va qadrsizlanishdan ko‘rilgan zararlarni tan olish (IAS 36).</w:t>
            </w:r>
          </w:p>
          <w:p>
            <w:pPr>
              <w:spacing w:before="0" w:after="0" w:line="240" w:lineRule="auto"/>
              <w:jc w:val="both"/>
            </w:pPr>
            <w:r>
              <w:rPr>
                <w:rFonts w:ascii="Arial" w:hAnsi="Arial" w:cs="Arial" w:eastAsia="Arial"/>
                <w:b/>
                <w:sz w:val="28"/>
              </w:rPr>
              <w:t>L6. Sotish uchun saqlanayotgan uzoq muddatli aktivlar:</w:t>
            </w:r>
            <w:r>
              <w:rPr>
                <w:rFonts w:ascii="Arial" w:hAnsi="Arial" w:cs="Arial" w:eastAsia="Arial"/>
                <w:b w:val="0"/>
                <w:sz w:val="28"/>
              </w:rPr>
              <w:t xml:space="preserve"> Tasniflash, balans qiymati va sotish xarajatlari chegirilgan adolatli qiymatning eng kichigi bo‘yicha baholash (IFRS 5).</w:t>
            </w:r>
          </w:p>
          <w:p>
            <w:pPr>
              <w:spacing w:before="0" w:after="0" w:line="240" w:lineRule="auto"/>
              <w:jc w:val="both"/>
            </w:pPr>
            <w:r>
              <w:rPr>
                <w:rFonts w:ascii="Arial" w:hAnsi="Arial" w:cs="Arial" w:eastAsia="Arial"/>
                <w:b/>
                <w:sz w:val="28"/>
              </w:rPr>
              <w:t>L7. Ijara hisobi:</w:t>
            </w:r>
            <w:r>
              <w:rPr>
                <w:rFonts w:ascii="Arial" w:hAnsi="Arial" w:cs="Arial" w:eastAsia="Arial"/>
                <w:b w:val="0"/>
                <w:sz w:val="28"/>
              </w:rPr>
              <w:t xml:space="preserve"> IFRS 16 bo‘yicha ijarachi va ijaraga beruvchi hisobi, foydalanish huquqi shaklidagi aktivlar va ijara majburiyatlari.</w:t>
            </w:r>
          </w:p>
          <w:p>
            <w:pPr>
              <w:spacing w:before="0" w:after="0" w:line="240" w:lineRule="auto"/>
              <w:jc w:val="both"/>
            </w:pPr>
            <w:r>
              <w:rPr>
                <w:rFonts w:ascii="Arial" w:hAnsi="Arial" w:cs="Arial" w:eastAsia="Arial"/>
                <w:b/>
                <w:sz w:val="28"/>
              </w:rPr>
              <w:t>L8. Tovar-moddiy zaxiralar:</w:t>
            </w:r>
            <w:r>
              <w:rPr>
                <w:rFonts w:ascii="Arial" w:hAnsi="Arial" w:cs="Arial" w:eastAsia="Arial"/>
                <w:b w:val="0"/>
                <w:sz w:val="28"/>
              </w:rPr>
              <w:t xml:space="preserve"> Tannarx va sotishning sof qiymatining eng kichigi bo‘yicha baholash, tannarx formulalari va ma’lumotlarni oshkor qilish talablari (IAS 2).</w:t>
            </w:r>
          </w:p>
          <w:p>
            <w:pPr>
              <w:spacing w:before="0" w:after="0" w:line="240" w:lineRule="auto"/>
              <w:jc w:val="both"/>
            </w:pPr>
            <w:r>
              <w:rPr>
                <w:rFonts w:ascii="Arial" w:hAnsi="Arial" w:cs="Arial" w:eastAsia="Arial"/>
                <w:b/>
                <w:sz w:val="28"/>
              </w:rPr>
              <w:t>L9. Moliyaviy instrumentlar:</w:t>
            </w:r>
            <w:r>
              <w:rPr>
                <w:rFonts w:ascii="Arial" w:hAnsi="Arial" w:cs="Arial" w:eastAsia="Arial"/>
                <w:b w:val="0"/>
                <w:sz w:val="28"/>
              </w:rPr>
              <w:t xml:space="preserve"> Moliyaviy instrumentlarni tasniflash, baholash, qadrsizlanish va xedj hisobi (IFRS 9).</w:t>
            </w:r>
          </w:p>
          <w:p>
            <w:pPr>
              <w:spacing w:before="0" w:after="0" w:line="240" w:lineRule="auto"/>
              <w:jc w:val="both"/>
            </w:pPr>
            <w:r>
              <w:rPr>
                <w:rFonts w:ascii="Arial" w:hAnsi="Arial" w:cs="Arial" w:eastAsia="Arial"/>
                <w:b/>
                <w:sz w:val="28"/>
              </w:rPr>
              <w:t>L10. Zaxiralar (rezervlar) va hisobot davridan keyingi hodisalar:</w:t>
            </w:r>
            <w:r>
              <w:rPr>
                <w:rFonts w:ascii="Arial" w:hAnsi="Arial" w:cs="Arial" w:eastAsia="Arial"/>
                <w:b w:val="0"/>
                <w:sz w:val="28"/>
              </w:rPr>
              <w:t xml:space="preserve"> Zaxiralar, shartli majburiyatlarni tan olish hamda tuzatuvchi/tuzatmaydigan hodisalar (IAS 37 va IAS 10).</w:t>
            </w:r>
          </w:p>
          <w:p>
            <w:pPr>
              <w:spacing w:before="0" w:after="0" w:line="240" w:lineRule="auto"/>
              <w:jc w:val="both"/>
            </w:pPr>
            <w:r>
              <w:rPr>
                <w:rFonts w:ascii="Arial" w:hAnsi="Arial" w:cs="Arial" w:eastAsia="Arial"/>
                <w:b/>
                <w:sz w:val="28"/>
              </w:rPr>
              <w:t>L11. Xaridorlar bilan tuzilgan shartnomalar bo‘yicha tushum:</w:t>
            </w:r>
            <w:r>
              <w:rPr>
                <w:rFonts w:ascii="Arial" w:hAnsi="Arial" w:cs="Arial" w:eastAsia="Arial"/>
                <w:b w:val="0"/>
                <w:sz w:val="28"/>
              </w:rPr>
              <w:t xml:space="preserve"> Tushumni tan olishning besh bosqichli modelini qo‘llash (IFRS 15).</w:t>
            </w:r>
          </w:p>
          <w:p>
            <w:pPr>
              <w:spacing w:before="0" w:after="0" w:line="240" w:lineRule="auto"/>
              <w:jc w:val="both"/>
            </w:pPr>
            <w:r>
              <w:rPr>
                <w:rFonts w:ascii="Arial" w:hAnsi="Arial" w:cs="Arial" w:eastAsia="Arial"/>
                <w:b/>
                <w:sz w:val="28"/>
              </w:rPr>
              <w:t>L12. Xodimlarga to‘lovlar:</w:t>
            </w:r>
            <w:r>
              <w:rPr>
                <w:rFonts w:ascii="Arial" w:hAnsi="Arial" w:cs="Arial" w:eastAsia="Arial"/>
                <w:b w:val="0"/>
                <w:sz w:val="28"/>
              </w:rPr>
              <w:t xml:space="preserve"> Qisqa muddatli to‘lovlar, mehnat faoliyati tugaganidan keyingi to‘lovlar va xodimlarga boshqa uzoq muddatli to‘lovlarni hisobga olish (IAS 19).</w:t>
            </w:r>
          </w:p>
          <w:p>
            <w:pPr>
              <w:spacing w:before="0" w:after="0" w:line="240" w:lineRule="auto"/>
              <w:jc w:val="both"/>
            </w:pPr>
            <w:r>
              <w:rPr>
                <w:rFonts w:ascii="Arial" w:hAnsi="Arial" w:cs="Arial" w:eastAsia="Arial"/>
                <w:b/>
                <w:sz w:val="28"/>
              </w:rPr>
              <w:t>L13. Soliq hisobi:</w:t>
            </w:r>
            <w:r>
              <w:rPr>
                <w:rFonts w:ascii="Arial" w:hAnsi="Arial" w:cs="Arial" w:eastAsia="Arial"/>
                <w:b w:val="0"/>
                <w:sz w:val="28"/>
              </w:rPr>
              <w:t xml:space="preserve"> Joriy va kechiktirilgan soliq aktivlari va majburiyatlarini tan olish va baholash (IAS 12).</w:t>
            </w:r>
          </w:p>
          <w:p>
            <w:pPr>
              <w:spacing w:before="0" w:after="0" w:line="240" w:lineRule="auto"/>
              <w:jc w:val="both"/>
            </w:pPr>
            <w:r>
              <w:rPr>
                <w:rFonts w:ascii="Arial" w:hAnsi="Arial" w:cs="Arial" w:eastAsia="Arial"/>
                <w:b/>
                <w:sz w:val="28"/>
              </w:rPr>
              <w:t>L14. Pul oqimlari to‘g‘risidagi hisobot:</w:t>
            </w:r>
            <w:r>
              <w:rPr>
                <w:rFonts w:ascii="Arial" w:hAnsi="Arial" w:cs="Arial" w:eastAsia="Arial"/>
                <w:b w:val="0"/>
                <w:sz w:val="28"/>
              </w:rPr>
              <w:t xml:space="preserve"> Operatsion, investitsiya va moliyaviy faoliyat bo‘yicha pul oqimlarini tayyorlash va taqdim etish (IAS 7).</w:t>
            </w:r>
          </w:p>
          <w:p>
            <w:pPr>
              <w:spacing w:before="0" w:after="0" w:line="240" w:lineRule="auto"/>
              <w:jc w:val="both"/>
            </w:pPr>
            <w:r>
              <w:rPr>
                <w:rFonts w:ascii="Arial" w:hAnsi="Arial" w:cs="Arial" w:eastAsia="Arial"/>
                <w:b/>
                <w:sz w:val="28"/>
              </w:rPr>
              <w:t>L15. Konsolidatsiyalangan moliyaviy hisobotlar:</w:t>
            </w:r>
            <w:r>
              <w:rPr>
                <w:rFonts w:ascii="Arial" w:hAnsi="Arial" w:cs="Arial" w:eastAsia="Arial"/>
                <w:b w:val="0"/>
                <w:sz w:val="28"/>
              </w:rPr>
              <w:t xml:space="preserve"> Konsolidatsiya tamoyillari, nazorat qilinmaydigan ulushlar va biznes birlashmalari (IFRS 10 va IFRS 3).</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hisobotning xalqaro standartlarini tartibga soluvchi normativ-huquqiy baza:</w:t>
            </w:r>
            <w:r>
              <w:rPr>
                <w:rFonts w:ascii="Arial" w:hAnsi="Arial" w:cs="Arial" w:eastAsia="Arial"/>
                <w:b w:val="0"/>
                <w:sz w:val="28"/>
              </w:rPr>
              <w:t xml:space="preserve"> Milliy standartlarni MHXS talablari bilan amaliy ko‘rib chiqish va taqqoslash.</w:t>
            </w:r>
          </w:p>
          <w:p>
            <w:pPr>
              <w:spacing w:before="0" w:after="0" w:line="240" w:lineRule="auto"/>
              <w:jc w:val="both"/>
            </w:pPr>
            <w:r>
              <w:rPr>
                <w:rFonts w:ascii="Arial" w:hAnsi="Arial" w:cs="Arial" w:eastAsia="Arial"/>
                <w:b/>
                <w:sz w:val="28"/>
              </w:rPr>
              <w:t>P2. Moliyaviy hisobotning konseptual asoslari:</w:t>
            </w:r>
            <w:r>
              <w:rPr>
                <w:rFonts w:ascii="Arial" w:hAnsi="Arial" w:cs="Arial" w:eastAsia="Arial"/>
                <w:b w:val="0"/>
                <w:sz w:val="28"/>
              </w:rPr>
              <w:t xml:space="preserve"> Konseptual asoslarni real moliyaviy hisobot misollariga qo‘llash.</w:t>
            </w:r>
          </w:p>
          <w:p>
            <w:pPr>
              <w:spacing w:before="0" w:after="0" w:line="240" w:lineRule="auto"/>
              <w:jc w:val="both"/>
            </w:pPr>
            <w:r>
              <w:rPr>
                <w:rFonts w:ascii="Arial" w:hAnsi="Arial" w:cs="Arial" w:eastAsia="Arial"/>
                <w:b/>
                <w:sz w:val="28"/>
              </w:rPr>
              <w:t>P3. Asosiy vositalar:</w:t>
            </w:r>
            <w:r>
              <w:rPr>
                <w:rFonts w:ascii="Arial" w:hAnsi="Arial" w:cs="Arial" w:eastAsia="Arial"/>
                <w:b w:val="0"/>
                <w:sz w:val="28"/>
              </w:rPr>
              <w:t xml:space="preserve"> Eskirishni hisoblash usullari va asosiy vositalarni qayta baholash bo‘yicha amaliy hisob-kitoblar.</w:t>
            </w:r>
          </w:p>
          <w:p>
            <w:pPr>
              <w:spacing w:before="0" w:after="0" w:line="240" w:lineRule="auto"/>
              <w:jc w:val="both"/>
            </w:pPr>
            <w:r>
              <w:rPr>
                <w:rFonts w:ascii="Arial" w:hAnsi="Arial" w:cs="Arial" w:eastAsia="Arial"/>
                <w:b/>
                <w:sz w:val="28"/>
              </w:rPr>
              <w:t>P4. Nomoddiy aktivlar:</w:t>
            </w:r>
            <w:r>
              <w:rPr>
                <w:rFonts w:ascii="Arial" w:hAnsi="Arial" w:cs="Arial" w:eastAsia="Arial"/>
                <w:b w:val="0"/>
                <w:sz w:val="28"/>
              </w:rPr>
              <w:t xml:space="preserve"> Ichki yaratilgan va sotib olingan nomoddiy aktivlar bo‘yicha buxgalteriya o‘tkazmalari.</w:t>
            </w:r>
          </w:p>
          <w:p>
            <w:pPr>
              <w:spacing w:before="0" w:after="0" w:line="240" w:lineRule="auto"/>
              <w:jc w:val="both"/>
            </w:pPr>
            <w:r>
              <w:rPr>
                <w:rFonts w:ascii="Arial" w:hAnsi="Arial" w:cs="Arial" w:eastAsia="Arial"/>
                <w:b/>
                <w:sz w:val="28"/>
              </w:rPr>
              <w:t>P5. Aktivlarning qadrsizlanishi:</w:t>
            </w:r>
            <w:r>
              <w:rPr>
                <w:rFonts w:ascii="Arial" w:hAnsi="Arial" w:cs="Arial" w:eastAsia="Arial"/>
                <w:b w:val="0"/>
                <w:sz w:val="28"/>
              </w:rPr>
              <w:t xml:space="preserve"> Qadrsizlanish testlarini o‘tkazish va qadrsizlanishdan ko‘rilgan zararlar bo‘yicha jurnal o‘tkazmalari.</w:t>
            </w:r>
          </w:p>
          <w:p>
            <w:pPr>
              <w:spacing w:before="0" w:after="0" w:line="240" w:lineRule="auto"/>
              <w:jc w:val="both"/>
            </w:pPr>
            <w:r>
              <w:rPr>
                <w:rFonts w:ascii="Arial" w:hAnsi="Arial" w:cs="Arial" w:eastAsia="Arial"/>
                <w:b/>
                <w:sz w:val="28"/>
              </w:rPr>
              <w:t>P6. Sotish uchun saqlanayotgan uzoq muddatli aktivlar:</w:t>
            </w:r>
            <w:r>
              <w:rPr>
                <w:rFonts w:ascii="Arial" w:hAnsi="Arial" w:cs="Arial" w:eastAsia="Arial"/>
                <w:b w:val="0"/>
                <w:sz w:val="28"/>
              </w:rPr>
              <w:t xml:space="preserve"> Sotish uchun saqlanayotgan aktivlarni tasniflash va baholash bo‘yicha mashqlar.</w:t>
            </w:r>
          </w:p>
          <w:p>
            <w:pPr>
              <w:spacing w:before="0" w:after="0" w:line="240" w:lineRule="auto"/>
              <w:jc w:val="both"/>
            </w:pPr>
            <w:r>
              <w:rPr>
                <w:rFonts w:ascii="Arial" w:hAnsi="Arial" w:cs="Arial" w:eastAsia="Arial"/>
                <w:b/>
                <w:sz w:val="28"/>
              </w:rPr>
              <w:t>P7. Ijara hisobi:</w:t>
            </w:r>
            <w:r>
              <w:rPr>
                <w:rFonts w:ascii="Arial" w:hAnsi="Arial" w:cs="Arial" w:eastAsia="Arial"/>
                <w:b w:val="0"/>
                <w:sz w:val="28"/>
              </w:rPr>
              <w:t xml:space="preserve"> Ijarachi va ijaraga beruvchi uchun ijara bo‘yicha buxgalteriya o‘tkazmalarini tayyorlash.</w:t>
            </w:r>
          </w:p>
          <w:p>
            <w:pPr>
              <w:spacing w:before="0" w:after="0" w:line="240" w:lineRule="auto"/>
              <w:jc w:val="both"/>
            </w:pPr>
            <w:r>
              <w:rPr>
                <w:rFonts w:ascii="Arial" w:hAnsi="Arial" w:cs="Arial" w:eastAsia="Arial"/>
                <w:b/>
                <w:sz w:val="28"/>
              </w:rPr>
              <w:t>P8. Tovar-moddiy zaxiralar:</w:t>
            </w:r>
            <w:r>
              <w:rPr>
                <w:rFonts w:ascii="Arial" w:hAnsi="Arial" w:cs="Arial" w:eastAsia="Arial"/>
                <w:b w:val="0"/>
                <w:sz w:val="28"/>
              </w:rPr>
              <w:t xml:space="preserve"> Zaxiralar tannarxini hisoblash usullari va sotishning sof qiymatini hisoblash.</w:t>
            </w:r>
          </w:p>
          <w:p>
            <w:pPr>
              <w:spacing w:before="0" w:after="0" w:line="240" w:lineRule="auto"/>
              <w:jc w:val="both"/>
            </w:pPr>
            <w:r>
              <w:rPr>
                <w:rFonts w:ascii="Arial" w:hAnsi="Arial" w:cs="Arial" w:eastAsia="Arial"/>
                <w:b/>
                <w:sz w:val="28"/>
              </w:rPr>
              <w:t>P9. Moliyaviy instrumentlar:</w:t>
            </w:r>
            <w:r>
              <w:rPr>
                <w:rFonts w:ascii="Arial" w:hAnsi="Arial" w:cs="Arial" w:eastAsia="Arial"/>
                <w:b w:val="0"/>
                <w:sz w:val="28"/>
              </w:rPr>
              <w:t xml:space="preserve"> Moliyaviy aktivlar va majburiyatlarni tasniflash va baholash.</w:t>
            </w:r>
          </w:p>
          <w:p>
            <w:pPr>
              <w:spacing w:before="0" w:after="0" w:line="240" w:lineRule="auto"/>
              <w:jc w:val="both"/>
            </w:pPr>
            <w:r>
              <w:rPr>
                <w:rFonts w:ascii="Arial" w:hAnsi="Arial" w:cs="Arial" w:eastAsia="Arial"/>
                <w:b/>
                <w:sz w:val="28"/>
              </w:rPr>
              <w:t>P10. Zaxiralar (rezervlar) va hisobot davridan keyingi hodisalar:</w:t>
            </w:r>
            <w:r>
              <w:rPr>
                <w:rFonts w:ascii="Arial" w:hAnsi="Arial" w:cs="Arial" w:eastAsia="Arial"/>
                <w:b w:val="0"/>
                <w:sz w:val="28"/>
              </w:rPr>
              <w:t xml:space="preserve"> Zaxiralarni tan olish va keyingi hodisalarni tahlil qilish.</w:t>
            </w:r>
          </w:p>
          <w:p>
            <w:pPr>
              <w:spacing w:before="0" w:after="0" w:line="240" w:lineRule="auto"/>
              <w:jc w:val="both"/>
            </w:pPr>
            <w:r>
              <w:rPr>
                <w:rFonts w:ascii="Arial" w:hAnsi="Arial" w:cs="Arial" w:eastAsia="Arial"/>
                <w:b/>
                <w:sz w:val="28"/>
              </w:rPr>
              <w:t>P11. Xaridorlar bilan tuzilgan shartnomalar bo‘yicha tushum:</w:t>
            </w:r>
            <w:r>
              <w:rPr>
                <w:rFonts w:ascii="Arial" w:hAnsi="Arial" w:cs="Arial" w:eastAsia="Arial"/>
                <w:b w:val="0"/>
                <w:sz w:val="28"/>
              </w:rPr>
              <w:t xml:space="preserve"> Besh bosqichli modelni shartnoma misollariga qo‘llash.</w:t>
            </w:r>
          </w:p>
          <w:p>
            <w:pPr>
              <w:spacing w:before="0" w:after="0" w:line="240" w:lineRule="auto"/>
              <w:jc w:val="both"/>
            </w:pPr>
            <w:r>
              <w:rPr>
                <w:rFonts w:ascii="Arial" w:hAnsi="Arial" w:cs="Arial" w:eastAsia="Arial"/>
                <w:b/>
                <w:sz w:val="28"/>
              </w:rPr>
              <w:t>P12. Xodimlarga to‘lovlar:</w:t>
            </w:r>
            <w:r>
              <w:rPr>
                <w:rFonts w:ascii="Arial" w:hAnsi="Arial" w:cs="Arial" w:eastAsia="Arial"/>
                <w:b w:val="0"/>
                <w:sz w:val="28"/>
              </w:rPr>
              <w:t xml:space="preserve"> Xodimlarga to‘lovlar va pensiyalarni hisoblash va hisobga olish.</w:t>
            </w:r>
          </w:p>
          <w:p>
            <w:pPr>
              <w:spacing w:before="0" w:after="0" w:line="240" w:lineRule="auto"/>
              <w:jc w:val="both"/>
            </w:pPr>
            <w:r>
              <w:rPr>
                <w:rFonts w:ascii="Arial" w:hAnsi="Arial" w:cs="Arial" w:eastAsia="Arial"/>
                <w:b/>
                <w:sz w:val="28"/>
              </w:rPr>
              <w:t>P13. Soliq hisobi:</w:t>
            </w:r>
            <w:r>
              <w:rPr>
                <w:rFonts w:ascii="Arial" w:hAnsi="Arial" w:cs="Arial" w:eastAsia="Arial"/>
                <w:b w:val="0"/>
                <w:sz w:val="28"/>
              </w:rPr>
              <w:t xml:space="preserve"> Kechiktirilgan soliq aktivlari va majburiyatlarini hisoblash.</w:t>
            </w:r>
          </w:p>
          <w:p>
            <w:pPr>
              <w:spacing w:before="0" w:after="0" w:line="240" w:lineRule="auto"/>
              <w:jc w:val="both"/>
            </w:pPr>
            <w:r>
              <w:rPr>
                <w:rFonts w:ascii="Arial" w:hAnsi="Arial" w:cs="Arial" w:eastAsia="Arial"/>
                <w:b/>
                <w:sz w:val="28"/>
              </w:rPr>
              <w:t>P14. Pul oqimlari to‘g‘risidagi hisobot:</w:t>
            </w:r>
            <w:r>
              <w:rPr>
                <w:rFonts w:ascii="Arial" w:hAnsi="Arial" w:cs="Arial" w:eastAsia="Arial"/>
                <w:b w:val="0"/>
                <w:sz w:val="28"/>
              </w:rPr>
              <w:t xml:space="preserve"> To‘g‘ri va bilvosita usullardan foydalanib pul oqimlari to‘g‘risidagi hisobotlarni tayyorlash.</w:t>
            </w:r>
          </w:p>
          <w:p>
            <w:pPr>
              <w:spacing w:before="0" w:after="0" w:line="240" w:lineRule="auto"/>
              <w:jc w:val="both"/>
            </w:pPr>
            <w:r>
              <w:rPr>
                <w:rFonts w:ascii="Arial" w:hAnsi="Arial" w:cs="Arial" w:eastAsia="Arial"/>
                <w:b/>
                <w:sz w:val="28"/>
              </w:rPr>
              <w:t>P15. Konsolidatsiyalangan moliyaviy hisobotlar:</w:t>
            </w:r>
            <w:r>
              <w:rPr>
                <w:rFonts w:ascii="Arial" w:hAnsi="Arial" w:cs="Arial" w:eastAsia="Arial"/>
                <w:b w:val="0"/>
                <w:sz w:val="28"/>
              </w:rPr>
              <w:t xml:space="preserve"> Konsolidatsiyalangan balanslarni tayyorlash va guruh ichidagi operatsiyalarni chiqarib tashlash.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Buxgalteriya hisobining Britaniya-Amerika modelida hisobotlarni transformatsiya qilishdagi muammolar va uning O‘zbekistondagi amaliyoti;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Buxgalteriya balansini tuzishning gorizontal va vertikal usullari o‘rtasidagi farq va ularni O‘zbekiston amaliyotida qo‘llash muammolari;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Buyuk Britaniyadagi professional buxgalteriya tashkilotlarining faoliyati va ularning MHXSni joriy etishdagi o‘rni;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Germaniyadagi professional buxgalteriya tashkilotlarining faoliyati va ularning MHXSni huquqiy tartibga solish tajribasi;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Yaponiyada buxgalteriya hisobining rivojlanish tarixi va uning MHXSni huquqiy tartibga solish tajribasi;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Xalqaro konsepsiyalarni tartibga soluvchi xalqaro hujjatlar, ularni O‘zbekistonda qo‘llashdagi muammolar va ularni bartaraf etish yo‘llari;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O‘zbekistonda buxgalteriya hisobining milliy konseptual asoslarini xalqaro konsepsiyalar bilan uyg‘unlashtirishdagi muammolar va ularni bartaraf etish yo‘llari;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Jahon mamlakatlarida milliy buxgalteriya standartlarining MHXSga muvofiqligi va MHXSga o‘tishdagi muammolar hamda ularni bartaraf etish yo‘llari;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O‘zbekiston Respublikasi buxgalteriya hisobi standartlarini MHXS asosida takomillashtirish zarurati va ularni amaliyotga joriy etishdagi muammolar;</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Xalqaro talablarga muvofiq buxgalteriya balanslarini tayyorlash va taqdim etish tajribasi;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Xalqaro talablarga muvofiq foyda va zararlar to‘g‘risidagi hisobotda axborotni tayyorlash, aks ettirish va taqdim etish tajribasi;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Xalqaro talablarga muvofiq xususiy kapital to‘g‘risidagi hisobotlarda axborotni tuzish, aks ettirish va taqdim etish tajribasi;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Xalqaro talablarga muvofiq pul oqimlari to‘g‘risidagi hisobotda axborotni tayyorlash, aks ettirish va taqdim etish tajribasi;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Moliyaviy hisobotni xalqaro talablarga muvofiq tartibga soluvchi MHXSni amalda qo‘llashdagi muammolar va ularni bartaraf etish yo‘llari;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MHXS talablariga muvofiq bir aksiyaga to‘g‘ri keladigan foyda summasini aniqlash va taqsimlash qoidalari hamda uni takomillashtirish yo‘llari;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O‘zbekistonda bir aksiyaga to‘g‘ri keladigan foyda va segmentlar bo‘yicha milliy standartlarni ishlab chiqishdagi muammolar va ularni bartaraf etish yo‘llari;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MHXS talablariga ko‘ra valyuta faoliyatining asosiy jihatlari va ularni takomillashtirish;</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MHXS talablariga ko‘ra giperinflyatsiya sharoitidagi mamlakatlarda moliyaviy hisobotlarni tayyorlash tajribasi va undagi mavjud muammolar;</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MHXS talablariga muvofiq tugatilayotgan faoliyat bo‘yicha aks ettiriladigan axborotning mazmuni va uni taqdim etish amaliyoti;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MHXSda uzoq muddatli moddiy va nomoddiy aktivlarni hisobga olish va uni takomillashtirish yo‘llari;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MHXS talablariga muvofiq mol-mulk, bino va inshootlarni kapital ta’mirlash va hisobdan chiqarishni hisobga olish jarayonlarini aks ettirish va takomillashtirish;</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MHXS talablariga muvofiq nomoddiy aktivlarni tan olish, ularning qiymatini aniqlash va hisobga olishni takomillashtirish;</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MHXS talablariga muvofiq aktivlarning qadrsizlanishidan ko‘rilgan zararlarni tan olish va hisobga olishni takomillashtirish;</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MHXS talablariga muvofiq soliq aktivlari va soliq majburiyatlarini hisoblash tartibini takomillashtirish;</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MHXS talablariga muvofiq zaxiralar, shartli majburiyatlar va shartli aktivlarni hisobga olishni takomillashtirish;</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MHXS talablariga muvofiq moliyaviy instrumentlarni o‘lchash va tan olish, baholash va hisobga olishni takomillashtirish;</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Moliyaviy instrumentlarni xedjlashni hisobga olish va uni takomillashtirish;</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MHXS talablariga muvofiq kompaniyalarning biznes birlashmalarini hisobga olish va uni takomillashtirish yo‘llari;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MHXS talablariga muvofiq biznes birlashmasida sotib olingan kompaniya aktivlari va majburiyatlarini baholash tartibi va uni takomillashtirish yo‘llari;</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IAS 1 “Moliyaviy hisobotni taqdim etish” standartini joriy etishdagi muammolar va ularni bartaraf etish yo‘llari;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IAS 2 “Zaxiralar” standartining mazmuni, uni amalda qo‘llashdagi masalalar va standartni takomillashtirish;</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IAS 7 “Pul oqimlari to‘g‘risidagi hisobot” standartini joriy etishdagi muammolar va ularni bartaraf etish yo‘llari;</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IAS 8 “Hisob siyosati, hisob baholaridagi o‘zgarishlar va xatolar” standartining mazmuni va uni amalda qo‘llashdagi muammolarni bartaraf etish yo‘llari;</w:t>
            </w:r>
          </w:p>
          <w:p>
            <w:pPr>
              <w:spacing w:before="0" w:after="0" w:line="240" w:lineRule="auto"/>
              <w:jc w:val="both"/>
            </w:pPr>
            <w:r>
              <w:rPr>
                <w:rFonts w:ascii="Arial" w:hAnsi="Arial" w:cs="Arial" w:eastAsia="Arial"/>
                <w:b/>
                <w:sz w:val="28"/>
              </w:rPr>
              <w:t>SA34.</w:t>
            </w:r>
            <w:r>
              <w:rPr>
                <w:rFonts w:ascii="Arial" w:hAnsi="Arial" w:cs="Arial" w:eastAsia="Arial"/>
                <w:b w:val="0"/>
                <w:sz w:val="28"/>
              </w:rPr>
              <w:t xml:space="preserve"> IAS 10 “Hisobot sanasidan keyingi hodisalar” standartining mazmuni va uni amalda qo‘llashdagi muammolarni bartaraf etish yo‘llari;</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IFRS 15 “Xaridorlar bilan tuzilgan shartnomalar bo‘yicha tushum” standartini joriy etishdagi muammolar va ularni bartaraf etish yo‘llari;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IAS 19 “Xodimlarga to‘lovlar” standartini joriy etishdagi muammolar va ularni bartaraf etish yo‘llari;</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IAS 20 “Davlat subsidiyalarini hisobga olish va davlat yordami to‘g‘risidagi ma’lumotlarni oshkor qilish” standartini joriy etishdagi muammolar va ularni bartaraf etish yo‘llari;</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IAS 21 “Valyuta kurslari o‘zgarishining ta’siri” standartini joriy etishdagi muammolar va ularni bartaraf etish yo‘llari;</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IAS 23 “Qarzlar bo‘yicha xarajatlar” standartining mazmuni va uni amalda qo‘llashdagi muammolarni bartaraf etish yo‘llari;</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IAS 24 “Bog‘liq tomonlar to‘g‘risidagi ma’lumotlarni oshkor qilish” standartining mazmuni va uni amalda qo‘llashdagi muammolarni bartaraf etish yo‘llari;</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IAS 28 “Assotsiatsiyalangan korxonalarga investitsiyalar” standartining mazmuni va uni amalda qo‘llashdagi muammolarni bartaraf etish yo‘llari;</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IAS 29 “Giperinflyatsiya sharoitida moliyaviy hisobot” standartining mazmuni va uni amalda qo‘llashdagi muammolarni bartaraf etish yo‘llari;</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IAS 32 “Moliyaviy instrumentlar – taqdim etish” standartining mazmuni va uni amalda qo‘llashdagi muammolarni bartaraf etish yo‘llari;</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IAS 34 “Oraliq moliyaviy hisobot” standartining mazmuni va uni amalda qo‘llashdagi muammolarni bartaraf etish yo‘llari;</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IAS 36 “Aktivlarning qadrsizlanishi” standartining mazmuni va uni amalda qo‘llashdagi muammolarni bartaraf etish yo‘llari;</w:t>
            </w:r>
          </w:p>
          <w:p>
            <w:pPr>
              <w:spacing w:before="0" w:after="0" w:line="240" w:lineRule="auto"/>
              <w:jc w:val="both"/>
            </w:pPr>
            <w:r>
              <w:rPr>
                <w:rFonts w:ascii="Arial" w:hAnsi="Arial" w:cs="Arial" w:eastAsia="Arial"/>
                <w:b/>
                <w:sz w:val="28"/>
              </w:rPr>
              <w:t>SA46.</w:t>
            </w:r>
            <w:r>
              <w:rPr>
                <w:rFonts w:ascii="Arial" w:hAnsi="Arial" w:cs="Arial" w:eastAsia="Arial"/>
                <w:b w:val="0"/>
                <w:sz w:val="28"/>
              </w:rPr>
              <w:t xml:space="preserve"> IAS 37 “Zaxiralar, shartli majburiyatlar va shartli aktivlar” standartining mazmuni va uni amalda qo‘llashdagi muammolarni bartaraf etish yo‘llari;</w:t>
            </w:r>
          </w:p>
          <w:p>
            <w:pPr>
              <w:spacing w:before="0" w:after="0" w:line="240" w:lineRule="auto"/>
              <w:jc w:val="both"/>
            </w:pPr>
            <w:r>
              <w:rPr>
                <w:rFonts w:ascii="Arial" w:hAnsi="Arial" w:cs="Arial" w:eastAsia="Arial"/>
                <w:b/>
                <w:sz w:val="28"/>
              </w:rPr>
              <w:t>SA47.</w:t>
            </w:r>
            <w:r>
              <w:rPr>
                <w:rFonts w:ascii="Arial" w:hAnsi="Arial" w:cs="Arial" w:eastAsia="Arial"/>
                <w:b w:val="0"/>
                <w:sz w:val="28"/>
              </w:rPr>
              <w:t xml:space="preserve"> IAS 38 “Nomoddiy aktivlar” standartining mazmuni va uni amalda qo‘llashni takomillashtirish;</w:t>
            </w:r>
          </w:p>
          <w:p>
            <w:pPr>
              <w:spacing w:before="0" w:after="0" w:line="240" w:lineRule="auto"/>
              <w:jc w:val="both"/>
            </w:pPr>
            <w:r>
              <w:rPr>
                <w:rFonts w:ascii="Arial" w:hAnsi="Arial" w:cs="Arial" w:eastAsia="Arial"/>
                <w:b/>
                <w:sz w:val="28"/>
              </w:rPr>
              <w:t>SA48.</w:t>
            </w:r>
            <w:r>
              <w:rPr>
                <w:rFonts w:ascii="Arial" w:hAnsi="Arial" w:cs="Arial" w:eastAsia="Arial"/>
                <w:b w:val="0"/>
                <w:sz w:val="28"/>
              </w:rPr>
              <w:t xml:space="preserve"> IAS 39 “Moliyaviy instrumentlar: tan olish va baholash” standartining mazmuni va uni amalda qo‘llashdagi muammolarni hal etish yo‘llari;</w:t>
            </w:r>
          </w:p>
          <w:p>
            <w:pPr>
              <w:spacing w:before="0" w:after="0" w:line="240" w:lineRule="auto"/>
              <w:jc w:val="both"/>
            </w:pPr>
            <w:r>
              <w:rPr>
                <w:rFonts w:ascii="Arial" w:hAnsi="Arial" w:cs="Arial" w:eastAsia="Arial"/>
                <w:b/>
                <w:sz w:val="28"/>
              </w:rPr>
              <w:t>SA49.</w:t>
            </w:r>
            <w:r>
              <w:rPr>
                <w:rFonts w:ascii="Arial" w:hAnsi="Arial" w:cs="Arial" w:eastAsia="Arial"/>
                <w:b w:val="0"/>
                <w:sz w:val="28"/>
              </w:rPr>
              <w:t xml:space="preserve"> IAS 40 “Investitsiya mulki” standartining mazmuni va uni amalda qo‘llashdagi muammolarni hal etish yo‘llari;</w:t>
            </w:r>
          </w:p>
          <w:p>
            <w:pPr>
              <w:spacing w:before="0" w:after="0" w:line="240" w:lineRule="auto"/>
              <w:jc w:val="both"/>
            </w:pPr>
            <w:r>
              <w:rPr>
                <w:rFonts w:ascii="Arial" w:hAnsi="Arial" w:cs="Arial" w:eastAsia="Arial"/>
                <w:b/>
                <w:sz w:val="28"/>
              </w:rPr>
              <w:t>SA50.</w:t>
            </w:r>
            <w:r>
              <w:rPr>
                <w:rFonts w:ascii="Arial" w:hAnsi="Arial" w:cs="Arial" w:eastAsia="Arial"/>
                <w:b w:val="0"/>
                <w:sz w:val="28"/>
              </w:rPr>
              <w:t xml:space="preserve"> IAS 41 “Qishloq xo‘jaligi” standartining mazmuni va uni amalda qo‘llashdagi muammolarni hal etish.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guruh muhokamalari va moliyaviy hisobotlarni tahlil qilishning zamonaviy raqamli vositalaridan foydalanish orqali o‘qitiladi.</w:t>
            </w:r>
          </w:p>
          <w:p>
            <w:pPr>
              <w:spacing w:before="0" w:after="0" w:line="240" w:lineRule="auto"/>
              <w:jc w:val="both"/>
            </w:pPr>
            <w:r>
              <w:rPr>
                <w:rFonts w:ascii="Arial" w:hAnsi="Arial" w:cs="Arial" w:eastAsia="Arial"/>
                <w:b w:val="0"/>
                <w:sz w:val="28"/>
              </w:rPr>
              <w:t>O‘qitish jarayoni Moliyaviy hisobotning xalqaro standartlarini (MHXS) chuqur tushunishni ta’minlash uchun an’anaviy va innovatsion usullarni uyg‘unlashtiradi. Ma’ruzalar multimedia taqdimotlari, real MHXS misollari va milliy buxgalteriya standartlari bilan qiyosiy tahlil asosida o‘tkaziladi. Amaliy mashg‘ulotlar muayyan MHXSga muvofiq moliyaviy hisobotlarni amalda tayyorlash, tushumni tan olish, aktivlarning qadrsizlanishi, konsolidatsiya va ijara hisobi bo‘yicha keys-stadilarni o‘z ichiga oladi.</w:t>
            </w:r>
          </w:p>
          <w:p>
            <w:pPr>
              <w:spacing w:before="0" w:after="0" w:line="240" w:lineRule="auto"/>
              <w:jc w:val="both"/>
            </w:pPr>
            <w:r>
              <w:rPr>
                <w:rFonts w:ascii="Arial" w:hAnsi="Arial" w:cs="Arial" w:eastAsia="Arial"/>
                <w:b w:val="0"/>
                <w:sz w:val="28"/>
              </w:rPr>
              <w:t>Mustaqil ish MHXSni O‘zbekiston milliy standartlari bilan taqqoslovchi tahliliy hisobotlar, moliyaviy hisobotlarni transformatsiya qilish, konsolidatsiyalangan hisobotlarni tayyorlash va O‘zbekistonda MHXSni joriy etishning amaliy muammolari bo‘yicha tadqiqotlarga qaratilgan. Muammoli masalalar va guruh muhokamalari tanqidiy fikrlash hamda MHXS talablarini real biznes stsenariylariga qo‘llashni rag‘batlantiradi.</w:t>
            </w:r>
          </w:p>
          <w:p>
            <w:pPr>
              <w:spacing w:before="0" w:after="0" w:line="240" w:lineRule="auto"/>
              <w:jc w:val="both"/>
            </w:pPr>
            <w:r>
              <w:rPr>
                <w:rFonts w:ascii="Arial" w:hAnsi="Arial" w:cs="Arial" w:eastAsia="Arial"/>
                <w:b w:val="0"/>
                <w:sz w:val="28"/>
              </w:rPr>
              <w:t>Fanlararo yondashuvlar, buxgalteriya dasturlari va raqamli vositalarni integratsiyalash, xalqaro kompaniyalar keys-stadilari hamda global kasbiy sertifikatlash talablari (masalan, ACCA, DipIFR) bilan muvofiqlikka alohida e’tibor qaratiladi. Ushbu metodologiya xalqaro standartlarga muvofiq yuqori sifatli moliyaviy hisobotlarni tayyorlash uchun zarur bo‘lgan nazariy bilimlar va amaliy kompetensiyalarni rivojlantiradi.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Soliqlar va soliqqa tortish (SST1505). Korporativ moliya (KM1505). Buxgalteriya hisobi (BH1305). Portfel nazariyasi va moliya bozorlari (PNMB1405)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mashg‘ulotlardagi faoliyat, seminar muhokamalari va asosiy mustaqil ta’lim topshiriqlarining muvaffaqiyatli bajarilishini baholaydi. Bularga muayyan MHXSga muvofiq moliyaviy hisobotlarni tayyorlash, milliy standartlar va MHXS o‘rtasidagi farqlarni tahlil qilish, tushumni tan olish, aktivlarning qadrsizlanish testi, ijara hisobi va moliyaviy hisobotlarni transformatsiya qilish bo‘yicha amaliy mashqlar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Asosiy loyihalar qatoriga turli mamlakatlarda MHXSning qo‘llanilishini qiyosiy tahlil qilish, konsolidatsiyalangan moliyaviy hisobotlarni tayyorlash, IFRS 9 (Moliyaviy instrumentlar) va IFRS 15 (Xaridorlar bilan tuzilgan shartnomalar bo‘yicha tushum) standartlarini joriy etishning amaliy muammolari bo‘yicha hisobot hamda O‘zbekistonda MHXSga o‘tishning afzalliklari va qiyinchiliklari bo‘yicha tahliliy esse kiradi.</w:t>
            </w:r>
          </w:p>
          <w:p>
            <w:pPr>
              <w:spacing w:before="0" w:after="0" w:line="240" w:lineRule="auto"/>
              <w:jc w:val="both"/>
            </w:pPr>
            <w:r>
              <w:rPr>
                <w:rFonts w:ascii="Arial" w:hAnsi="Arial" w:cs="Arial" w:eastAsia="Arial"/>
                <w:b w:val="0"/>
                <w:sz w:val="28"/>
              </w:rPr>
              <w:t>Yakuniy nazorat (50%) nazariy savollar va amaliy masalalardan (masalan, IAS 16, IAS 36, IFRS 9 ga muvofiq moliyaviy hisobotlarni tayyorlash, qadrsizlanishdan ko‘rilgan zararlarni hisoblash, konsolidatsiyalangan hisobotlarni tayyorlash va MHXSning moliyaviy ko‘rsatkichlarga ta’sirini tahlil qilish) iborat keng qamrovli yakuniy yozma imtihondir. U talabalarning MHXS tamoyillarini, texnik buxgalteriya ko‘nikmalarini va xalqaro standartlarni korxonalardagi real moliyaviy hisobot vaziyatlariga qo‘llay olish qobiliyatini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MHXS talablarini har tomonlama, chuqur tushunadi, konseptual xatolarsiz to‘liq ilmiy va mantiqiy izchillikni saqlaydi, standartlarni qo‘llashda mustaqil tahliliy fikrlashni namoyon etadi, tegishli qonunlar va xalqaro izohlarni egallagan, barcha mustaqil topshiriqlarni aniq bajaradi va murakkab moliyaviy hisobot masalalarini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texnik xatolarsiz bajaradi va MHXSni qo‘llashga oid savollarga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MHXS tushunchalari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MHXS tamoyillari haqida asosiy tushunchaga ega bo‘lmagan, plagiat yoki ko‘chirilgan ish topshirgan, topshiriqlarda jiddiy texnik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Norbekov D., To‘rayev A., Rahmonov Sh. (2018). Moliyaviy hisobotning xalqaro standartlari: darslik. Iqtisod-moliya.</w:t>
            </w:r>
          </w:p>
          <w:p>
            <w:pPr>
              <w:spacing w:before="0" w:after="0" w:line="240" w:lineRule="auto"/>
              <w:jc w:val="both"/>
            </w:pPr>
            <w:r>
              <w:rPr>
                <w:rFonts w:ascii="Arial" w:hAnsi="Arial" w:cs="Arial" w:eastAsia="Arial"/>
                <w:b w:val="0"/>
                <w:sz w:val="28"/>
              </w:rPr>
              <w:t>2. Elliott B. and J. Elliott. (2011). Financial Reporting and Accounting (14th edition). Prentice Hall, 915 p.</w:t>
            </w:r>
          </w:p>
          <w:p>
            <w:pPr>
              <w:spacing w:before="0" w:after="0" w:line="240" w:lineRule="auto"/>
              <w:jc w:val="both"/>
            </w:pPr>
            <w:r>
              <w:rPr>
                <w:rFonts w:ascii="Arial" w:hAnsi="Arial" w:cs="Arial" w:eastAsia="Arial"/>
                <w:b w:val="0"/>
                <w:sz w:val="28"/>
              </w:rPr>
              <w:t>3. Gibson, Charles H. (2008). Financial Reporting &amp; Analysis: Using Financial Accounting Information. 11th ed. Mason, Ohio: South-Western Cengage Learning, 629 p.</w:t>
            </w:r>
          </w:p>
          <w:p>
            <w:pPr>
              <w:spacing w:before="0" w:after="0" w:line="240" w:lineRule="auto"/>
              <w:jc w:val="both"/>
            </w:pPr>
            <w:r>
              <w:rPr>
                <w:rFonts w:ascii="Arial" w:hAnsi="Arial" w:cs="Arial" w:eastAsia="Arial"/>
                <w:b w:val="0"/>
                <w:sz w:val="28"/>
              </w:rPr>
              <w:t>4. T. Chaya, N.I. Chupaxina. (2023). Upravlencheskiy uchet: uchebnik i praktikum dlya vuzov. Izdatelstvo Yurayt, 332 b.</w:t>
            </w:r>
          </w:p>
          <w:p>
            <w:pPr>
              <w:spacing w:before="0" w:after="0" w:line="240" w:lineRule="auto"/>
              <w:jc w:val="both"/>
            </w:pPr>
            <w:r>
              <w:rPr>
                <w:rFonts w:ascii="Arial" w:hAnsi="Arial" w:cs="Arial" w:eastAsia="Arial"/>
                <w:b w:val="0"/>
                <w:sz w:val="28"/>
              </w:rPr>
              <w:t>5. Karimov A., Ibragimov A., Rizayev N. (2020). Xalqaro moliyaviy hisobot standartlari: darslik. Iqtisod-moliya.</w:t>
            </w:r>
          </w:p>
          <w:p>
            <w:pPr>
              <w:spacing w:before="0" w:after="0" w:line="240" w:lineRule="auto"/>
              <w:jc w:val="both"/>
            </w:pPr>
            <w:r>
              <w:rPr>
                <w:rFonts w:ascii="Arial" w:hAnsi="Arial" w:cs="Arial" w:eastAsia="Arial"/>
                <w:b w:val="0"/>
                <w:sz w:val="28"/>
              </w:rPr>
              <w:t>6. Ergasheva Sh.T., Ibragimov A.K., Rizayev N.K., Ibragimova I.R. (2019). Moliyaviy hisobotlarning xalqaro standartlari: darslik. 227 b.</w:t>
            </w:r>
          </w:p>
          <w:p>
            <w:pPr>
              <w:spacing w:before="0" w:after="0" w:line="240" w:lineRule="auto"/>
              <w:jc w:val="both"/>
            </w:pPr>
            <w:r>
              <w:rPr>
                <w:rFonts w:ascii="Arial" w:hAnsi="Arial" w:cs="Arial" w:eastAsia="Arial"/>
                <w:b w:val="0"/>
                <w:sz w:val="28"/>
              </w:rPr>
              <w:t>7. Ibragimov A., Rizayev N. (2016). Banklarda buxgalteriya hisobining milliy va xalqaro standartlari: darslik. Moliya nashriyot uyi, 370 b.</w:t>
            </w:r>
          </w:p>
          <w:p>
            <w:pPr>
              <w:spacing w:before="0" w:after="0" w:line="240" w:lineRule="auto"/>
              <w:jc w:val="both"/>
            </w:pPr>
            <w:r>
              <w:rPr>
                <w:rFonts w:ascii="Arial" w:hAnsi="Arial" w:cs="Arial" w:eastAsia="Arial"/>
                <w:b w:val="0"/>
                <w:sz w:val="28"/>
              </w:rPr>
              <w:t>8. I. Ochilov, U. To‘lakov, A. Xudoyqulov. (2024). Buxgalteriya hisobi: darslik. Publishing High Future OK nashriyot uyi, 568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Xudayqulov Amir Meliqulovich,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