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HISOB-KITOBLAR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XHK405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“Xalqaro hisob-kitoblar” modulining maqsadi talabalarda xalqaro to‘lov tizimlari, transchegaraviy moliyaviy hisob-kitoblar, valyuta operatsiyalari, xalqaro bank xizmatlari, hujjatli to‘lov vositalari va xalqaro moliyaviy hisobot amaliyoti bo‘yicha bilim va amaliy kompetensiyalarni rivojlantirishdan iborat. Modul talabalarga xalqaro operatsiyalarning huquqiy, moliyaviy va operatsion jihatlarini tushunish hamda zamonaviy raqamli bank texnologiyalari va global moliyaviy operatsiyalarni tartibga soluvchi xalqaro qoidalarni qo‘llash imkonini beradi.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Global moliya tizimi doirasida xalqaro hisob-kitoblar va xalqaro moliyaviy to‘lovlarning nazariy asoslari, maqsadlari, tamoyillari, rivojlanishi va institutsional asoslarini, jumladan, markaziy banklar, tijorat banklari, xalqaro moliya institutlari va to‘lov xizmatlari provayderlarining rolini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Xalqaro to‘lov tizimlari, korrespondentlik munosabatlari, valyuta bozorlari, xalqaro bank xizmatlari, hujjatli to‘lov vositalari, xalqaro savdoni moliyalashtirish mexanizmlari hamda transchegaraviy operatsiyalarni qo‘llab-quvvatlovchi global moliyaviy infratuzilmaning tuzilishi va faoliyatini tavsiflaydi.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Xalqaro moliyaviy operatsiyalarni tartibga soluvchi xalqaro moliyaviy qoidalar, valyuta qonunchiligi, xalqaro bank standartlari, hujjatli akkreditivlar qoidalari (UCP 600), jinoiy daromadlarni legallashtirishga qarshi kurashish (AML), “Mijozingni bil” (KYC) talablari, komplayens tartib-taomillari va xalqaro risklarni boshqarish tamoyillari bo‘yicha keng qamrovli bilimlarni namoyish etadi.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Xalqaro bank standartlariga muvofiq bank o‘tkazmalari, hujjatli inkasso, hujjatli akkreditivlar, bank kafolatlari, valyuta shartnomalari va xalqaro miqyosda tan olingan boshqa hisob-kitob vositalaridan foydalanib xalqaro to‘lov operatsiyalarini tayyorlaydi, amalga oshiradi va baholaydi.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Xalqaro moliyaviy operatsiyalarni tahlil qiladi, kurs farqlari, tranzaksiya xarajatlari, komissiyalar, foiz xarajatlari va valyuta kursi tebranishlarini hisoblaydi hamda xalqaro biznes operatsiyalari bilan bog‘liq buxgalteriya yozuvlari va moliyaviy hisobotlarni tayyorlaydi.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Xalqaro me’yoriy talablarga to‘liq rioya etgan holda xavfsiz, samarali va shaffof xalqaro moliyaviy operatsiyalarni ta’minlash uchun zamonaviy xalqaro bank texnologiyalari, SWIFT xabar almashish tizimlari, elektron to‘lov platformalari, raqamli bank ilovalari, blokcheyn texnologiyalari va moliyaviy axborot tizimlaridan foydalanadi.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Valyuta kursi o‘zgaruvchanligi, mamlakat riski, siyosiy risk, kredit riski, operatsion risk va hisob-kitob riski bilan bog‘liq xalqaro moliyaviy risklarni baholaydi hamda bunday risklarni minimallashtirish uchun tegishli xalqaro hisob-kitob usullari va moliyaviy vositalarni tavsiya etadi.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Xalqaro savdo va investitsiya faoliyatini qo‘llab-quvvatlash maqsadida xalqaro bank standartlari, moliyaviy qoidalar, komplayens tartib-taomillari, risklarni boshqarish usullari va zamonaviy raqamli moliyaviy texnologiyalarni qo‘llagan holda samarali xalqaro to‘lov strategiyalarini ishlab chiqadi va amalga oshiradi.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Xalqaro hisob-kitoblarni boshqarish, murakkab xalqaro moliyaviy muammolarni hal etish hamda transmilliy korporatsiyalar, xalqaro moliya institutlari, tijorat banklari va davlat sektori tashkilotlarida barqaror moliyaviy boshqaruvni qo‘llab-quvvatlashda kasbiy etika, tanqidiy fikrlash, tahliliy mulohaza, kommunikatsiya ko‘nikmalari, raqamli kompetensiyalar va mustaqil qaror qabul qilish qobiliyatini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Buxgalteriya hisobi: tushunchasi, maqsadlari, predmeti, usullari. Kompaniyaning buxgalteriya hisobi sikli.</w:t>
            </w:r>
            <w:r>
              <w:rPr>
                <w:rFonts w:ascii="Arial" w:hAnsi="Arial" w:cs="Arial" w:eastAsia="Arial"/>
                <w:b w:val="0"/>
                <w:sz w:val="28"/>
              </w:rPr>
              <w:t xml:space="preserve"> Moliyaviy hisobning tushunchasi, maqsadlari, tamoyillari, usullari va hisob sikli bilan tanishtiriladi. Qaror qabul qilish uchun xo‘jalik operatsiyalarini hisobda aks ettirish va hisobot berish tushuntiriladi.</w:t>
            </w:r>
          </w:p>
          <w:p>
            <w:pPr>
              <w:spacing w:before="0" w:after="0" w:line="240" w:lineRule="auto"/>
              <w:jc w:val="both"/>
            </w:pPr>
            <w:r>
              <w:rPr>
                <w:rFonts w:ascii="Arial" w:hAnsi="Arial" w:cs="Arial" w:eastAsia="Arial"/>
                <w:b/>
                <w:sz w:val="28"/>
              </w:rPr>
              <w:t>L2. Moliyaviy hisobotlar: tarkibi, turlari, tuzish va taqdim etish tamoyillari.</w:t>
            </w:r>
            <w:r>
              <w:rPr>
                <w:rFonts w:ascii="Arial" w:hAnsi="Arial" w:cs="Arial" w:eastAsia="Arial"/>
                <w:b w:val="0"/>
                <w:sz w:val="28"/>
              </w:rPr>
              <w:t xml:space="preserve"> MHXSga muvofiq moliyaviy hisobotlarning tarkibiy qismlari, ularni tuzish, taqdim etish va ma’lumotlarni oshkor qilish o‘rganiladi. Moliyaviy axborotning sifat xususiyatlariga alohida e’tibor qaratiladi.</w:t>
            </w:r>
          </w:p>
          <w:p>
            <w:pPr>
              <w:spacing w:before="0" w:after="0" w:line="240" w:lineRule="auto"/>
              <w:jc w:val="both"/>
            </w:pPr>
            <w:r>
              <w:rPr>
                <w:rFonts w:ascii="Arial" w:hAnsi="Arial" w:cs="Arial" w:eastAsia="Arial"/>
                <w:b/>
                <w:sz w:val="28"/>
              </w:rPr>
              <w:t>L3. Hisob siyosati, buxgalteriya hisob-kitoblaridagi o‘zgarishlar va xatolar.</w:t>
            </w:r>
            <w:r>
              <w:rPr>
                <w:rFonts w:ascii="Arial" w:hAnsi="Arial" w:cs="Arial" w:eastAsia="Arial"/>
                <w:b w:val="0"/>
                <w:sz w:val="28"/>
              </w:rPr>
              <w:t xml:space="preserve"> Hisob siyosati, buxgalteriya baholari va buxgalteriya xatolarini tuzatish tushuntiriladi. Ularning MHXS bo‘yicha moliyaviy hisobotga ta’siri muhokama qilinadi.</w:t>
            </w:r>
          </w:p>
          <w:p>
            <w:pPr>
              <w:spacing w:before="0" w:after="0" w:line="240" w:lineRule="auto"/>
              <w:jc w:val="both"/>
            </w:pPr>
            <w:r>
              <w:rPr>
                <w:rFonts w:ascii="Arial" w:hAnsi="Arial" w:cs="Arial" w:eastAsia="Arial"/>
                <w:b/>
                <w:sz w:val="28"/>
              </w:rPr>
              <w:t>L4. Kompaniyalarning birlashuvi.</w:t>
            </w:r>
            <w:r>
              <w:rPr>
                <w:rFonts w:ascii="Arial" w:hAnsi="Arial" w:cs="Arial" w:eastAsia="Arial"/>
                <w:b w:val="0"/>
                <w:sz w:val="28"/>
              </w:rPr>
              <w:t xml:space="preserve"> Biznes birlashuvlari, qo‘shilish, qo‘shib olish va konsolidatsiyalangan moliyaviy hisobotlar hisobi o‘rganiladi. Gudvilni tan olish va qo‘shib olish hisobi yoritiladi.</w:t>
            </w:r>
          </w:p>
          <w:p>
            <w:pPr>
              <w:spacing w:before="0" w:after="0" w:line="240" w:lineRule="auto"/>
              <w:jc w:val="both"/>
            </w:pPr>
            <w:r>
              <w:rPr>
                <w:rFonts w:ascii="Arial" w:hAnsi="Arial" w:cs="Arial" w:eastAsia="Arial"/>
                <w:b/>
                <w:sz w:val="28"/>
              </w:rPr>
              <w:t>L5. Qo‘shma korxonalar va assotsiatsiyalangan kompaniyalarga investitsiyalar. Aktivlarning qadrsizlanishi.</w:t>
            </w:r>
            <w:r>
              <w:rPr>
                <w:rFonts w:ascii="Arial" w:hAnsi="Arial" w:cs="Arial" w:eastAsia="Arial"/>
                <w:b w:val="0"/>
                <w:sz w:val="28"/>
              </w:rPr>
              <w:t xml:space="preserve"> Ulushli ishtirok usuli bo‘yicha investitsiyalar hisobi hamda MHXS bo‘yicha aktivlarning qadrsizlanishini tan olish va baholashga e’tibor qaratiladi.</w:t>
            </w:r>
          </w:p>
          <w:p>
            <w:pPr>
              <w:spacing w:before="0" w:after="0" w:line="240" w:lineRule="auto"/>
              <w:jc w:val="both"/>
            </w:pPr>
            <w:r>
              <w:rPr>
                <w:rFonts w:ascii="Arial" w:hAnsi="Arial" w:cs="Arial" w:eastAsia="Arial"/>
                <w:b/>
                <w:sz w:val="28"/>
              </w:rPr>
              <w:t>L6. Moliyaviy instrumentlar. Rezervlar, shartli majburiyatlar va shartli aktivlar.</w:t>
            </w:r>
            <w:r>
              <w:rPr>
                <w:rFonts w:ascii="Arial" w:hAnsi="Arial" w:cs="Arial" w:eastAsia="Arial"/>
                <w:b w:val="0"/>
                <w:sz w:val="28"/>
              </w:rPr>
              <w:t xml:space="preserve"> Moliyaviy instrumentlar, rezervlar, shartli majburiyatlar va shartli aktivlarni tan olish, baholash va oshkor qilish tushuntiriladi.</w:t>
            </w:r>
          </w:p>
          <w:p>
            <w:pPr>
              <w:spacing w:before="0" w:after="0" w:line="240" w:lineRule="auto"/>
              <w:jc w:val="both"/>
            </w:pPr>
            <w:r>
              <w:rPr>
                <w:rFonts w:ascii="Arial" w:hAnsi="Arial" w:cs="Arial" w:eastAsia="Arial"/>
                <w:b/>
                <w:sz w:val="28"/>
              </w:rPr>
              <w:t>L7. Qarzlar bo‘yicha xarajatlar va davlat subsidiyalari. Xodimlarga beriladigan nafaqalar va pensiya rejalari.</w:t>
            </w:r>
          </w:p>
          <w:p>
            <w:pPr>
              <w:spacing w:before="0" w:after="0" w:line="240" w:lineRule="auto"/>
              <w:jc w:val="both"/>
            </w:pPr>
            <w:r>
              <w:rPr>
                <w:rFonts w:ascii="Arial" w:hAnsi="Arial" w:cs="Arial" w:eastAsia="Arial"/>
                <w:b w:val="0"/>
                <w:sz w:val="28"/>
              </w:rPr>
              <w:t>MHXSga muvofiq qarzlar bo‘yicha xarajatlar, davlat subsidiyalari, xodimlarga beriladigan nafaqalar va pensiya majburiyatlari hisobi o‘rganiladi.</w:t>
            </w:r>
          </w:p>
          <w:p>
            <w:pPr>
              <w:spacing w:before="0" w:after="0" w:line="240" w:lineRule="auto"/>
              <w:jc w:val="both"/>
            </w:pPr>
            <w:r>
              <w:rPr>
                <w:rFonts w:ascii="Arial" w:hAnsi="Arial" w:cs="Arial" w:eastAsia="Arial"/>
                <w:b/>
                <w:sz w:val="28"/>
              </w:rPr>
              <w:t>L8. Pul oqimlari to‘g‘risidagi hisobot.</w:t>
            </w:r>
            <w:r>
              <w:rPr>
                <w:rFonts w:ascii="Arial" w:hAnsi="Arial" w:cs="Arial" w:eastAsia="Arial"/>
                <w:b w:val="0"/>
                <w:sz w:val="28"/>
              </w:rPr>
              <w:t xml:space="preserve"> Operatsion, investitsiya va moliyaviy faoliyatni o‘z ichiga olgan pul oqimlari to‘g‘risidagi hisobotni tuzish va izohlash tushuntiriladi.</w:t>
            </w:r>
          </w:p>
          <w:p>
            <w:pPr>
              <w:spacing w:before="0" w:after="0" w:line="240" w:lineRule="auto"/>
              <w:jc w:val="both"/>
            </w:pPr>
            <w:r>
              <w:rPr>
                <w:rFonts w:ascii="Arial" w:hAnsi="Arial" w:cs="Arial" w:eastAsia="Arial"/>
                <w:b/>
                <w:sz w:val="28"/>
              </w:rPr>
              <w:t>L9. Bog‘liq tomonlar to‘g‘risidagi ma’lumotlarni oshkor qilish.</w:t>
            </w:r>
            <w:r>
              <w:rPr>
                <w:rFonts w:ascii="Arial" w:hAnsi="Arial" w:cs="Arial" w:eastAsia="Arial"/>
                <w:b w:val="0"/>
                <w:sz w:val="28"/>
              </w:rPr>
              <w:t xml:space="preserve"> Moliyaviy hisobotda shaffoflik va hisobdorlikni ta’minlash maqsadida IAS 24 ga muvofiq bog‘liq tomonlar bilan operatsiyalarni aniqlash va oshkor qilish o‘rganiladi.</w:t>
            </w:r>
          </w:p>
          <w:p>
            <w:pPr>
              <w:spacing w:before="0" w:after="0" w:line="240" w:lineRule="auto"/>
              <w:jc w:val="both"/>
            </w:pPr>
            <w:r>
              <w:rPr>
                <w:rFonts w:ascii="Arial" w:hAnsi="Arial" w:cs="Arial" w:eastAsia="Arial"/>
                <w:b/>
                <w:sz w:val="28"/>
              </w:rPr>
              <w:t>L10. Ijara shartnomalari va qurilish shartnomalari.</w:t>
            </w:r>
            <w:r>
              <w:rPr>
                <w:rFonts w:ascii="Arial" w:hAnsi="Arial" w:cs="Arial" w:eastAsia="Arial"/>
                <w:b w:val="0"/>
                <w:sz w:val="28"/>
              </w:rPr>
              <w:t xml:space="preserve"> IFRS 16 bo‘yicha ijara operatsiyalari hisobi va IFRS 15 bo‘yicha qurilish shartnomalaridan tushumni tan olish muhokama qilinadi.</w:t>
            </w:r>
          </w:p>
          <w:p>
            <w:pPr>
              <w:spacing w:before="0" w:after="0" w:line="240" w:lineRule="auto"/>
              <w:jc w:val="both"/>
            </w:pPr>
            <w:r>
              <w:rPr>
                <w:rFonts w:ascii="Arial" w:hAnsi="Arial" w:cs="Arial" w:eastAsia="Arial"/>
                <w:b/>
                <w:sz w:val="28"/>
              </w:rPr>
              <w:t>L11. Nomoddiy aktivlar. Asosiy vositalar. Investitsion mulk.</w:t>
            </w:r>
            <w:r>
              <w:rPr>
                <w:rFonts w:ascii="Arial" w:hAnsi="Arial" w:cs="Arial" w:eastAsia="Arial"/>
                <w:b w:val="0"/>
                <w:sz w:val="28"/>
              </w:rPr>
              <w:t xml:space="preserve"> MHXSga muvofiq uzoq muddatli aktivlarni tan olish, baholash, eskirish, amortizatsiya, qadrsizlanish va oshkor qilish o‘rganiladi.</w:t>
            </w:r>
          </w:p>
          <w:p>
            <w:pPr>
              <w:spacing w:before="0" w:after="0" w:line="240" w:lineRule="auto"/>
              <w:jc w:val="both"/>
            </w:pPr>
            <w:r>
              <w:rPr>
                <w:rFonts w:ascii="Arial" w:hAnsi="Arial" w:cs="Arial" w:eastAsia="Arial"/>
                <w:b/>
                <w:sz w:val="28"/>
              </w:rPr>
              <w:t>L12. Tushum. Foyda solig‘i. Bir aksiyaga to‘g‘ri keladigan foyda.</w:t>
            </w:r>
            <w:r>
              <w:rPr>
                <w:rFonts w:ascii="Arial" w:hAnsi="Arial" w:cs="Arial" w:eastAsia="Arial"/>
                <w:b w:val="0"/>
                <w:sz w:val="28"/>
              </w:rPr>
              <w:t xml:space="preserve"> MHXS bo‘yicha tushumni tan olish, foyda solig‘i hisobi hamda bir aksiyaga to‘g‘ri keladigan foydani hisoblash va taqdim etish tushuntiriladi.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Buxgalteriya hisobi: tushunchasi, maqsadlari, predmeti, usullari. Kompaniyaning buxgalteriya hisobi sikli.</w:t>
            </w:r>
          </w:p>
          <w:p>
            <w:pPr>
              <w:spacing w:before="0" w:after="0" w:line="240" w:lineRule="auto"/>
              <w:jc w:val="both"/>
            </w:pPr>
            <w:r>
              <w:rPr>
                <w:rFonts w:ascii="Arial" w:hAnsi="Arial" w:cs="Arial" w:eastAsia="Arial"/>
                <w:b w:val="0"/>
                <w:sz w:val="28"/>
              </w:rPr>
              <w:t>Xo‘jalik operatsiyalarini hisobda aks ettirish, tasniflash va umumlashtirishni o‘z ichiga olgan hisob sikli bo‘yicha amaliy mashqlar bajariladi. Moliyaviy hisobot uchun asosiy buxgalteriya ko‘nikmalari rivojlantiriladi.</w:t>
            </w:r>
          </w:p>
          <w:p>
            <w:pPr>
              <w:spacing w:before="0" w:after="0" w:line="240" w:lineRule="auto"/>
              <w:jc w:val="both"/>
            </w:pPr>
            <w:r>
              <w:rPr>
                <w:rFonts w:ascii="Arial" w:hAnsi="Arial" w:cs="Arial" w:eastAsia="Arial"/>
                <w:b/>
                <w:sz w:val="28"/>
              </w:rPr>
              <w:t>P2. Moliyaviy hisobotlar: tarkibi, turlari, tuzish va taqdim etish tamoyillari.</w:t>
            </w:r>
            <w:r>
              <w:rPr>
                <w:rFonts w:ascii="Arial" w:hAnsi="Arial" w:cs="Arial" w:eastAsia="Arial"/>
                <w:b w:val="0"/>
                <w:sz w:val="28"/>
              </w:rPr>
              <w:t xml:space="preserve"> MHXSga muvofiq moliyaviy hisobotlarni tuzish va taqdim etishga e’tibor qaratiladi. Moliyaviy hisobotlarni tahlil qilish va ma’lumotlarni oshkor qilish bo‘yicha amaliy ko‘nikmalar rivojlantiriladi.</w:t>
            </w:r>
          </w:p>
          <w:p>
            <w:pPr>
              <w:spacing w:before="0" w:after="0" w:line="240" w:lineRule="auto"/>
              <w:jc w:val="both"/>
            </w:pPr>
            <w:r>
              <w:rPr>
                <w:rFonts w:ascii="Arial" w:hAnsi="Arial" w:cs="Arial" w:eastAsia="Arial"/>
                <w:b/>
                <w:sz w:val="28"/>
              </w:rPr>
              <w:t>P3. Hisob siyosati, buxgalteriya hisob-kitoblaridagi o‘zgarishlar va xatolar.</w:t>
            </w:r>
            <w:r>
              <w:rPr>
                <w:rFonts w:ascii="Arial" w:hAnsi="Arial" w:cs="Arial" w:eastAsia="Arial"/>
                <w:b w:val="0"/>
                <w:sz w:val="28"/>
              </w:rPr>
              <w:t xml:space="preserve"> Hisob siyosati, buxgalteriya baholari va xatolarni tuzatish tartib-taomillari amalda qo‘llaniladi. MHXS talablariga rioya etishga alohida e’tibor qaratiladi.</w:t>
            </w:r>
          </w:p>
          <w:p>
            <w:pPr>
              <w:spacing w:before="0" w:after="0" w:line="240" w:lineRule="auto"/>
              <w:jc w:val="both"/>
            </w:pPr>
            <w:r>
              <w:rPr>
                <w:rFonts w:ascii="Arial" w:hAnsi="Arial" w:cs="Arial" w:eastAsia="Arial"/>
                <w:b/>
                <w:sz w:val="28"/>
              </w:rPr>
              <w:t>P4. Kompaniyalarning birlashuvi.</w:t>
            </w:r>
            <w:r>
              <w:rPr>
                <w:rFonts w:ascii="Arial" w:hAnsi="Arial" w:cs="Arial" w:eastAsia="Arial"/>
                <w:b w:val="0"/>
                <w:sz w:val="28"/>
              </w:rPr>
              <w:t xml:space="preserve"> Biznes birlashuvlari, qo‘shib olishlar hisobi va konsolidatsiyalangan moliyaviy hisobotlarni tuzish bo‘yicha amaliy ko‘nikmalar rivojlantiriladi.</w:t>
            </w:r>
          </w:p>
          <w:p>
            <w:pPr>
              <w:spacing w:before="0" w:after="0" w:line="240" w:lineRule="auto"/>
              <w:jc w:val="both"/>
            </w:pPr>
            <w:r>
              <w:rPr>
                <w:rFonts w:ascii="Arial" w:hAnsi="Arial" w:cs="Arial" w:eastAsia="Arial"/>
                <w:b/>
                <w:sz w:val="28"/>
              </w:rPr>
              <w:t>P5. Qo‘shma korxonalar va assotsiatsiyalangan kompaniyalarga investitsiyalar. Aktivlarning qadrsizlanishi.</w:t>
            </w:r>
            <w:r>
              <w:rPr>
                <w:rFonts w:ascii="Arial" w:hAnsi="Arial" w:cs="Arial" w:eastAsia="Arial"/>
                <w:b w:val="0"/>
                <w:sz w:val="28"/>
              </w:rPr>
              <w:t xml:space="preserve"> Ulushli ishtirok usuli bo‘yicha investitsiyalar hisobi va MHXS bo‘yicha qadrsizlanishdan zararlarni tan olish bo‘yicha amaliy mashqlar bajariladi.</w:t>
            </w:r>
          </w:p>
          <w:p>
            <w:pPr>
              <w:spacing w:before="0" w:after="0" w:line="240" w:lineRule="auto"/>
              <w:jc w:val="both"/>
            </w:pPr>
            <w:r>
              <w:rPr>
                <w:rFonts w:ascii="Arial" w:hAnsi="Arial" w:cs="Arial" w:eastAsia="Arial"/>
                <w:b/>
                <w:sz w:val="28"/>
              </w:rPr>
              <w:t>P6. Moliyaviy instrumentlar. Rezervlar, shartli majburiyatlar va shartli aktivlar.</w:t>
            </w:r>
            <w:r>
              <w:rPr>
                <w:rFonts w:ascii="Arial" w:hAnsi="Arial" w:cs="Arial" w:eastAsia="Arial"/>
                <w:b w:val="0"/>
                <w:sz w:val="28"/>
              </w:rPr>
              <w:t xml:space="preserve"> Moliyaviy instrumentlar, rezervlar va shartli moddalarni tan olish, baholash va oshkor qilish bo‘yicha amaliy ko‘nikmalar rivojlantiriladi.</w:t>
            </w:r>
          </w:p>
          <w:p>
            <w:pPr>
              <w:spacing w:before="0" w:after="0" w:line="240" w:lineRule="auto"/>
              <w:jc w:val="both"/>
            </w:pPr>
            <w:r>
              <w:rPr>
                <w:rFonts w:ascii="Arial" w:hAnsi="Arial" w:cs="Arial" w:eastAsia="Arial"/>
                <w:b/>
                <w:sz w:val="28"/>
              </w:rPr>
              <w:t>P7. Qarzlar bo‘yicha xarajatlar va davlat subsidiyalari. Xodimlarga beriladigan nafaqalar va pensiya rejalari.</w:t>
            </w:r>
          </w:p>
          <w:p>
            <w:pPr>
              <w:spacing w:before="0" w:after="0" w:line="240" w:lineRule="auto"/>
              <w:jc w:val="both"/>
            </w:pPr>
            <w:r>
              <w:rPr>
                <w:rFonts w:ascii="Arial" w:hAnsi="Arial" w:cs="Arial" w:eastAsia="Arial"/>
                <w:b w:val="0"/>
                <w:sz w:val="28"/>
              </w:rPr>
              <w:t>MHXS bo‘yicha qarzlar bo‘yicha xarajatlar, davlat subsidiyalari, xodimlarga beriladigan nafaqalar va pensiya majburiyatlarining amaliy hisobiga e’tibor qaratiladi.</w:t>
            </w:r>
          </w:p>
          <w:p>
            <w:pPr>
              <w:spacing w:before="0" w:after="0" w:line="240" w:lineRule="auto"/>
              <w:jc w:val="both"/>
            </w:pPr>
            <w:r>
              <w:rPr>
                <w:rFonts w:ascii="Arial" w:hAnsi="Arial" w:cs="Arial" w:eastAsia="Arial"/>
                <w:b/>
                <w:sz w:val="28"/>
              </w:rPr>
              <w:t>P8. Pul oqimlari to‘g‘risidagi hisobot.</w:t>
            </w:r>
            <w:r>
              <w:rPr>
                <w:rFonts w:ascii="Arial" w:hAnsi="Arial" w:cs="Arial" w:eastAsia="Arial"/>
                <w:b w:val="0"/>
                <w:sz w:val="28"/>
              </w:rPr>
              <w:t xml:space="preserve"> To‘g‘ri va bilvosita usullardan foydalangan holda pul oqimlari to‘g‘risidagi hisobotlarni tuzish va izohlash bo‘yicha amaliy mashqlar bajariladi.</w:t>
            </w:r>
          </w:p>
          <w:p>
            <w:pPr>
              <w:spacing w:before="0" w:after="0" w:line="240" w:lineRule="auto"/>
              <w:jc w:val="both"/>
            </w:pPr>
            <w:r>
              <w:rPr>
                <w:rFonts w:ascii="Arial" w:hAnsi="Arial" w:cs="Arial" w:eastAsia="Arial"/>
                <w:b/>
                <w:sz w:val="28"/>
              </w:rPr>
              <w:t>P9. Bog‘liq tomonlar to‘g‘risidagi ma’lumotlarni oshkor qilish.</w:t>
            </w:r>
            <w:r>
              <w:rPr>
                <w:rFonts w:ascii="Arial" w:hAnsi="Arial" w:cs="Arial" w:eastAsia="Arial"/>
                <w:b w:val="0"/>
                <w:sz w:val="28"/>
              </w:rPr>
              <w:t xml:space="preserve"> Bog‘liq tomonlar bilan operatsiyalarni aniqlash va IAS 24 ga muvofiq oshkor qilinadigan ma’lumotlarni tayyorlash bo‘yicha amaliy ko‘nikmalar rivojlantiriladi.</w:t>
            </w:r>
          </w:p>
          <w:p>
            <w:pPr>
              <w:spacing w:before="0" w:after="0" w:line="240" w:lineRule="auto"/>
              <w:jc w:val="both"/>
            </w:pPr>
            <w:r>
              <w:rPr>
                <w:rFonts w:ascii="Arial" w:hAnsi="Arial" w:cs="Arial" w:eastAsia="Arial"/>
                <w:b/>
                <w:sz w:val="28"/>
              </w:rPr>
              <w:t>P10. Ijara shartnomalari va qurilish shartnomalari.</w:t>
            </w:r>
            <w:r>
              <w:rPr>
                <w:rFonts w:ascii="Arial" w:hAnsi="Arial" w:cs="Arial" w:eastAsia="Arial"/>
                <w:b w:val="0"/>
                <w:sz w:val="28"/>
              </w:rPr>
              <w:t xml:space="preserve"> Ijara operatsiyalari va qurilish shartnomalari hisobida IFRS 16 va IFRS 15 amalda qo‘llaniladi.</w:t>
            </w:r>
          </w:p>
          <w:p>
            <w:pPr>
              <w:spacing w:before="0" w:after="0" w:line="240" w:lineRule="auto"/>
              <w:jc w:val="both"/>
            </w:pPr>
            <w:r>
              <w:rPr>
                <w:rFonts w:ascii="Arial" w:hAnsi="Arial" w:cs="Arial" w:eastAsia="Arial"/>
                <w:b/>
                <w:sz w:val="28"/>
              </w:rPr>
              <w:t>P11. Nomoddiy aktivlar. Asosiy vositalar. Investitsion mulk.</w:t>
            </w:r>
            <w:r>
              <w:rPr>
                <w:rFonts w:ascii="Arial" w:hAnsi="Arial" w:cs="Arial" w:eastAsia="Arial"/>
                <w:b w:val="0"/>
                <w:sz w:val="28"/>
              </w:rPr>
              <w:t xml:space="preserve"> Uzoq muddatli aktivlarni tan olish, eskirish, amortizatsiya va qadrsizlanishni o‘z ichiga olgan hisob bo‘yicha amaliy ko‘nikmalar rivojlantiriladi.</w:t>
            </w:r>
          </w:p>
          <w:p>
            <w:pPr>
              <w:spacing w:before="0" w:after="0" w:line="240" w:lineRule="auto"/>
              <w:jc w:val="both"/>
            </w:pPr>
            <w:r>
              <w:rPr>
                <w:rFonts w:ascii="Arial" w:hAnsi="Arial" w:cs="Arial" w:eastAsia="Arial"/>
                <w:b/>
                <w:sz w:val="28"/>
              </w:rPr>
              <w:t>P12. Tushum. Foyda solig‘i. Bir aksiyaga to‘g‘ri keladigan foyda.</w:t>
            </w:r>
            <w:r>
              <w:rPr>
                <w:rFonts w:ascii="Arial" w:hAnsi="Arial" w:cs="Arial" w:eastAsia="Arial"/>
                <w:b w:val="0"/>
                <w:sz w:val="28"/>
              </w:rPr>
              <w:t xml:space="preserve"> MHXSga muvofiq tushumni tan olish, foyda solig‘i hisobi va bir aksiyaga to‘g‘ri keladigan foydani hisoblash bo‘yicha amaliy mashqlar bajariladi.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Buxgalteriya hisobi: tushunchasi, maqsadlari, predmeti, usullari. Kompaniyaning buxgalteriya hisobi sikli.</w:t>
            </w:r>
            <w:r>
              <w:rPr>
                <w:rFonts w:ascii="Arial" w:hAnsi="Arial" w:cs="Arial" w:eastAsia="Arial"/>
                <w:b w:val="0"/>
                <w:sz w:val="28"/>
              </w:rPr>
              <w:t xml:space="preserve"> Buxgalteriya hisobi tamoyillari va hisob sikli o‘rganiladi.</w:t>
            </w:r>
          </w:p>
          <w:p>
            <w:pPr>
              <w:spacing w:before="0" w:after="0" w:line="240" w:lineRule="auto"/>
              <w:jc w:val="both"/>
            </w:pPr>
            <w:r>
              <w:rPr>
                <w:rFonts w:ascii="Arial" w:hAnsi="Arial" w:cs="Arial" w:eastAsia="Arial"/>
                <w:b/>
                <w:sz w:val="28"/>
              </w:rPr>
              <w:t>SA2. Moliyaviy hisobotlar: tarkibi, turlari, tuzish va taqdim etish tamoyillari.</w:t>
            </w:r>
            <w:r>
              <w:rPr>
                <w:rFonts w:ascii="Arial" w:hAnsi="Arial" w:cs="Arial" w:eastAsia="Arial"/>
                <w:b w:val="0"/>
                <w:sz w:val="28"/>
              </w:rPr>
              <w:t xml:space="preserve"> MHXS bo‘yicha moliyaviy hisobotlarni tuzish va taqdim etish tahlil qilinadi.</w:t>
            </w:r>
          </w:p>
          <w:p>
            <w:pPr>
              <w:spacing w:before="0" w:after="0" w:line="240" w:lineRule="auto"/>
              <w:jc w:val="both"/>
            </w:pPr>
            <w:r>
              <w:rPr>
                <w:rFonts w:ascii="Arial" w:hAnsi="Arial" w:cs="Arial" w:eastAsia="Arial"/>
                <w:b/>
                <w:sz w:val="28"/>
              </w:rPr>
              <w:t>SA3. Hisob siyosati, buxgalteriya hisob-kitoblaridagi o‘zgarishlar va xatolar.</w:t>
            </w:r>
            <w:r>
              <w:rPr>
                <w:rFonts w:ascii="Arial" w:hAnsi="Arial" w:cs="Arial" w:eastAsia="Arial"/>
                <w:b w:val="0"/>
                <w:sz w:val="28"/>
              </w:rPr>
              <w:t xml:space="preserve"> MHXS bo‘yicha hisob siyosati, baholar va xatolarni tuzatish o‘rganiladi.</w:t>
            </w:r>
          </w:p>
          <w:p>
            <w:pPr>
              <w:spacing w:before="0" w:after="0" w:line="240" w:lineRule="auto"/>
              <w:jc w:val="both"/>
            </w:pPr>
            <w:r>
              <w:rPr>
                <w:rFonts w:ascii="Arial" w:hAnsi="Arial" w:cs="Arial" w:eastAsia="Arial"/>
                <w:b/>
                <w:sz w:val="28"/>
              </w:rPr>
              <w:t>SA4. Kompaniyalarning birlashuvi.</w:t>
            </w:r>
            <w:r>
              <w:rPr>
                <w:rFonts w:ascii="Arial" w:hAnsi="Arial" w:cs="Arial" w:eastAsia="Arial"/>
                <w:b w:val="0"/>
                <w:sz w:val="28"/>
              </w:rPr>
              <w:t xml:space="preserve"> Biznes birlashuvlari va konsolidatsiyalangan moliyaviy hisobotlar hisobi o‘rganiladi.</w:t>
            </w:r>
          </w:p>
          <w:p>
            <w:pPr>
              <w:spacing w:before="0" w:after="0" w:line="240" w:lineRule="auto"/>
              <w:jc w:val="both"/>
            </w:pPr>
            <w:r>
              <w:rPr>
                <w:rFonts w:ascii="Arial" w:hAnsi="Arial" w:cs="Arial" w:eastAsia="Arial"/>
                <w:b/>
                <w:sz w:val="28"/>
              </w:rPr>
              <w:t>SA5. Qo‘shma korxonalar va assotsiatsiyalangan kompaniyalarga investitsiyalar. Aktivlarning qadrsizlanishi.</w:t>
            </w:r>
            <w:r>
              <w:rPr>
                <w:rFonts w:ascii="Arial" w:hAnsi="Arial" w:cs="Arial" w:eastAsia="Arial"/>
                <w:b w:val="0"/>
                <w:sz w:val="28"/>
              </w:rPr>
              <w:t xml:space="preserve"> MHXSga muvofiq investitsiyalar va aktivlarning qadrsizlanishi tahlil qilinadi.</w:t>
            </w:r>
          </w:p>
          <w:p>
            <w:pPr>
              <w:spacing w:before="0" w:after="0" w:line="240" w:lineRule="auto"/>
              <w:jc w:val="both"/>
            </w:pPr>
            <w:r>
              <w:rPr>
                <w:rFonts w:ascii="Arial" w:hAnsi="Arial" w:cs="Arial" w:eastAsia="Arial"/>
                <w:b/>
                <w:sz w:val="28"/>
              </w:rPr>
              <w:t>SA6. Moliyaviy instrumentlar. Rezervlar, shartli majburiyatlar va shartli aktivlar.</w:t>
            </w:r>
            <w:r>
              <w:rPr>
                <w:rFonts w:ascii="Arial" w:hAnsi="Arial" w:cs="Arial" w:eastAsia="Arial"/>
                <w:b w:val="0"/>
                <w:sz w:val="28"/>
              </w:rPr>
              <w:t xml:space="preserve"> Moliyaviy instrumentlar, rezervlar va shartli moddalar o‘rganiladi.</w:t>
            </w:r>
          </w:p>
          <w:p>
            <w:pPr>
              <w:spacing w:before="0" w:after="0" w:line="240" w:lineRule="auto"/>
              <w:jc w:val="both"/>
            </w:pPr>
            <w:r>
              <w:rPr>
                <w:rFonts w:ascii="Arial" w:hAnsi="Arial" w:cs="Arial" w:eastAsia="Arial"/>
                <w:b/>
                <w:sz w:val="28"/>
              </w:rPr>
              <w:t>SA7. Qarzlar bo‘yicha xarajatlar va davlat subsidiyalari. Xodimlarga beriladigan nafaqalar va pensiya rejalari.</w:t>
            </w:r>
          </w:p>
          <w:p>
            <w:pPr>
              <w:spacing w:before="0" w:after="0" w:line="240" w:lineRule="auto"/>
              <w:jc w:val="both"/>
            </w:pPr>
            <w:r>
              <w:rPr>
                <w:rFonts w:ascii="Arial" w:hAnsi="Arial" w:cs="Arial" w:eastAsia="Arial"/>
                <w:b w:val="0"/>
                <w:sz w:val="28"/>
              </w:rPr>
              <w:t>MHXS bo‘yicha qarzlar bo‘yicha xarajatlar, davlat subsidiyalari va xodimlarga beriladigan nafaqalar o‘rganiladi.</w:t>
            </w:r>
          </w:p>
          <w:p>
            <w:pPr>
              <w:spacing w:before="0" w:after="0" w:line="240" w:lineRule="auto"/>
              <w:jc w:val="both"/>
            </w:pPr>
            <w:r>
              <w:rPr>
                <w:rFonts w:ascii="Arial" w:hAnsi="Arial" w:cs="Arial" w:eastAsia="Arial"/>
                <w:b/>
                <w:sz w:val="28"/>
              </w:rPr>
              <w:t>SA8. Pul oqimlari to‘g‘risidagi hisobot.</w:t>
            </w:r>
            <w:r>
              <w:rPr>
                <w:rFonts w:ascii="Arial" w:hAnsi="Arial" w:cs="Arial" w:eastAsia="Arial"/>
                <w:b w:val="0"/>
                <w:sz w:val="28"/>
              </w:rPr>
              <w:t xml:space="preserve"> Pul oqimlari to‘g‘risidagi hisobotlar tuziladi va tahlil qilinadi.</w:t>
            </w:r>
          </w:p>
          <w:p>
            <w:pPr>
              <w:spacing w:before="0" w:after="0" w:line="240" w:lineRule="auto"/>
              <w:jc w:val="both"/>
            </w:pPr>
            <w:r>
              <w:rPr>
                <w:rFonts w:ascii="Arial" w:hAnsi="Arial" w:cs="Arial" w:eastAsia="Arial"/>
                <w:b/>
                <w:sz w:val="28"/>
              </w:rPr>
              <w:t>SA9. Bog‘liq tomonlar to‘g‘risidagi ma’lumotlarni oshkor qilish.</w:t>
            </w:r>
            <w:r>
              <w:rPr>
                <w:rFonts w:ascii="Arial" w:hAnsi="Arial" w:cs="Arial" w:eastAsia="Arial"/>
                <w:b w:val="0"/>
                <w:sz w:val="28"/>
              </w:rPr>
              <w:t xml:space="preserve"> Bog‘liq tomonlar bilan operatsiyalar va ularni oshkor qilish talablari o‘rganiladi.</w:t>
            </w:r>
          </w:p>
          <w:p>
            <w:pPr>
              <w:spacing w:before="0" w:after="0" w:line="240" w:lineRule="auto"/>
              <w:jc w:val="both"/>
            </w:pPr>
            <w:r>
              <w:rPr>
                <w:rFonts w:ascii="Arial" w:hAnsi="Arial" w:cs="Arial" w:eastAsia="Arial"/>
                <w:b/>
                <w:sz w:val="28"/>
              </w:rPr>
              <w:t>SA10. Ijara shartnomalari va qurilish shartnomalari.</w:t>
            </w:r>
            <w:r>
              <w:rPr>
                <w:rFonts w:ascii="Arial" w:hAnsi="Arial" w:cs="Arial" w:eastAsia="Arial"/>
                <w:b w:val="0"/>
                <w:sz w:val="28"/>
              </w:rPr>
              <w:t xml:space="preserve"> MHXS bo‘yicha ijara hisobi va tushumni tan olish tahlil qilinadi.</w:t>
            </w:r>
          </w:p>
          <w:p>
            <w:pPr>
              <w:spacing w:before="0" w:after="0" w:line="240" w:lineRule="auto"/>
              <w:jc w:val="both"/>
            </w:pPr>
            <w:r>
              <w:rPr>
                <w:rFonts w:ascii="Arial" w:hAnsi="Arial" w:cs="Arial" w:eastAsia="Arial"/>
                <w:b/>
                <w:sz w:val="28"/>
              </w:rPr>
              <w:t>SA11. Nomoddiy aktivlar. Asosiy vositalar. Investitsion mulk.</w:t>
            </w:r>
          </w:p>
          <w:p>
            <w:pPr>
              <w:spacing w:before="0" w:after="0" w:line="240" w:lineRule="auto"/>
              <w:jc w:val="both"/>
            </w:pPr>
            <w:r>
              <w:rPr>
                <w:rFonts w:ascii="Arial" w:hAnsi="Arial" w:cs="Arial" w:eastAsia="Arial"/>
                <w:b w:val="0"/>
                <w:sz w:val="28"/>
              </w:rPr>
              <w:t>MHXSga muvofiq uzoq muddatli aktivlar hisobi o‘rganiladi.</w:t>
            </w:r>
          </w:p>
          <w:p>
            <w:pPr>
              <w:spacing w:before="0" w:after="0" w:line="240" w:lineRule="auto"/>
              <w:jc w:val="both"/>
            </w:pPr>
            <w:r>
              <w:rPr>
                <w:rFonts w:ascii="Arial" w:hAnsi="Arial" w:cs="Arial" w:eastAsia="Arial"/>
                <w:b/>
                <w:sz w:val="28"/>
              </w:rPr>
              <w:t>SA12. Tushum. Foyda solig‘i. Bir aksiyaga to‘g‘ri keladigan foyda.</w:t>
            </w:r>
            <w:r>
              <w:rPr>
                <w:rFonts w:ascii="Arial" w:hAnsi="Arial" w:cs="Arial" w:eastAsia="Arial"/>
                <w:b w:val="0"/>
                <w:sz w:val="28"/>
              </w:rPr>
              <w:t xml:space="preserve"> MHXS bo‘yicha tushum, foyda solig‘i va bir aksiyaga to‘g‘ri keladigan foyda o‘rganiladi.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seminarlar, keys-stadilar, muammoli ta’lim, loyihaviy ta’lim va mustaqil ta’lim orqali o‘qitiladi. Talabalar xalqaro to‘lov tizimlari, hujjatli akkreditivlar, valyuta operatsiyalari, SWIFT operatsiyalari va xalqaro bank hujjatlariga oid amaliy mashqlarda ishtirok etadilar. O‘qitish jarayonida moliyaviy simulyatsiyalar, guruh loyihalari, taqdimotlar hamda raqamli bank platformalari va moliyaviy axborot tizimlaridan foydalaniladi. Mustaqil ta’lim tadqiqot topshiriqlari, tahliliy hisobotlar va keys tahlilini o‘z ichiga oladi. Modul davomida talabalar xalqaro moliyaviy operatsiyalar va transchegaraviy tranzaksiyalar uchun zarur bo‘lgan tahliliy fikrlash, kasbiy muloqot, jamoada ishlash, axloqiy qaror qabul qilish va raqamli kompetensiyalarni rivojlantiradilar.</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Buxgalteriya hisobi BH1305, Ekonometrika EKMET1405, Byudjet hisobi va hisoboti BHH405, Soliqlar va soliqqa tortish SST1505, G‘aznachilik G‘B1605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va baholash</w:t>
            </w:r>
            <w:r>
              <w:rPr>
                <w:rFonts w:ascii="Arial" w:hAnsi="Arial" w:cs="Arial" w:eastAsia="Arial"/>
                <w:b w:val="0"/>
                <w:sz w:val="28"/>
              </w:rPr>
              <w:t xml:space="preserve"> 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 va amaliy mashg‘ulotlardagi ishtiroki, keys-stadilar, auditoriyadagi faoliyati va mustaqil topshiriqlarini baholaydi. Baholash xalqaro to‘lov hujjatlari, valyuta hisob-kitoblari, SWIFT operatsiyalari, hujjatli akkreditivlar, hujjatli inkasso va xalqaro bank operatsiyalariga oid amaliy topshiriqlarni o‘z ichiga oladi.</w:t>
            </w:r>
          </w:p>
          <w:p>
            <w:pPr>
              <w:spacing w:before="0" w:after="0" w:line="240" w:lineRule="auto"/>
              <w:jc w:val="both"/>
            </w:pPr>
            <w:r>
              <w:rPr>
                <w:rFonts w:ascii="Arial" w:hAnsi="Arial" w:cs="Arial" w:eastAsia="Arial"/>
                <w:b w:val="0"/>
                <w:sz w:val="28"/>
              </w:rPr>
              <w:t>Oraliq nazorat (30%) yozma testlar, amaliy topshiriqlar va mustaqil loyihalardan iborat. Talabalar real biznes keyslari asosida xalqaro to‘lov tizimlari, valyuta bozorlari, savdoni moliyalashtirish vositalari, bank operatsiyalari va moliyaviy risklarni boshqarishni tahlil qiladilar.</w:t>
            </w:r>
          </w:p>
          <w:p>
            <w:pPr>
              <w:spacing w:before="0" w:after="0" w:line="240" w:lineRule="auto"/>
              <w:jc w:val="both"/>
            </w:pPr>
            <w:r>
              <w:rPr>
                <w:rFonts w:ascii="Arial" w:hAnsi="Arial" w:cs="Arial" w:eastAsia="Arial"/>
                <w:b w:val="0"/>
                <w:sz w:val="28"/>
              </w:rPr>
              <w:t>Yakuniy nazorat (50%) nazariy bilimlar va amaliy kompetensiyalarni qamrab oluvchi keng qamrovli yozma imtihondir.</w:t>
            </w:r>
          </w:p>
          <w:p>
            <w:pPr>
              <w:spacing w:before="0" w:after="0" w:line="240" w:lineRule="auto"/>
              <w:jc w:val="both"/>
            </w:pPr>
            <w:r>
              <w:rPr>
                <w:rFonts w:ascii="Arial" w:hAnsi="Arial" w:cs="Arial" w:eastAsia="Arial"/>
                <w:b w:val="0"/>
                <w:sz w:val="28"/>
              </w:rPr>
              <w:t>Talabalar keyslarni yechadilar, xalqaro to‘lov hujjatlarini tayyorlaydilar, valyuta hisob-kitoblarini bajaradilar, xalqaro bank operatsiyalarini tahlil qiladilar va xalqaro moliyaviy qoidalarni qo‘llaydilar. Yakuniy imtihonga kirishdan oldin barcha mustaqil topshiriqlarni bajarish talab etiladi.</w:t>
            </w:r>
          </w:p>
          <w:p>
            <w:pPr>
              <w:spacing w:before="0" w:after="0" w:line="240" w:lineRule="auto"/>
              <w:jc w:val="both"/>
            </w:pPr>
            <w:r>
              <w:rPr>
                <w:rFonts w:ascii="Arial" w:hAnsi="Arial" w:cs="Arial" w:eastAsia="Arial"/>
                <w:b/>
                <w:sz w:val="28"/>
              </w:rPr>
              <w:t>Baholash mezonlari va baholash shkalasi</w:t>
            </w:r>
            <w:r>
              <w:rPr>
                <w:rFonts w:ascii="Arial" w:hAnsi="Arial" w:cs="Arial" w:eastAsia="Arial"/>
                <w:b w:val="0"/>
                <w:sz w:val="28"/>
              </w:rPr>
              <w:t xml:space="preserve"> Talabalarning o‘zlashtirishi 100 ballik baholash tizimi asosida baholanadi.</w:t>
            </w:r>
          </w:p>
          <w:p>
            <w:pPr>
              <w:spacing w:before="0" w:after="0" w:line="240" w:lineRule="auto"/>
              <w:jc w:val="both"/>
            </w:pPr>
            <w:r>
              <w:rPr>
                <w:rFonts w:ascii="Arial" w:hAnsi="Arial" w:cs="Arial" w:eastAsia="Arial"/>
                <w:b/>
                <w:sz w:val="28"/>
              </w:rPr>
              <w:t>A’lo (90–100 ball / 5 baho):</w:t>
            </w:r>
          </w:p>
          <w:p>
            <w:pPr>
              <w:spacing w:before="0" w:after="0" w:line="240" w:lineRule="auto"/>
              <w:jc w:val="both"/>
            </w:pPr>
            <w:r>
              <w:rPr>
                <w:rFonts w:ascii="Arial" w:hAnsi="Arial" w:cs="Arial" w:eastAsia="Arial"/>
                <w:b w:val="0"/>
                <w:sz w:val="28"/>
              </w:rPr>
              <w:t>Xalqaro hisob-kitoblar bo‘yicha keng qamrovli bilimlarni namoyish etadi, xalqaro bank standartlarini aniq qo‘llaydi, murakkab moliyaviy operatsiyalarni mustaqil tahlil qiladi hamda barcha amaliy va mustaqil topshiriqlarni muvaffaqiyatli bajaradi.</w:t>
            </w:r>
          </w:p>
          <w:p>
            <w:pPr>
              <w:spacing w:before="0" w:after="0" w:line="240" w:lineRule="auto"/>
              <w:jc w:val="both"/>
            </w:pPr>
            <w:r>
              <w:rPr>
                <w:rFonts w:ascii="Arial" w:hAnsi="Arial" w:cs="Arial" w:eastAsia="Arial"/>
                <w:b/>
                <w:sz w:val="28"/>
              </w:rPr>
              <w:t>Yaxshi (70–89,9 ball / 4 baho):</w:t>
            </w:r>
          </w:p>
          <w:p>
            <w:pPr>
              <w:spacing w:before="0" w:after="0" w:line="240" w:lineRule="auto"/>
              <w:jc w:val="both"/>
            </w:pPr>
            <w:r>
              <w:rPr>
                <w:rFonts w:ascii="Arial" w:hAnsi="Arial" w:cs="Arial" w:eastAsia="Arial"/>
                <w:b w:val="0"/>
                <w:sz w:val="28"/>
              </w:rPr>
              <w:t>Yaxshi nazariy va amaliy bilimlarni namoyish etadi, xalqaro qoidalarni to‘g‘ri qo‘llaydi va topshiriqlarni faqat kichik xatolar bilan bajaradi.</w:t>
            </w:r>
          </w:p>
          <w:p>
            <w:pPr>
              <w:spacing w:before="0" w:after="0" w:line="240" w:lineRule="auto"/>
              <w:jc w:val="both"/>
            </w:pPr>
            <w:r>
              <w:rPr>
                <w:rFonts w:ascii="Arial" w:hAnsi="Arial" w:cs="Arial" w:eastAsia="Arial"/>
                <w:b/>
                <w:sz w:val="28"/>
              </w:rPr>
              <w:t>O‘rtacha (60–69,9 ball / 3 baho):</w:t>
            </w:r>
          </w:p>
          <w:p>
            <w:pPr>
              <w:spacing w:before="0" w:after="0" w:line="240" w:lineRule="auto"/>
              <w:jc w:val="both"/>
            </w:pPr>
            <w:r>
              <w:rPr>
                <w:rFonts w:ascii="Arial" w:hAnsi="Arial" w:cs="Arial" w:eastAsia="Arial"/>
                <w:b w:val="0"/>
                <w:sz w:val="28"/>
              </w:rPr>
              <w:t>Xalqaro hisob-kitoblar haqida qoniqarli tushunchaga ega va asosiy tahliliy hamda amaliy topshiriqlarni ayrim cheklovlar bilan bajara oladi.</w:t>
            </w:r>
          </w:p>
          <w:p>
            <w:pPr>
              <w:spacing w:before="0" w:after="0" w:line="240" w:lineRule="auto"/>
              <w:jc w:val="both"/>
            </w:pPr>
            <w:r>
              <w:rPr>
                <w:rFonts w:ascii="Arial" w:hAnsi="Arial" w:cs="Arial" w:eastAsia="Arial"/>
                <w:b/>
                <w:sz w:val="28"/>
              </w:rPr>
              <w:t>Qoniqarsiz (0–59,9 ball / 2 baho):</w:t>
            </w:r>
          </w:p>
          <w:p>
            <w:pPr>
              <w:spacing w:before="0" w:after="0" w:line="240" w:lineRule="auto"/>
              <w:jc w:val="both"/>
            </w:pPr>
            <w:r>
              <w:rPr>
                <w:rFonts w:ascii="Arial" w:hAnsi="Arial" w:cs="Arial" w:eastAsia="Arial"/>
                <w:b w:val="0"/>
                <w:sz w:val="28"/>
              </w:rPr>
              <w:t>Yetarli bilim va amaliy ko‘nikmalarga ega emas, minimal akademik talablarga javob bermaydi yoki talab etilgan nazorat turlarini muvaffaqiyatli topshirmaydi.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International Chamber of Commerce. (2021). ICC Uniform Customs and Practice for Documentary Credits (UCP 600). ICC Publishing.</w:t>
            </w:r>
          </w:p>
          <w:p>
            <w:pPr>
              <w:spacing w:before="0" w:after="0" w:line="240" w:lineRule="auto"/>
              <w:jc w:val="both"/>
            </w:pPr>
            <w:r>
              <w:rPr>
                <w:rFonts w:ascii="Arial" w:hAnsi="Arial" w:cs="Arial" w:eastAsia="Arial"/>
                <w:b w:val="0"/>
                <w:sz w:val="28"/>
              </w:rPr>
              <w:t>2. International Chamber of Commerce. (2022). Uniform Rules for Collections (URC 522). ICC Publishing.</w:t>
            </w:r>
          </w:p>
          <w:p>
            <w:pPr>
              <w:spacing w:before="0" w:after="0" w:line="240" w:lineRule="auto"/>
              <w:jc w:val="both"/>
            </w:pPr>
            <w:r>
              <w:rPr>
                <w:rFonts w:ascii="Arial" w:hAnsi="Arial" w:cs="Arial" w:eastAsia="Arial"/>
                <w:b w:val="0"/>
                <w:sz w:val="28"/>
              </w:rPr>
              <w:t>3. International Monetary Fund. (2023). Balance of Payments and International Investment Position Manual (7th ed.). International Monetary Fund.</w:t>
            </w:r>
          </w:p>
          <w:p>
            <w:pPr>
              <w:spacing w:before="0" w:after="0" w:line="240" w:lineRule="auto"/>
              <w:jc w:val="both"/>
            </w:pPr>
            <w:r>
              <w:rPr>
                <w:rFonts w:ascii="Arial" w:hAnsi="Arial" w:cs="Arial" w:eastAsia="Arial"/>
                <w:b w:val="0"/>
                <w:sz w:val="28"/>
              </w:rPr>
              <w:t>4. International Financial Reporting Standards Foundation. (2024). Issued IFRS Accounting Standards. IFRS Foundation.</w:t>
            </w:r>
          </w:p>
          <w:p>
            <w:pPr>
              <w:spacing w:before="0" w:after="0" w:line="240" w:lineRule="auto"/>
              <w:jc w:val="both"/>
            </w:pPr>
            <w:r>
              <w:rPr>
                <w:rFonts w:ascii="Arial" w:hAnsi="Arial" w:cs="Arial" w:eastAsia="Arial"/>
                <w:b w:val="0"/>
                <w:sz w:val="28"/>
              </w:rPr>
              <w:t>5. Madura, J. (2024). International Financial Management (15th ed.). Cengage Learning.</w:t>
            </w:r>
          </w:p>
          <w:p>
            <w:pPr>
              <w:spacing w:before="0" w:after="0" w:line="240" w:lineRule="auto"/>
              <w:jc w:val="both"/>
            </w:pPr>
            <w:r>
              <w:rPr>
                <w:rFonts w:ascii="Arial" w:hAnsi="Arial" w:cs="Arial" w:eastAsia="Arial"/>
                <w:b w:val="0"/>
                <w:sz w:val="28"/>
              </w:rPr>
              <w:t>6. Eun, C. S., &amp; Resnick, B. G. (2023). International Financial Management (10th ed.). McGraw-Hill Education.</w:t>
            </w:r>
          </w:p>
          <w:p>
            <w:pPr>
              <w:spacing w:before="0" w:after="0" w:line="240" w:lineRule="auto"/>
              <w:jc w:val="both"/>
            </w:pPr>
            <w:r>
              <w:rPr>
                <w:rFonts w:ascii="Arial" w:hAnsi="Arial" w:cs="Arial" w:eastAsia="Arial"/>
                <w:b w:val="0"/>
                <w:sz w:val="28"/>
              </w:rPr>
              <w:t>7. Mishkin, F. S., &amp; Eakins, S. G. (2023). Financial Markets and Institutions (10th ed.). Pearson.</w:t>
            </w:r>
          </w:p>
          <w:p>
            <w:pPr>
              <w:spacing w:before="0" w:after="0" w:line="240" w:lineRule="auto"/>
              <w:jc w:val="both"/>
            </w:pPr>
            <w:r>
              <w:rPr>
                <w:rFonts w:ascii="Arial" w:hAnsi="Arial" w:cs="Arial" w:eastAsia="Arial"/>
                <w:b w:val="0"/>
                <w:sz w:val="28"/>
              </w:rPr>
              <w:t>8. Rose, P. S., &amp; Hudgins, S. C. (2022). Bank Management and Financial Services (11th ed.). McGraw-Hill Education.</w:t>
            </w:r>
          </w:p>
          <w:p>
            <w:pPr>
              <w:spacing w:before="0" w:after="0" w:line="240" w:lineRule="auto"/>
              <w:jc w:val="both"/>
            </w:pPr>
            <w:r>
              <w:rPr>
                <w:rFonts w:ascii="Arial" w:hAnsi="Arial" w:cs="Arial" w:eastAsia="Arial"/>
                <w:b w:val="0"/>
                <w:sz w:val="28"/>
              </w:rPr>
              <w:t>9. Pilbeam, K. (2023). International Finance (6th ed.). Red Globe Press.</w:t>
            </w:r>
          </w:p>
          <w:p>
            <w:pPr>
              <w:spacing w:before="0" w:after="0" w:line="240" w:lineRule="auto"/>
              <w:jc w:val="both"/>
            </w:pPr>
            <w:r>
              <w:rPr>
                <w:rFonts w:ascii="Arial" w:hAnsi="Arial" w:cs="Arial" w:eastAsia="Arial"/>
                <w:b w:val="0"/>
                <w:sz w:val="28"/>
              </w:rPr>
              <w:t>10. Organisation for Economic Co-operation and Development. (2023). OECD Economic Outlook. OECD Publishing.</w:t>
            </w:r>
          </w:p>
          <w:p>
            <w:pPr>
              <w:spacing w:before="0" w:after="0" w:line="240" w:lineRule="auto"/>
              <w:jc w:val="both"/>
            </w:pPr>
            <w:r>
              <w:rPr>
                <w:rFonts w:ascii="Arial" w:hAnsi="Arial" w:cs="Arial" w:eastAsia="Arial"/>
                <w:b w:val="0"/>
                <w:sz w:val="28"/>
              </w:rPr>
              <w:t>11. United Nations Conference on Trade and Development. (2024). Trade and Development Report 2024. United Nations.</w:t>
            </w:r>
          </w:p>
          <w:p>
            <w:pPr>
              <w:spacing w:before="0" w:after="0" w:line="240" w:lineRule="auto"/>
              <w:jc w:val="both"/>
            </w:pPr>
            <w:r>
              <w:rPr>
                <w:rFonts w:ascii="Arial" w:hAnsi="Arial" w:cs="Arial" w:eastAsia="Arial"/>
                <w:b w:val="0"/>
                <w:sz w:val="28"/>
              </w:rPr>
              <w:t>12. O‘zbekiston Respublikasi Markaziy banki. (2024). Valyuta operatsiyalari va xalqaro hisob-kitoblar to‘g‘risidagi nizom. Toshkent, O‘zbekiston.</w:t>
            </w:r>
          </w:p>
          <w:p>
            <w:pPr>
              <w:spacing w:before="0" w:after="0" w:line="240" w:lineRule="auto"/>
              <w:jc w:val="both"/>
            </w:pPr>
            <w:r>
              <w:rPr>
                <w:rFonts w:ascii="Arial" w:hAnsi="Arial" w:cs="Arial" w:eastAsia="Arial"/>
                <w:b w:val="0"/>
                <w:sz w:val="28"/>
              </w:rPr>
              <w:t>13. Hull, J. C. (2022). Risk Management and Financial Institutions (6th ed.). Wiley.</w:t>
            </w:r>
          </w:p>
          <w:p>
            <w:pPr>
              <w:spacing w:before="0" w:after="0" w:line="240" w:lineRule="auto"/>
              <w:jc w:val="both"/>
            </w:pPr>
            <w:r>
              <w:rPr>
                <w:rFonts w:ascii="Arial" w:hAnsi="Arial" w:cs="Arial" w:eastAsia="Arial"/>
                <w:b w:val="0"/>
                <w:sz w:val="28"/>
              </w:rPr>
              <w:t>14. Coyle, B. (2022). International Trade Finance (2nd ed.). Routledge.</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Shaymatova Nargiza Ashurovna,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