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i w:val="0"/>
          <w:sz w:val="28"/>
        </w:rPr>
        <w:t>1.1.6-rasmning yangi varianti (namuna)</w:t>
      </w:r>
    </w:p>
    <w:p>
      <w:pPr>
        <w:ind w:firstLine="0"/>
        <w:jc w:val="both"/>
      </w:pPr>
      <w:r>
        <w:rPr>
          <w:b w:val="0"/>
          <w:i/>
          <w:color w:val="595959"/>
          <w:sz w:val="24"/>
        </w:rPr>
        <w:t>Ma’qul bo‘lsa: 1.1-§ dagi “Bu ko‘rsatkichning amaliy samaradorligini L. Chiaramonte va F. Poli tadqiqoti yaqqol tasdiqlaydi (1.1.6-rasm).” jumlasi quyidagi birinchi jumla bilan, 1.1.6-rasm va undan keyingi “Mualliflar 12 mamlakatdagi …” xatboshi esa quyidagi rasm va tahlil bilan almashtiriladi.</w:t>
      </w:r>
    </w:p>
    <w:p>
      <w:pPr>
        <w:ind w:firstLine="709"/>
        <w:jc w:val="both"/>
      </w:pPr>
      <w:r>
        <w:rPr>
          <w:b w:val="0"/>
          <w:i w:val="0"/>
          <w:sz w:val="28"/>
        </w:rPr>
        <w:t>… Bu ko‘rsatkich tarkibiy qismlarining amaliy samaradorligini S. Korreya, S. Lak va E. Verner tadqiqoti yaqqol tasdiqlaydi (1.1.6-rasm).</w:t>
      </w:r>
    </w:p>
    <w:p>
      <w:pPr>
        <w:jc w:val="center"/>
      </w:pPr>
      <w:r xmlns:a="http://schemas.openxmlformats.org/drawingml/2006/main" xmlns:c="http://schemas.openxmlformats.org/drawingml/2006/chart">
        <w:rPr>
          <w:noProof/>
        </w:rPr>
        <w:drawing>
          <wp:inline distT="0" distB="0" distL="0" distR="0">
            <wp:extent cx="5760000" cy="3060000"/>
            <wp:effectExtent l="0" t="0" r="0" b="0"/>
            <wp:docPr id="1001" name="1.1.6-rasm"/>
            <wp:cNvGraphicFramePr/>
            <a:graphic>
              <a:graphicData uri="http://schemas.openxmlformats.org/drawingml/2006/chart">
                <c:chart r:id="rId9"/>
              </a:graphicData>
            </a:graphic>
          </wp:inline>
        </w:drawing>
      </w:r>
    </w:p>
    <w:p>
      <w:pPr>
        <w:ind w:firstLine="0"/>
        <w:jc w:val="center"/>
      </w:pPr>
      <w:r>
        <w:rPr>
          <w:b/>
          <w:i w:val="0"/>
          <w:sz w:val="28"/>
        </w:rPr>
        <w:t>1.1.6-rasm. Buxgalteriya ko‘rsatkichlariga asoslangan modellarning AQSh banklari faoliyati to‘xtatilishini bashorat qilish aniqligi (AUC), 1959–2024-yillar[1]</w:t>
      </w:r>
    </w:p>
    <w:p>
      <w:pPr>
        <w:ind w:firstLine="709"/>
        <w:jc w:val="both"/>
      </w:pPr>
      <w:r>
        <w:rPr>
          <w:b w:val="0"/>
          <w:i w:val="0"/>
          <w:sz w:val="28"/>
        </w:rPr>
        <w:t>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mumkin[2].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p>
    <w:p>
      <w:pPr>
        <w:ind w:firstLine="0"/>
        <w:jc w:val="center"/>
      </w:pPr>
      <w:r>
        <w:rPr>
          <w:b/>
          <w:i w:val="0"/>
          <w:sz w:val="28"/>
        </w:rPr>
        <w:t>Sahifa osti snoskalari</w:t>
      </w:r>
    </w:p>
    <w:p>
      <w:pPr>
        <w:ind w:firstLine="0"/>
        <w:jc w:val="both"/>
      </w:pPr>
      <w:r>
        <w:rPr>
          <w:b w:val="0"/>
          <w:i w:val="0"/>
          <w:sz w:val="22"/>
        </w:rPr>
        <w:t>[1] 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p>
      <w:pPr>
        <w:ind w:firstLine="0"/>
        <w:jc w:val="both"/>
      </w:pPr>
      <w:r>
        <w:rPr>
          <w:b w:val="0"/>
          <w:i w:val="0"/>
          <w:sz w:val="22"/>
        </w:rPr>
        <w:t>[2] Correia S., Luck S., Verner E. Failing Banks // Quarterly Journal of Economics. – 2026. – Vol. 141, No. 1. – P. 147–204; ishchi varianti: arXiv:2506.06082. – 2025 – P. 1, 30–31.</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