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  <w:sz w:val="28"/>
        </w:rPr>
        <w:t>1.3.1-rasm bo‘yicha tuzatishlar (namuna)</w:t>
      </w:r>
    </w:p>
    <w:p>
      <w:pPr>
        <w:jc w:val="both"/>
      </w:pPr>
      <w:r>
        <w:rPr>
          <w:b w:val="0"/>
          <w:strike w:val="0"/>
          <w:sz w:val="24"/>
        </w:rPr>
        <w:t>1. Rasm (oddiy rangda): sarlavha qutichasida tasnif manbasi aniqlashtirildi (Rossiya banki reytingi va EBA indikatorlari BCBS tasnifiga muallif tomonidan qo‘shilgan); mavjud bo‘lmagan “BAITE” olib tashlandi; FIMS SEER ning avvalgi nomi ekani ko‘rsatildi.</w:t>
      </w:r>
    </w:p>
    <w:p w:rsidR="005603EC" w:rsidRDefault="00AB61AC">
      <w:pPr>
        <w:pStyle w:val="af"/>
        <w:keepNext/>
        <w:spacing w:after="0" w:line="240" w:lineRule="auto"/>
        <w:jc w:val="center"/>
      </w:pPr>
      <w:r>
        <w:rPr>
          <w:noProof/>
          <w:lang w:val="ru-RU" w:eastAsia="ru-RU"/>
        </w:rPr>
        <w:lastRenderedPageBreak/>
        <mc:AlternateContent>
          <mc:Choice Requires="wpg">
            <w:drawing>
              <wp:inline distT="0" distB="0" distL="0" distR="0" wp14:anchorId="0BC54024" wp14:editId="293A65AB">
                <wp:extent cx="5904000" cy="2304000"/>
                <wp:effectExtent l="0" t="0" r="0" b="0"/>
                <wp:docPr id="105451006" name="1.3.1-ras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000" cy="2304000"/>
                          <a:chOff x="0" y="0"/>
                          <a:chExt cx="5904000" cy="2304000"/>
                        </a:xfrm>
                      </wpg:grpSpPr>
                      <wps:wsp>
                        <wps:cNvPr id="1495102975" name="Shape 2"/>
                        <wps:cNvSpPr/>
                        <wps:spPr>
                          <a:xfrm>
                            <a:off x="1332000" y="36000"/>
                            <a:ext cx="3240000" cy="3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1F4E79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:rsidR="00AB61AC" w:rsidRPr="00AB61AC" w:rsidRDefault="00AB61AC">
                              <w:pPr>
                                <w:spacing w:after="0" w:line="228" w:lineRule="auto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AB61AC">
                                <w:rPr>
                                  <w:b/>
                                  <w:color w:val="FFFFFF" w:themeColor="background1"/>
                                  <w:sz w:val="22"/>
                                </w:rPr>
                                <w:t>Banklar moliyaviy barqarorligini baholash tizimlari</w:t>
                              </w:r>
                            </w:p>
                            <w:p w:rsidR="00AB61AC" w:rsidRPr="00AB61AC" w:rsidRDefault="00AB61AC">
                              <w:pPr>
                                <w:spacing w:after="0" w:line="228" w:lineRule="auto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AB61AC">
                                <w:rPr>
                                  <w:b/>
                                  <w:color w:val="FFFFFF" w:themeColor="background1"/>
                                  <w:sz w:val="22"/>
                                </w:rPr>
                                <w:t>(Bazel qo‘mitasi tasnifi asosida, muallif to‘ldirgan)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819873323" name="Connector 3"/>
                        <wps:cNvCnPr/>
                        <wps:spPr>
                          <a:xfrm flipH="1">
                            <a:off x="729000" y="396000"/>
                            <a:ext cx="2223000" cy="23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6629964" name="Shape 4"/>
                        <wps:cNvSpPr/>
                        <wps:spPr>
                          <a:xfrm>
                            <a:off x="36000" y="630000"/>
                            <a:ext cx="1386000" cy="39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2A78D6"/>
                          </a:solidFill>
                          <a:ln w="12700">
                            <a:solidFill>
                              <a:srgbClr val="2A78D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szCs w:val="21"/>
                                </w:rPr>
                                <w:t>Nazorat reyting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szCs w:val="21"/>
                                </w:rPr>
                                <w:t>tizimlari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64700260" name="Shape 5"/>
                        <wps:cNvSpPr/>
                        <wps:spPr>
                          <a:xfrm>
                            <a:off x="36000" y="1080000"/>
                            <a:ext cx="1386000" cy="828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2A78D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CAMELS (AQSh)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ORAP (Fransiya)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PATROL (Italiya)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Rossiya banki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reytingi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792507826" name="Connector 6"/>
                        <wps:cNvCnPr/>
                        <wps:spPr>
                          <a:xfrm flipH="1">
                            <a:off x="2205000" y="396000"/>
                            <a:ext cx="747000" cy="23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71052883" name="Shape 7"/>
                        <wps:cNvSpPr/>
                        <wps:spPr>
                          <a:xfrm>
                            <a:off x="1512000" y="630000"/>
                            <a:ext cx="1386000" cy="39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70AD47"/>
                          </a:solidFill>
                          <a:ln w="12700">
                            <a:solidFill>
                              <a:srgbClr val="70AD47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szCs w:val="21"/>
                                </w:rPr>
                                <w:t>Koeffitsiyentlar va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szCs w:val="21"/>
                                </w:rPr>
                                <w:t>guruhlab tahlil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2100770488" name="Shape 8"/>
                        <wps:cNvSpPr/>
                        <wps:spPr>
                          <a:xfrm>
                            <a:off x="1512000" y="1080000"/>
                            <a:ext cx="1386000" cy="828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70AD47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BAKIS (Germaniya)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EBA risk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indikatorlari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(Yevropa Ittifoqi)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532040436" name="Connector 9"/>
                        <wps:cNvCnPr/>
                        <wps:spPr>
                          <a:xfrm>
                            <a:off x="2952000" y="396000"/>
                            <a:ext cx="729000" cy="23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77257667" name="Shape 10"/>
                        <wps:cNvSpPr/>
                        <wps:spPr>
                          <a:xfrm>
                            <a:off x="2988000" y="630000"/>
                            <a:ext cx="1386000" cy="39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B6834"/>
                          </a:solidFill>
                          <a:ln w="12700">
                            <a:solidFill>
                              <a:srgbClr val="EB6834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szCs w:val="21"/>
                                </w:rPr>
                                <w:t>Risklarni kompleks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szCs w:val="21"/>
                                </w:rPr>
                                <w:t>baholash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105375165" name="Shape 11"/>
                        <wps:cNvSpPr/>
                        <wps:spPr>
                          <a:xfrm>
                            <a:off x="2988000" y="1080000"/>
                            <a:ext cx="1386000" cy="828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EB6834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RATE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(Buyuk Britaniya)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RAST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(Niderlandiya)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384392311" name="Connector 12"/>
                        <wps:cNvCnPr/>
                        <wps:spPr>
                          <a:xfrm>
                            <a:off x="2952000" y="396000"/>
                            <a:ext cx="2205000" cy="23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01419189" name="Shape 13"/>
                        <wps:cNvSpPr/>
                        <wps:spPr>
                          <a:xfrm>
                            <a:off x="4464000" y="630000"/>
                            <a:ext cx="1386000" cy="39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C000"/>
                          </a:solidFill>
                          <a:ln w="12700">
                            <a:solidFill>
                              <a:srgbClr val="FFC000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000000"/>
                                  <w:sz w:val="21"/>
                                  <w:szCs w:val="21"/>
                                </w:rPr>
                                <w:t>Statistik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000000"/>
                                  <w:sz w:val="21"/>
                                  <w:szCs w:val="21"/>
                                </w:rPr>
                                <w:t>modellar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52714598" name="Shape 14"/>
                        <wps:cNvSpPr/>
                        <wps:spPr>
                          <a:xfrm>
                            <a:off x="4464000" y="1080000"/>
                            <a:ext cx="1386000" cy="828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FFC000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SEER (avval FIMS),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SCOR (AQSh)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SAABA ekspert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tizimi (Fransiya)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178086725" name="Shape 15"/>
                        <wps:cNvSpPr/>
                        <wps:spPr>
                          <a:xfrm>
                            <a:off x="36000" y="1980000"/>
                            <a:ext cx="5796000" cy="27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EEBF7"/>
                          </a:solidFill>
                          <a:ln w="12700">
                            <a:solidFill>
                              <a:srgbClr val="9DC3E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20"/>
                                  <w:szCs w:val="20"/>
                                </w:rPr>
                                <w:t>Joriy holatni baholash  ←————————————————→  Kelgusi holatni bashorat qilish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C54024" id="1.3.1-rasm" o:spid="_x0000_s1167" style="width:464.9pt;height:181.4pt;mso-position-horizontal-relative:char;mso-position-vertical-relative:line" coordsize="59040,2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">
                <v:roundrect id="Shape 2" o:spid="_x0000_s1168" style="position:absolute;left:13320;top:360;width:32400;height:36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" fillcolor="#1f4e79" strokecolor="#1f4e79" strokeweight="1pt">
                  <v:textbox inset="1mm,.5mm,1mm,.5mm">
                    <w:txbxContent>
                      <w:p w:rsidR="00AB61AC" w:rsidRPr="00AB61AC" w:rsidRDefault="00AB61AC">
                        <w:pPr>
                          <w:spacing w:after="0" w:line="228" w:lineRule="auto"/>
                          <w:jc w:val="center"/>
                          <w:rPr>
                            <w:color w:val="FFFFFF" w:themeColor="background1"/>
                          </w:rPr>
                        </w:pPr>
                        <w:r w:rsidRPr="00AB61AC">
                          <w:rPr>
                            <w:b/>
                            <w:color w:val="FFFFFF" w:themeColor="background1"/>
                            <w:sz w:val="22"/>
                          </w:rPr>
                          <w:t>Banklar moliyaviy barqarorligini baholash tizimlari</w:t>
                        </w:r>
                      </w:p>
                      <w:p w:rsidR="00AB61AC" w:rsidRPr="00AB61AC" w:rsidRDefault="00AB61AC">
                        <w:pPr>
                          <w:spacing w:after="0" w:line="228" w:lineRule="auto"/>
                          <w:jc w:val="center"/>
                          <w:rPr>
                            <w:color w:val="FFFFFF" w:themeColor="background1"/>
                          </w:rPr>
                        </w:pPr>
                        <w:r w:rsidRPr="00AB61AC">
                          <w:rPr>
                            <w:b/>
                            <w:color w:val="FFFFFF" w:themeColor="background1"/>
                            <w:sz w:val="22"/>
                          </w:rPr>
                          <w:t>(Bazel qo‘mitasi tasnifi asosida, muallif to‘ldirgan)</w:t>
                        </w:r>
                      </w:p>
                    </w:txbxContent>
                  </v:textbox>
                </v:roundrect>
                <v:shape id="Connector 3" o:spid="_x0000_s1169" type="#_x0000_t32" style="position:absolute;left:7290;top:3960;width:22230;height:23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" strokecolor="#404040" strokeweight="1.25pt">
                  <v:stroke endarrow="block"/>
                </v:shape>
                <v:roundrect id="Shape 4" o:spid="_x0000_s1170" style="position:absolute;left:360;top:6300;width:13860;height:39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" fillcolor="#2a78d6" strokecolor="#2a78d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1"/>
                            <w:szCs w:val="21"/>
                          </w:rPr>
                          <w:t>Nazorat reyting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1"/>
                            <w:szCs w:val="21"/>
                          </w:rPr>
                          <w:t>tizimlari</w:t>
                        </w:r>
                      </w:p>
                    </w:txbxContent>
                  </v:textbox>
                </v:roundrect>
                <v:roundrect id="Shape 5" o:spid="_x0000_s1171" style="position:absolute;left:360;top:10800;width:13860;height:828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" fillcolor="#f2f2f2" strokecolor="#2a78d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CAMELS (AQSh)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ORAP (Fransiya)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PATROL (Italiya)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Rossiya banki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reytingi</w:t>
                        </w:r>
                      </w:p>
                    </w:txbxContent>
                  </v:textbox>
                </v:roundrect>
                <v:shape id="Connector 6" o:spid="_x0000_s1172" type="#_x0000_t32" style="position:absolute;left:22050;top:3960;width:7470;height:23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" strokecolor="#404040" strokeweight="1.25pt">
                  <v:stroke endarrow="block"/>
                </v:shape>
                <v:roundrect id="Shape 7" o:spid="_x0000_s1173" style="position:absolute;left:15120;top:6300;width:13860;height:39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" fillcolor="#70ad47" strokecolor="#70ad47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1"/>
                            <w:szCs w:val="21"/>
                          </w:rPr>
                          <w:t>Koeffitsiyentlar va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1"/>
                            <w:szCs w:val="21"/>
                          </w:rPr>
                          <w:t>guruhlab tahlil</w:t>
                        </w:r>
                      </w:p>
                    </w:txbxContent>
                  </v:textbox>
                </v:roundrect>
                <v:roundrect id="Shape 8" o:spid="_x0000_s1174" style="position:absolute;left:15120;top:10800;width:13860;height:828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" fillcolor="#f2f2f2" strokecolor="#70ad47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BAKIS (Germaniya)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EBA risk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indikatorlari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(Yevropa Ittifoqi)</w:t>
                        </w:r>
                      </w:p>
                    </w:txbxContent>
                  </v:textbox>
                </v:roundrect>
                <v:shape id="Connector 9" o:spid="_x0000_s1175" type="#_x0000_t32" style="position:absolute;left:29520;top:3960;width:7290;height:2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" strokecolor="#404040" strokeweight="1.25pt">
                  <v:stroke endarrow="block"/>
                </v:shape>
                <v:roundrect id="Shape 10" o:spid="_x0000_s1176" style="position:absolute;left:29880;top:6300;width:13860;height:39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" fillcolor="#eb6834" strokecolor="#eb6834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1"/>
                            <w:szCs w:val="21"/>
                          </w:rPr>
                          <w:t>Risklarni kompleks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1"/>
                            <w:szCs w:val="21"/>
                          </w:rPr>
                          <w:t>baholash</w:t>
                        </w:r>
                      </w:p>
                    </w:txbxContent>
                  </v:textbox>
                </v:roundrect>
                <v:roundrect id="Shape 11" o:spid="_x0000_s1177" style="position:absolute;left:29880;top:10800;width:13860;height:828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" fillcolor="#f2f2f2" strokecolor="#eb6834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RATE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(Buyuk Britaniya)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RAST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(Niderlandiya)</w:t>
                        </w:r>
                      </w:p>
                    </w:txbxContent>
                  </v:textbox>
                </v:roundrect>
                <v:shape id="Connector 12" o:spid="_x0000_s1178" type="#_x0000_t32" style="position:absolute;left:29520;top:3960;width:22050;height:2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" strokecolor="#404040" strokeweight="1.25pt">
                  <v:stroke endarrow="block"/>
                </v:shape>
                <v:roundrect id="Shape 13" o:spid="_x0000_s1179" style="position:absolute;left:44640;top:6300;width:13860;height:39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" fillcolor="#ffc000" strokecolor="#ffc000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000000"/>
                            <w:sz w:val="21"/>
                            <w:szCs w:val="21"/>
                          </w:rPr>
                          <w:t>Statistik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000000"/>
                            <w:sz w:val="21"/>
                            <w:szCs w:val="21"/>
                          </w:rPr>
                          <w:t>modellar</w:t>
                        </w:r>
                      </w:p>
                    </w:txbxContent>
                  </v:textbox>
                </v:roundrect>
                <v:roundrect id="Shape 14" o:spid="_x0000_s1180" style="position:absolute;left:44640;top:10800;width:13860;height:828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" fillcolor="#f2f2f2" strokecolor="#ffc000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SEER (avval FIMS),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SCOR (AQSh)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SAABA ekspert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tizimi (Fransiya)</w:t>
                        </w:r>
                      </w:p>
                    </w:txbxContent>
                  </v:textbox>
                </v:roundrect>
                <v:roundrect id="Shape 15" o:spid="_x0000_s1181" style="position:absolute;left:360;top:19800;width:57960;height:27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" fillcolor="#deebf7" strokecolor="#9dc3e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i/>
                            <w:color w:val="000000"/>
                            <w:sz w:val="20"/>
                            <w:szCs w:val="20"/>
                          </w:rPr>
                          <w:t>Joriy holatni baholash  ←————————————————→  Kelgusi holatni bashorat qilish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>
      <w:pPr>
        <w:jc w:val="center"/>
      </w:pPr>
      <w:r>
        <w:rPr>
          <w:b/>
          <w:strike w:val="0"/>
          <w:sz w:val="28"/>
        </w:rPr>
        <w:t>1.3.1-rasm. Xorijiy mamlakatlarda banklar moliyaviy barqarorligini baholash tizimlarining tasnifi</w:t>
      </w:r>
    </w:p>
    <w:p>
      <w:pPr>
        <w:jc w:val="both"/>
      </w:pPr>
      <w:r>
        <w:rPr>
          <w:b w:val="0"/>
          <w:strike w:val="0"/>
          <w:sz w:val="24"/>
        </w:rPr>
        <w:t>2. Rasmdan oldingi xatboshi:</w:t>
      </w:r>
    </w:p>
    <w:p>
      <w:pPr>
        <w:jc w:val="both"/>
      </w:pPr>
      <w:r>
        <w:rPr>
          <w:b w:val="0"/>
          <w:strike/>
          <w:color w:val="7F7F7F"/>
          <w:sz w:val="24"/>
        </w:rPr>
        <w:t>Hozir: … Xalqaro hisob-kitoblar banki G-10 mamlakatlarida qo‘llanadigan nazorat tizimlarini to‘rt toifaga ajratadi: …</w:t>
      </w:r>
    </w:p>
    <w:p>
      <w:pPr>
        <w:jc w:val="both"/>
      </w:pPr>
      <w:r>
        <w:rPr>
          <w:b w:val="0"/>
          <w:strike w:val="0"/>
          <w:color w:val="C00000"/>
          <w:sz w:val="24"/>
        </w:rPr>
        <w:t>Yangi: … Bazel bank nazorati qo‘mitasi G-10 ning oltita mamlakatida (AQSh, Buyuk Britaniya, Germaniya, Fransiya, Italiya, Niderlandiya) qo‘llanadigan nazorat tizimlarini to‘rt toifaga ajratadi: …</w:t>
      </w:r>
    </w:p>
    <w:p>
      <w:pPr>
        <w:jc w:val="both"/>
      </w:pPr>
      <w:r>
        <w:rPr>
          <w:b w:val="0"/>
          <w:strike w:val="0"/>
          <w:sz w:val="24"/>
        </w:rPr>
        <w:t>3. Rasm manbasi (snoska) – birlamchi manba qo‘shiladi:</w:t>
      </w:r>
    </w:p>
    <w:p>
      <w:pPr>
        <w:jc w:val="both"/>
      </w:pPr>
      <w:r>
        <w:rPr>
          <w:b w:val="0"/>
          <w:strike w:val="0"/>
          <w:color w:val="C00000"/>
          <w:sz w:val="24"/>
        </w:rPr>
        <w:t>Yangi: Tadqiqot natijasida muallif tomonidan quyidagi manbalar asosida ishlab chiqildi: Sahajwala R., Van den Bergh P. Supervisory risk assessment and early warning systems: Basel Committee on Banking Supervision Working Papers No. 4. – Basel: BIS, December 2000. – P. 5–6 (Table 1); Устойчивость банковской системы … (qolgani o‘zgarmaydi).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