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i w:val="0"/>
          <w:strike w:val="0"/>
          <w:sz w:val="28"/>
        </w:rPr>
        <w:t>1.3.5-rasm bo‘yicha tuzatishlar (namuna)</w:t>
      </w:r>
    </w:p>
    <w:p>
      <w:pPr>
        <w:ind w:firstLine="0"/>
        <w:jc w:val="both"/>
      </w:pPr>
      <w:r>
        <w:rPr>
          <w:b w:val="0"/>
          <w:i w:val="0"/>
          <w:strike w:val="0"/>
          <w:sz w:val="24"/>
        </w:rPr>
        <w:t>1. Diagramma: “Rossiya: o‘z mablag‘lari hisobidan” chizig‘idan 2026-yil yanvaridagi 80 foiz nuqtasi olib tashlandi (2024-yil dekabrida jadval o‘zgartirilgan, 2025-yil oktabridan esa tizimli banklar milliy normativga o‘tgan). Rasm nomi va qolgan chiziqlar o‘zgarmaydi.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2880000"/>
            <wp:effectExtent l="0" t="0" r="0" b="0"/>
            <wp:docPr id="1001" name="1.3.5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i w:val="0"/>
          <w:strike w:val="0"/>
          <w:sz w:val="28"/>
        </w:rPr>
        <w:t>1.3.5-rasm. Likvidlikni qoplash koeffitsiyentiga qo‘yiladigan talablar: islohotning boshlanishi va davomi, %</w:t>
      </w:r>
    </w:p>
    <w:p>
      <w:pPr>
        <w:ind w:firstLine="0"/>
        <w:jc w:val="both"/>
      </w:pPr>
      <w:r>
        <w:rPr>
          <w:b w:val="0"/>
          <w:i w:val="0"/>
          <w:strike w:val="0"/>
          <w:sz w:val="24"/>
        </w:rPr>
        <w:t>2. Matn (“Islohotning keyingi bosqichi …” xatboshisi):</w:t>
      </w:r>
    </w:p>
    <w:p>
      <w:pPr>
        <w:ind w:firstLine="0"/>
        <w:jc w:val="both"/>
      </w:pPr>
      <w:r>
        <w:rPr>
          <w:b w:val="0"/>
          <w:i w:val="0"/>
          <w:strike/>
          <w:color w:val="7F7F7F"/>
          <w:sz w:val="24"/>
        </w:rPr>
        <w:t>Hozir: Banklarning o‘z mablag‘lari hisobidan ta’minlanishi lozim bo‘lgan qism esa 2024-yil martida 40 foiz, iyulida 50 foiz, 2025-yil iyulida 60 foiz, 2026-yil yanvarida 80 foiz qilib belgilandi.</w:t>
      </w:r>
    </w:p>
    <w:p>
      <w:pPr>
        <w:ind w:firstLine="0"/>
        <w:jc w:val="both"/>
      </w:pPr>
      <w:r>
        <w:rPr>
          <w:b w:val="0"/>
          <w:i w:val="0"/>
          <w:strike w:val="0"/>
          <w:color w:val="C00000"/>
          <w:sz w:val="24"/>
        </w:rPr>
        <w:t>Yangi: Banklarning o‘z mablag‘lari hisobidan ta’minlanishi lozim bo‘lgan qism esa 2024-yil martida 40 foiz, iyulida 50 foiz, 2025-yil iyulida 60 foiz qilib belgilandi; 2024-yil dekabrida jadval o‘zgartirilib, 60 foizlik bosqich yarim yilga surildi[1].</w:t>
      </w:r>
    </w:p>
    <w:p>
      <w:pPr>
        <w:ind w:firstLine="0"/>
        <w:jc w:val="both"/>
      </w:pPr>
      <w:r>
        <w:rPr>
          <w:b w:val="0"/>
          <w:i w:val="0"/>
          <w:strike w:val="0"/>
          <w:sz w:val="24"/>
        </w:rPr>
        <w:t>3. Manbalar:</w:t>
      </w:r>
    </w:p>
    <w:p>
      <w:pPr>
        <w:ind w:firstLine="0"/>
        <w:jc w:val="both"/>
      </w:pPr>
      <w:r>
        <w:rPr>
          <w:b w:val="0"/>
          <w:i w:val="0"/>
          <w:strike/>
          <w:color w:val="7F7F7F"/>
          <w:sz w:val="24"/>
        </w:rPr>
        <w:t>Snoska va adabiyotlar ro‘yxatida: ЦБ скорректировал условия кредитным линиям для банковского норматива краткосрочной ликвидности // Интерфакс. – 2025.</w:t>
      </w:r>
    </w:p>
    <w:p>
      <w:pPr>
        <w:ind w:firstLine="0"/>
        <w:jc w:val="both"/>
      </w:pPr>
      <w:r>
        <w:rPr>
          <w:b w:val="0"/>
          <w:i w:val="0"/>
          <w:strike w:val="0"/>
          <w:color w:val="C00000"/>
          <w:sz w:val="24"/>
        </w:rPr>
        <w:t>Yangi: ЦБ скорректировал условия кредитным линиям для банковского норматива краткосрочной ликвидности // Интерфакс. – 2023. – 23 ноября.</w:t>
      </w:r>
    </w:p>
    <w:p>
      <w:pPr>
        <w:ind w:firstLine="0"/>
        <w:jc w:val="both"/>
      </w:pPr>
      <w:r>
        <w:rPr>
          <w:b w:val="0"/>
          <w:i w:val="0"/>
          <w:strike w:val="0"/>
          <w:color w:val="C00000"/>
          <w:sz w:val="24"/>
        </w:rPr>
        <w:t>[1] Банк России принял ряд решений по банковскому регулированию: пресс-релиз Банка России от 16 декабря 2024 г. – https://www.cbr.ru/press/pr/?file=638699637849513580BANK_SECTOR.htm (yangi snoska, adabiyotlar ro‘yxatiga ham qo‘shiladi).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Bazel qo‘mitasi</c:v>
                </c:pt>
              </c:strCache>
            </c:strRef>
          </c:tx>
          <c:spPr>
            <a:ln w="76200">
              <a:solidFill>
                <a:srgbClr val="2A78D6">
                  <a:alpha val="35000"/>
                </a:srgbClr>
              </a:solidFill>
            </a:ln>
          </c:spPr>
          <c:marker>
            <c:symbol val="none"/>
          </c:marker>
          <c:dLbls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FEF1-4693-87F0-4E5F8B7AF922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EF1-4693-87F0-4E5F8B7AF922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EF1-4693-87F0-4E5F8B7AF922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EF1-4693-87F0-4E5F8B7AF922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FEF1-4693-87F0-4E5F8B7AF922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EF1-4693-87F0-4E5F8B7AF922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FEF1-4693-87F0-4E5F8B7AF922}"/>
                </c:ext>
              </c:extLst>
            </c:dLbl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1F4E79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Sheet1!$A$2:$A$13</c:f>
              <c:numCache>
                <c:formatCode>General</c:formatCode>
                <c:ptCount val="12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  <c:pt idx="10">
                  <c:v>2025</c:v>
                </c:pt>
                <c:pt idx="11">
                  <c:v>2026</c:v>
                </c:pt>
              </c:numCache>
            </c:numRef>
          </c:xVal>
          <c:yVal>
            <c:numRef>
              <c:f>Sheet1!$B$2:$B$13</c:f>
              <c:numCache>
                <c:formatCode>General</c:formatCode>
                <c:ptCount val="12"/>
                <c:pt idx="0">
                  <c:v>60</c:v>
                </c:pt>
                <c:pt idx="1">
                  <c:v>70</c:v>
                </c:pt>
                <c:pt idx="2">
                  <c:v>80</c:v>
                </c:pt>
                <c:pt idx="3">
                  <c:v>90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FEF1-4693-87F0-4E5F8B7AF922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O‘zbekiston</c:v>
                </c:pt>
              </c:strCache>
            </c:strRef>
          </c:tx>
          <c:spPr>
            <a:ln w="22225">
              <a:solidFill>
                <a:srgbClr val="70AD47"/>
              </a:solidFill>
            </a:ln>
          </c:spPr>
          <c:marker>
            <c:symbol val="triangle"/>
            <c:size val="7"/>
            <c:spPr>
              <a:solidFill>
                <a:srgbClr val="70AD47"/>
              </a:solidFill>
              <a:ln>
                <a:noFill/>
              </a:ln>
            </c:spPr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FEF1-4693-87F0-4E5F8B7AF922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FEF1-4693-87F0-4E5F8B7AF922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FEF1-4693-87F0-4E5F8B7AF922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FEF1-4693-87F0-4E5F8B7AF922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FEF1-4693-87F0-4E5F8B7AF922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FEF1-4693-87F0-4E5F8B7AF922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FEF1-4693-87F0-4E5F8B7AF922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FEF1-4693-87F0-4E5F8B7AF922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FEF1-4693-87F0-4E5F8B7AF922}"/>
                </c:ext>
              </c:extLst>
            </c:dLbl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70AD47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Sheet1!$C$2:$C$13</c:f>
              <c:numCache>
                <c:formatCode>General</c:formatCode>
                <c:ptCount val="12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  <c:pt idx="10">
                  <c:v>2025</c:v>
                </c:pt>
                <c:pt idx="11">
                  <c:v>2026</c:v>
                </c:pt>
              </c:numCache>
            </c:numRef>
          </c:xVal>
          <c:yVal>
            <c:numRef>
              <c:f>Sheet1!$D$2:$D$13</c:f>
              <c:numCache>
                <c:formatCode>General</c:formatCode>
                <c:ptCount val="12"/>
                <c:pt idx="1">
                  <c:v>80</c:v>
                </c:pt>
                <c:pt idx="2">
                  <c:v>90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1-FEF1-4693-87F0-4E5F8B7AF922}"/>
            </c:ext>
          </c:extLst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Rossiya: rasmiy talab (2016–2019-yillarda Bazel jadvali bilan bir xil)</c:v>
                </c:pt>
              </c:strCache>
            </c:strRef>
          </c:tx>
          <c:spPr>
            <a:ln w="25400">
              <a:solidFill>
                <a:srgbClr val="EB6834"/>
              </a:solidFill>
              <a:prstDash val="dash"/>
            </a:ln>
          </c:spPr>
          <c:marker>
            <c:symbol val="square"/>
            <c:size val="7"/>
            <c:spPr>
              <a:solidFill>
                <a:srgbClr val="EB6834"/>
              </a:solidFill>
              <a:ln>
                <a:noFill/>
              </a:ln>
            </c:spPr>
          </c:marker>
          <c:xVal>
            <c:numRef>
              <c:f>Sheet1!$E$2:$E$7</c:f>
              <c:numCache>
                <c:formatCode>General</c:formatCode>
                <c:ptCount val="6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  <c:pt idx="5">
                  <c:v>2021</c:v>
                </c:pt>
              </c:numCache>
            </c:numRef>
          </c:xVal>
          <c:yVal>
            <c:numRef>
              <c:f>Sheet1!$F$2:$F$7</c:f>
              <c:numCache>
                <c:formatCode>General</c:formatCode>
                <c:ptCount val="6"/>
                <c:pt idx="0">
                  <c:v>70</c:v>
                </c:pt>
                <c:pt idx="1">
                  <c:v>80</c:v>
                </c:pt>
                <c:pt idx="2">
                  <c:v>90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2-FEF1-4693-87F0-4E5F8B7AF922}"/>
            </c:ext>
          </c:extLst>
        </c:ser>
        <c:ser>
          <c:idx val="3"/>
          <c:order val="3"/>
          <c:tx>
            <c:strRef>
              <c:f>Sheet1!$H$1</c:f>
              <c:strCache>
                <c:ptCount val="1"/>
                <c:pt idx="0">
                  <c:v>Rossiya 2</c:v>
                </c:pt>
              </c:strCache>
            </c:strRef>
          </c:tx>
          <c:spPr>
            <a:ln w="25400">
              <a:solidFill>
                <a:srgbClr val="EB6834"/>
              </a:solidFill>
              <a:prstDash val="dash"/>
            </a:ln>
          </c:spPr>
          <c:marker>
            <c:symbol val="square"/>
            <c:size val="7"/>
            <c:spPr>
              <a:solidFill>
                <a:srgbClr val="EB6834"/>
              </a:solidFill>
              <a:ln>
                <a:noFill/>
              </a:ln>
            </c:spPr>
          </c:marker>
          <c:xVal>
            <c:numRef>
              <c:f>Sheet1!$G$2:$G$4</c:f>
              <c:numCache>
                <c:formatCode>General</c:formatCode>
                <c:ptCount val="3"/>
                <c:pt idx="0">
                  <c:v>2024</c:v>
                </c:pt>
                <c:pt idx="1">
                  <c:v>2025</c:v>
                </c:pt>
                <c:pt idx="2">
                  <c:v>2026</c:v>
                </c:pt>
              </c:numCache>
            </c:numRef>
          </c:xVal>
          <c:yVal>
            <c:numRef>
              <c:f>Sheet1!$H$2:$H$4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3-FEF1-4693-87F0-4E5F8B7AF922}"/>
            </c:ext>
          </c:extLst>
        </c:ser>
        <c:ser>
          <c:idx val="4"/>
          <c:order val="4"/>
          <c:tx>
            <c:strRef>
              <c:f>Sheet1!$J$1</c:f>
              <c:strCache>
                <c:ptCount val="1"/>
                <c:pt idx="0">
                  <c:v>Rossiya: o‘z mablag‘lari hisobidan (2022–2023-yillardagi yengillikdan keyin)</c:v>
                </c:pt>
              </c:strCache>
            </c:strRef>
          </c:tx>
          <c:spPr>
            <a:ln w="19050">
              <a:solidFill>
                <a:srgbClr val="C00000"/>
              </a:solidFill>
              <a:prstDash val="sysDot"/>
            </a:ln>
          </c:spPr>
          <c:marker>
            <c:symbol val="diamond"/>
            <c:size val="7"/>
            <c:spPr>
              <a:solidFill>
                <a:srgbClr val="C00000"/>
              </a:solidFill>
              <a:ln>
                <a:noFill/>
              </a:ln>
            </c:spPr>
          </c:marker>
          <c:dLbls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C00000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Sheet1!$I$2:$I$4</c:f>
              <c:numCache>
                <c:formatCode>General</c:formatCode>
                <c:ptCount val="3"/>
                <c:pt idx="0">
                  <c:v>2024.17</c:v>
                </c:pt>
                <c:pt idx="1">
                  <c:v>2024.5</c:v>
                </c:pt>
                <c:pt idx="2">
                  <c:v>2025.5</c:v>
                </c:pt>
              </c:numCache>
            </c:numRef>
          </c:xVal>
          <c:yVal>
            <c:numRef>
              <c:f>Sheet1!$J$2:$J$4</c:f>
              <c:numCache>
                <c:formatCode>General</c:formatCode>
                <c:ptCount val="3"/>
                <c:pt idx="0">
                  <c:v>40</c:v>
                </c:pt>
                <c:pt idx="1">
                  <c:v>50</c:v>
                </c:pt>
                <c:pt idx="2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4-FEF1-4693-87F0-4E5F8B7AF9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3"/>
        <c:axId val="444"/>
      </c:scatterChart>
      <c:valAx>
        <c:axId val="333"/>
        <c:scaling>
          <c:orientation val="minMax"/>
          <c:max val="2027"/>
          <c:min val="2014"/>
        </c:scaling>
        <c:delete val="0"/>
        <c:axPos val="b"/>
        <c:title>
          <c:tx>
            <c:rich>
              <a:bodyPr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Yillar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444"/>
        <c:crosses val="autoZero"/>
        <c:crossBetween val="midCat"/>
        <c:majorUnit val="1"/>
      </c:valAx>
      <c:valAx>
        <c:axId val="444"/>
        <c:scaling>
          <c:orientation val="minMax"/>
          <c:max val="110"/>
          <c:min val="3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Minimal talab, 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333"/>
        <c:crosses val="autoZero"/>
        <c:crossBetween val="midCat"/>
        <c:majorUnit val="10"/>
      </c:valAx>
      <c:spPr>
        <a:noFill/>
        <a:ln>
          <a:noFill/>
        </a:ln>
      </c:spPr>
    </c:plotArea>
    <c:legend>
      <c:legendPos val="b"/>
      <c:legendEntry>
        <c:idx val="3"/>
        <c:delete val="1"/>
      </c:legendEntry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