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  <w:sz w:val="28"/>
        </w:rPr>
        <w:t>2.1.2-rasm va 2.1.1-jadval bo‘yicha tuzatishlar (namuna)</w:t>
      </w:r>
    </w:p>
    <w:p>
      <w:pPr>
        <w:jc w:val="both"/>
      </w:pPr>
      <w:r>
        <w:rPr>
          <w:b w:val="0"/>
          <w:strike w:val="0"/>
          <w:sz w:val="24"/>
        </w:rPr>
        <w:t>1. Rasm (oddiy rangda): “Prudensial normativlar” qutichasida NSFR monitoring sifatida ko‘rsatildi (2025-yil 23-maydan talab kuchini yo‘qotgan, “yo‘l xaritasi”ga ko‘ra 2026-yildan monitoring).</w:t>
      </w:r>
    </w:p>
    <w:p w:rsidR="005603EC" w:rsidRDefault="00AB61AC">
      <w:pPr>
        <w:pStyle w:val="af"/>
        <w:keepNext/>
        <w:spacing w:after="0" w:line="240" w:lineRule="auto"/>
        <w:jc w:val="center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5D69BA26" wp14:editId="3C1729A2">
                <wp:extent cx="5840927" cy="2609850"/>
                <wp:effectExtent l="0" t="0" r="26670" b="19050"/>
                <wp:docPr id="21" name="2.1.2-ras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927" cy="2609850"/>
                          <a:chOff x="35997" y="36000"/>
                          <a:chExt cx="5840927" cy="2609850"/>
                        </a:xfrm>
                      </wpg:grpSpPr>
                      <wps:wsp>
                        <wps:cNvPr id="20" name="Shape 21"/>
                        <wps:cNvSpPr/>
                        <wps:spPr>
                          <a:xfrm>
                            <a:off x="2052000" y="36000"/>
                            <a:ext cx="1800000" cy="324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1F4E79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:rsidR="00AB61AC" w:rsidRPr="00D041C5" w:rsidRDefault="00AB61AC">
                              <w:pPr>
                                <w:spacing w:after="0" w:line="228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041C5">
                                <w:rPr>
                                  <w:b/>
                                  <w:color w:val="FFFFFF"/>
                                  <w:sz w:val="18"/>
                                  <w:szCs w:val="18"/>
                                </w:rPr>
                                <w:t>O‘zbekiston Respublikasi</w:t>
                              </w:r>
                            </w:p>
                            <w:p w:rsidR="00AB61AC" w:rsidRPr="00D041C5" w:rsidRDefault="00AB61AC">
                              <w:pPr>
                                <w:spacing w:after="0" w:line="228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D041C5">
                                <w:rPr>
                                  <w:b/>
                                  <w:color w:val="FFFFFF"/>
                                  <w:sz w:val="18"/>
                                  <w:szCs w:val="18"/>
                                </w:rPr>
                                <w:t>Markaziy banki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22" name="Connector 22"/>
                        <wps:cNvCnPr/>
                        <wps:spPr>
                          <a:xfrm flipH="1">
                            <a:off x="954000" y="360000"/>
                            <a:ext cx="1998000" cy="216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6000" y="576000"/>
                            <a:ext cx="1836000" cy="3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2A78D6"/>
                          </a:solidFill>
                          <a:ln w="12700">
                            <a:solidFill>
                              <a:srgbClr val="2A78D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Prudensial normativlar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36000" y="990000"/>
                            <a:ext cx="1836000" cy="93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2A78D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Kapital monandligi;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leverej; LCR va milliy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likvidlik normativlari;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NSFR – monitoring;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hisobotlar asosida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muntazam nazorat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25" name="Connector 25"/>
                        <wps:cNvCnPr/>
                        <wps:spPr>
                          <a:xfrm flipH="1">
                            <a:off x="2934000" y="360000"/>
                            <a:ext cx="18000" cy="216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16000" y="576000"/>
                            <a:ext cx="1836000" cy="3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70AD47"/>
                          </a:solidFill>
                          <a:ln w="12700">
                            <a:solidFill>
                              <a:srgbClr val="70AD47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Risklarga asoslangan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nazorat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2016000" y="990000"/>
                            <a:ext cx="1836000" cy="93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70AD47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Bank risk profili va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ichki nazoratining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avtomatik reytingi;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kuratorlar tuzatishi;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asoslangan mulohaza;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joyida tekshiruv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28" name="Connector 28"/>
                        <wps:cNvCnPr/>
                        <wps:spPr>
                          <a:xfrm>
                            <a:off x="2952000" y="360000"/>
                            <a:ext cx="1962000" cy="216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3996000" y="576000"/>
                            <a:ext cx="1836000" cy="3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B6834"/>
                          </a:solidFill>
                          <a:ln w="12700">
                            <a:solidFill>
                              <a:srgbClr val="EB6834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Makroprudensial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3996000" y="990000"/>
                            <a:ext cx="1836000" cy="93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EB6834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Moliyaviy barqarorlik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sharhi (yiliga 2 marta);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to‘lov qobiliyati va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likvidlik stress-testlari;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kontrsiklik bufer;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tizimli banklar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36000" y="1998000"/>
                            <a:ext cx="3816000" cy="234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EEBF7"/>
                          </a:solidFill>
                          <a:ln w="12700">
                            <a:solidFill>
                              <a:srgbClr val="9DC3E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Mikro daraja – alohida bank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3996000" y="1998000"/>
                            <a:ext cx="1836000" cy="234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BE5D6"/>
                          </a:solidFill>
                          <a:ln w="12700">
                            <a:solidFill>
                              <a:srgbClr val="F4B183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Makro daraja – bank tizimi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35997" y="2303483"/>
                            <a:ext cx="5840927" cy="342367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20"/>
                                  <w:szCs w:val="20"/>
                                </w:rPr>
                                <w:t>Tashqi baholash: xalqaro reyting agentliklari, auditorlar (MHXS bo‘yicha hisobot), XVJ va Jahon banki (FSAP)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9BA26" id="2.1.2-rasm" o:spid="_x0000_s1249" style="width:459.9pt;height:205.5pt;mso-position-horizontal-relative:char;mso-position-vertical-relative:line" coordorigin="359,360" coordsize="58409,26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">
                <v:roundrect id="Shape 21" o:spid="_x0000_s1250" style="position:absolute;left:20520;top:360;width:18000;height:324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" fillcolor="#1f4e79" strokecolor="#1f4e79" strokeweight="1pt">
                  <v:textbox inset="1mm,.5mm,1mm,.5mm">
                    <w:txbxContent>
                      <w:p w:rsidR="00AB61AC" w:rsidRPr="00D041C5" w:rsidRDefault="00AB61AC">
                        <w:pPr>
                          <w:spacing w:after="0" w:line="228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D041C5">
                          <w:rPr>
                            <w:b/>
                            <w:color w:val="FFFFFF"/>
                            <w:sz w:val="18"/>
                            <w:szCs w:val="18"/>
                          </w:rPr>
                          <w:t>O‘zbekiston Respublikasi</w:t>
                        </w:r>
                      </w:p>
                      <w:p w:rsidR="00AB61AC" w:rsidRPr="00D041C5" w:rsidRDefault="00AB61AC">
                        <w:pPr>
                          <w:spacing w:after="0" w:line="228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D041C5">
                          <w:rPr>
                            <w:b/>
                            <w:color w:val="FFFFFF"/>
                            <w:sz w:val="18"/>
                            <w:szCs w:val="18"/>
                          </w:rPr>
                          <w:t>Markaziy banki</w:t>
                        </w:r>
                      </w:p>
                    </w:txbxContent>
                  </v:textbox>
                </v:roundrect>
                <v:shape id="Connector 22" o:spid="_x0000_s1251" type="#_x0000_t32" style="position:absolute;left:9540;top:3600;width:19980;height:216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" strokecolor="#404040" strokeweight="1.25pt">
                  <v:stroke endarrow="block"/>
                </v:shape>
                <v:roundrect id="Shape 23" o:spid="_x0000_s1252" style="position:absolute;left:360;top:5760;width:18360;height:36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" fillcolor="#2a78d6" strokecolor="#2a78d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Prudensial normativlar</w:t>
                        </w:r>
                      </w:p>
                    </w:txbxContent>
                  </v:textbox>
                </v:roundrect>
                <v:roundrect id="Shape 24" o:spid="_x0000_s1253" style="position:absolute;left:360;top:9900;width:18360;height:93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" fillcolor="#f2f2f2" strokecolor="#2a78d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Kapital monandligi;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leverej; LCR va milliy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likvidlik normativlari;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NSFR – monitoring;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hisobotlar asosida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muntazam nazorat</w:t>
                        </w:r>
                      </w:p>
                    </w:txbxContent>
                  </v:textbox>
                </v:roundrect>
                <v:shape id="Connector 25" o:spid="_x0000_s1254" type="#_x0000_t32" style="position:absolute;left:29340;top:3600;width:180;height:216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" strokecolor="#404040" strokeweight="1.25pt">
                  <v:stroke endarrow="block"/>
                </v:shape>
                <v:roundrect id="Shape 26" o:spid="_x0000_s1255" style="position:absolute;left:20160;top:5760;width:18360;height:36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" fillcolor="#70ad47" strokecolor="#70ad47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Risklarga asoslangan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nazorat</w:t>
                        </w:r>
                      </w:p>
                    </w:txbxContent>
                  </v:textbox>
                </v:roundrect>
                <v:roundrect id="Shape 27" o:spid="_x0000_s1256" style="position:absolute;left:20160;top:9900;width:18360;height:93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" fillcolor="#f2f2f2" strokecolor="#70ad47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Bank risk profili va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ichki nazoratining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avtomatik reytingi;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kuratorlar tuzatishi;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asoslangan mulohaza;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joyida tekshiruv</w:t>
                        </w:r>
                      </w:p>
                    </w:txbxContent>
                  </v:textbox>
                </v:roundrect>
                <v:shape id="Connector 28" o:spid="_x0000_s1257" type="#_x0000_t32" style="position:absolute;left:29520;top:3600;width:19620;height:2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" strokecolor="#404040" strokeweight="1.25pt">
                  <v:stroke endarrow="block"/>
                </v:shape>
                <v:roundrect id="Shape 29" o:spid="_x0000_s1258" style="position:absolute;left:39960;top:5760;width:18360;height:36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" fillcolor="#eb6834" strokecolor="#eb6834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Makroprudensial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monitoring</w:t>
                        </w:r>
                      </w:p>
                    </w:txbxContent>
                  </v:textbox>
                </v:roundrect>
                <v:roundrect id="Shape 30" o:spid="_x0000_s1259" style="position:absolute;left:39960;top:9900;width:18360;height:93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" fillcolor="#f2f2f2" strokecolor="#eb6834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Moliyaviy barqarorlik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sharhi (yiliga 2 marta);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to‘lov qobiliyati va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likvidlik stress-testlari;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kontrsiklik bufer;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tizimli banklar</w:t>
                        </w:r>
                      </w:p>
                    </w:txbxContent>
                  </v:textbox>
                </v:roundrect>
                <v:roundrect id="Shape 31" o:spid="_x0000_s1260" style="position:absolute;left:360;top:19980;width:38160;height:234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" fillcolor="#deebf7" strokecolor="#9dc3e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Mikro daraja – alohida bank</w:t>
                        </w:r>
                      </w:p>
                    </w:txbxContent>
                  </v:textbox>
                </v:roundrect>
                <v:roundrect id="Shape 32" o:spid="_x0000_s1261" style="position:absolute;left:39960;top:19980;width:18360;height:234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" fillcolor="#fbe5d6" strokecolor="#f4b183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Makro daraja – bank tizimi</w:t>
                        </w:r>
                      </w:p>
                    </w:txbxContent>
                  </v:textbox>
                </v:roundrect>
                <v:roundrect id="Shape 33" o:spid="_x0000_s1262" style="position:absolute;left:359;top:23034;width:58410;height:3424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" strokecolor="#7f7f7f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i/>
                            <w:color w:val="000000"/>
                            <w:sz w:val="20"/>
                            <w:szCs w:val="20"/>
                          </w:rPr>
                          <w:t>Tashqi baholash: xalqaro reyting agentliklari, auditorlar (MHXS bo‘yicha hisobot), XVJ va Jahon banki (FSAP)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>
      <w:pPr>
        <w:jc w:val="center"/>
      </w:pPr>
      <w:r>
        <w:rPr>
          <w:b/>
          <w:strike w:val="0"/>
          <w:sz w:val="28"/>
        </w:rPr>
        <w:t>2.1.2-rasm. O‘zbekistonda banklar moliyaviy barqarorligini baholashning amaldagi tizimi</w:t>
      </w:r>
    </w:p>
    <w:p>
      <w:pPr>
        <w:jc w:val="both"/>
      </w:pPr>
      <w:r>
        <w:rPr>
          <w:b w:val="0"/>
          <w:strike w:val="0"/>
          <w:sz w:val="24"/>
        </w:rPr>
        <w:t>2. Rasm manbasi (snoska):</w:t>
      </w:r>
    </w:p>
    <w:p>
      <w:pPr>
        <w:jc w:val="both"/>
      </w:pPr>
      <w:r>
        <w:rPr>
          <w:b w:val="0"/>
          <w:strike/>
          <w:color w:val="7F7F7F"/>
          <w:sz w:val="24"/>
        </w:rPr>
        <w:t>Hozir: Muallif ishlanmasi.</w:t>
      </w:r>
    </w:p>
    <w:p>
      <w:pPr>
        <w:jc w:val="both"/>
      </w:pPr>
      <w:r>
        <w:rPr>
          <w:b w:val="0"/>
          <w:strike w:val="0"/>
          <w:color w:val="C00000"/>
          <w:sz w:val="24"/>
        </w:rPr>
        <w:t>Yangi: Tadqiqot natijasida muallif tomonidan ishlab chiqildi.</w:t>
      </w:r>
    </w:p>
    <w:p>
      <w:pPr>
        <w:jc w:val="both"/>
      </w:pPr>
      <w:r>
        <w:rPr>
          <w:b w:val="0"/>
          <w:strike w:val="0"/>
          <w:sz w:val="24"/>
        </w:rPr>
        <w:t>3. 2.1.1-jadval, NSFR qatori (Ko‘rsatkich | Talab | Bazel III minimumi | Izoh):</w:t>
      </w:r>
    </w:p>
    <w:p>
      <w:pPr>
        <w:jc w:val="both"/>
      </w:pPr>
      <w:r>
        <w:rPr>
          <w:b w:val="0"/>
          <w:strike/>
          <w:color w:val="7F7F7F"/>
          <w:sz w:val="24"/>
        </w:rPr>
        <w:t>Hozir: NSFR | ≥ 100% | ≥ 100% | 2018-yildan</w:t>
      </w:r>
    </w:p>
    <w:p>
      <w:pPr>
        <w:jc w:val="both"/>
      </w:pPr>
      <w:r>
        <w:rPr>
          <w:b w:val="0"/>
          <w:strike w:val="0"/>
          <w:color w:val="C00000"/>
          <w:sz w:val="24"/>
        </w:rPr>
        <w:t>Yangi: NSFR | ≥ 100% (2025-yil 23-maygacha) | ≥ 100% | 2018-yildan; 2025-yil 23-maydan talab kuchini yo‘qotgan, 2026-yildan monitoring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