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709"/>
        <w:jc w:val="both"/>
      </w:pPr>
      <w:r>
        <w:rPr>
          <w:b w:val="0"/>
          <w:sz w:val="28"/>
        </w:rPr>
        <w:t>Amaldagi baholash tizimi natijalariga ko‘ra, O‘zbekiston bank tizimi kapital yetarliligi bo‘yicha barqaror holatda. Kapital monandligi 2021–2025-yillarda 17,4–18,3 foiz oralig‘ida bo‘lib, 2023-yil oxirida 17,5 foizni</w:t>
      </w:r>
      <w:r>
        <w:rPr>
          <w:b w:val="0"/>
          <w:sz w:val="28"/>
        </w:rPr>
        <w:t>[1]</w:t>
      </w:r>
      <w:r>
        <w:rPr>
          <w:b w:val="0"/>
          <w:sz w:val="28"/>
        </w:rPr>
        <w:t xml:space="preserve">, 2025-yil oxirida 18,3 foizni tashkil etgan; asosiy kapital (CET1) monandligi 2025-yil oxirida 14,7 foizga </w:t>
      </w:r>
      <w:r>
        <w:rPr>
          <w:b w:val="0"/>
          <w:sz w:val="28"/>
        </w:rPr>
        <w:t>teng bo‘lgan</w:t>
      </w:r>
      <w:r>
        <w:rPr>
          <w:b w:val="0"/>
          <w:sz w:val="28"/>
        </w:rPr>
        <w:t>[2]</w:t>
      </w:r>
      <w:r>
        <w:rPr>
          <w:b w:val="0"/>
          <w:sz w:val="28"/>
        </w:rPr>
        <w:t>. Muammoli kreditlar ulushi esa 2021-yil oxiridagi 5,2 foizdan 2025-yil oxirida 3,0 foizgacha kamaygan</w:t>
      </w:r>
      <w:r>
        <w:rPr>
          <w:b w:val="0"/>
          <w:sz w:val="28"/>
        </w:rPr>
        <w:t>[3]</w:t>
      </w:r>
      <w:r>
        <w:rPr>
          <w:b w:val="0"/>
          <w:sz w:val="28"/>
        </w:rPr>
        <w:t xml:space="preserve"> (2.1.3-rasm).</w:t>
      </w:r>
    </w:p>
    <w:p>
      <w:pPr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760000" cy="2880000"/>
            <wp:effectExtent l="0" t="0" r="0" b="0"/>
            <wp:docPr id="1001" name="2.1.3-rasm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8"/>
        </w:rPr>
        <w:t>2.1.3-rasm. O‘zbekiston bank tizimida kapital monandligi ko‘rsatkichlari dinamikasi, %</w:t>
      </w:r>
      <w:r>
        <w:rPr>
          <w:b/>
          <w:sz w:val="28"/>
        </w:rPr>
        <w:t>[4]</w:t>
      </w:r>
    </w:p>
    <w:p>
      <w:pPr>
        <w:ind w:firstLine="709"/>
        <w:jc w:val="both"/>
      </w:pPr>
      <w:r>
        <w:rPr>
          <w:b w:val="0"/>
          <w:sz w:val="28"/>
        </w:rPr>
        <w:t>Shu bilan birga, stress-test natijalari bu ko‘rsatkichlarning yuqori darajasi mutlaq barqarorlik kafolati emasligini ko‘rsatadi. Markaziy bankning 2025-yil uchun moliyaviy barqarorlik sharhida keltirilgan salbiy ssenariyga ko‘ra, bank tizimida CET1 monandligi 2028-yil oxirigacha 5,6 foizgacha, jami kapital monandligi esa 6,8 foizgacha pasayishi mumkin</w:t>
      </w:r>
      <w:r>
        <w:rPr>
          <w:b w:val="0"/>
          <w:sz w:val="28"/>
        </w:rPr>
        <w:t>[5]</w:t>
      </w:r>
      <w:r>
        <w:rPr>
          <w:b w:val="0"/>
          <w:sz w:val="28"/>
        </w:rPr>
        <w:t>. 2025-yil birinchi yarmi bo‘yicha sharhda bu ko‘rsatkichlar mos ravishda 6,1 va 8,4 foiz, leverej koeffitsiyenti esa 5,3 foiz deb baholangan edi</w:t>
      </w:r>
      <w:r>
        <w:rPr>
          <w:b w:val="0"/>
          <w:sz w:val="28"/>
        </w:rPr>
        <w:t>[6]</w:t>
      </w:r>
      <w:r>
        <w:rPr>
          <w:b w:val="0"/>
          <w:sz w:val="28"/>
        </w:rPr>
        <w:t xml:space="preserve"> (2.1.4-rasm).</w:t>
      </w:r>
    </w:p>
    <w:p>
      <w:pPr>
        <w:ind w:firstLine="0"/>
        <w:jc w:val="center"/>
      </w:pPr>
      <w:r>
        <w:rPr>
          <w:b/>
          <w:sz w:val="28"/>
        </w:rPr>
        <w:t>Sahifa osti snoskalari</w:t>
      </w:r>
    </w:p>
    <w:p>
      <w:pPr>
        <w:ind w:firstLine="0"/>
        <w:jc w:val="both"/>
      </w:pPr>
      <w:r>
        <w:rPr>
          <w:b w:val="0"/>
          <w:sz w:val="22"/>
        </w:rPr>
        <w:t>[1] IMF Country Report No. 25/227, 2025.</w:t>
      </w:r>
    </w:p>
    <w:p>
      <w:pPr>
        <w:ind w:firstLine="0"/>
        <w:jc w:val="both"/>
      </w:pPr>
      <w:r>
        <w:rPr>
          <w:b w:val="0"/>
          <w:sz w:val="22"/>
        </w:rPr>
        <w:t>[2] The Financial Stability Report for 2024 has been published // The Central Bank of the Republic of Uzbekistan. – https://cbu.uz/en/press_center/releases/2489245/; The Central Bank of Uzbekistan. Financial Stability Report for 2025.</w:t>
      </w:r>
    </w:p>
    <w:p>
      <w:pPr>
        <w:ind w:firstLine="0"/>
        <w:jc w:val="both"/>
      </w:pPr>
      <w:r>
        <w:rPr>
          <w:b w:val="0"/>
          <w:sz w:val="22"/>
        </w:rPr>
        <w:t>[3] O‘zbekiston Respublikasi Markaziy banki. Statistik byulleten: 2021-yil. – Toshkent, 2022. – 5.1.8b-jadval; O‘zbekiston Respublikasi Markaziy banki. Statistik byulleten: 2026-yil mart. – Toshkent, 2026. – 5.1.2, 5.1.3, 5.1.4, 5.1.6, 5.1.7, 5.1.8-jadvallar. – https://cbu.uz/uz/statistics/buleten/; The Central Bank of the Republic of Uzbekistan. Financial Stability Report for 2025. – Tashkent, 2026.</w:t>
      </w:r>
    </w:p>
    <w:p>
      <w:pPr>
        <w:ind w:firstLine="0"/>
        <w:jc w:val="both"/>
      </w:pPr>
      <w:r>
        <w:rPr>
          <w:b w:val="0"/>
          <w:sz w:val="22"/>
        </w:rPr>
        <w:t>[4] Tadqiqot natijasida muallif tomonidan quyidagi manbalar asosida ishlab chiqildi: O‘zbekiston Respublikasi Markaziy banki. Statistik byulleten: 2021-yil. – Toshkent, 2022; O‘zbekiston Respublikasi Markaziy banki. Statistik byulleten: 2026-yil mart. – Toshkent, 2026. – https://cbu.uz/uz/statistics/buleten/; IMF Country Report No. 25/227, 2025; The Central Bank of Uzbekistan. Financial Stability Report for 2024; The Central Bank of Uzbekistan. Financial Stability Report for 2025.</w:t>
      </w:r>
    </w:p>
    <w:p>
      <w:pPr>
        <w:ind w:firstLine="0"/>
        <w:jc w:val="both"/>
      </w:pPr>
      <w:r>
        <w:rPr>
          <w:b w:val="0"/>
          <w:sz w:val="22"/>
        </w:rPr>
        <w:t>[5] The Central Bank of Uzbekistan. Financial Stability Report for 2025.</w:t>
      </w:r>
    </w:p>
    <w:p>
      <w:pPr>
        <w:ind w:firstLine="0"/>
        <w:jc w:val="both"/>
      </w:pPr>
      <w:r>
        <w:rPr>
          <w:b w:val="0"/>
          <w:sz w:val="22"/>
        </w:rPr>
        <w:t>[6] The Central Bank of Uzbekistan. Financial Stability Report for H1 2025. – Tashkent, 2025. – https://cbu.uz/upload/medialibrary/fea/zc1m2epsxmcmn8u19j8q8n4so1d7eqsz/Financial-Stability-Report-for-H1-2025.pdf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c:style val="2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Jami kapital monandligi</c:v>
                </c:pt>
              </c:strCache>
            </c:strRef>
          </c:tx>
          <c:spPr>
            <a:solidFill>
              <a:srgbClr val="2A78D6"/>
            </a:solidFill>
            <a:ln w="6350">
              <a:solidFill>
                <a:srgbClr val="FFFFFF"/>
              </a:solidFill>
            </a:ln>
          </c:spPr>
          <c:invertIfNegative val="0"/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50" b="1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17.5</c:v>
                </c:pt>
                <c:pt idx="1">
                  <c:v>17.8</c:v>
                </c:pt>
                <c:pt idx="2">
                  <c:v>17.5</c:v>
                </c:pt>
                <c:pt idx="3">
                  <c:v>17.399999999999999</c:v>
                </c:pt>
                <c:pt idx="4">
                  <c:v>18.3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8C7-4842-A39A-6CD8F9490B6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Asosiy kapital (CET1) monandligi</c:v>
                </c:pt>
              </c:strCache>
            </c:strRef>
          </c:tx>
          <c:spPr>
            <a:solidFill>
              <a:srgbClr val="EB6834"/>
            </a:solidFill>
            <a:ln w="6350">
              <a:solidFill>
                <a:srgbClr val="FFFFFF"/>
              </a:solidFill>
            </a:ln>
          </c:spPr>
          <c:invertIfNegative val="0"/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50" b="1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14.6</c:v>
                </c:pt>
                <c:pt idx="1">
                  <c:v>14.4</c:v>
                </c:pt>
                <c:pt idx="2">
                  <c:v>14.1</c:v>
                </c:pt>
                <c:pt idx="3">
                  <c:v>14.3</c:v>
                </c:pt>
                <c:pt idx="4">
                  <c:v>14.7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8C7-4842-A39A-6CD8F9490B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0"/>
        <c:axId val="111"/>
        <c:axId val="222"/>
      </c:barChart>
      <c:catAx>
        <c:axId val="11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ru-RU"/>
          </a:p>
        </c:txPr>
        <c:crossAx val="222"/>
        <c:crosses val="autoZero"/>
        <c:auto val="1"/>
        <c:lblAlgn val="ctr"/>
        <c:lblOffset val="100"/>
        <c:tickLblSkip val="1"/>
        <c:noMultiLvlLbl val="0"/>
      </c:catAx>
      <c:valAx>
        <c:axId val="222"/>
        <c:scaling>
          <c:orientation val="minMax"/>
          <c:max val="22"/>
          <c:min val="0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Risk bo‘yicha tortilgan aktivlarga nisbatan, %</a:t>
                </a:r>
              </a:p>
            </c:rich>
          </c:tx>
          <c:overlay val="0"/>
        </c:title>
        <c:numFmt formatCode="General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ru-RU"/>
          </a:p>
        </c:txPr>
        <c:crossAx val="111"/>
        <c:crosses val="autoZero"/>
        <c:crossBetween val="between"/>
        <c:majorUnit val="2"/>
      </c:valAx>
      <c:spPr>
        <a:noFill/>
        <a:ln>
          <a:noFill/>
        </a:ln>
      </c:spPr>
    </c:plotArea>
    <c:legend>
      <c:legendPos val="b"/>
      <c:overlay val="0"/>
      <c:txPr>
        <a:bodyPr/>
        <a:lstStyle/>
        <a:p>
          <a:pPr>
            <a:defRPr sz="1050" b="0">
              <a:solidFill>
                <a:srgbClr val="000000"/>
              </a:solidFill>
              <a:latin typeface="Times New Roman"/>
              <a:cs typeface="Times New Roman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