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i w:val="0"/>
          <w:sz w:val="28"/>
        </w:rPr>
        <w:t>2.2.2-jadval – uch bank bo‘yicha alohida jadvallar va tahlil (namuna)</w:t>
      </w:r>
    </w:p>
    <w:p>
      <w:pPr>
        <w:ind w:firstLine="0"/>
        <w:jc w:val="both"/>
      </w:pPr>
      <w:r>
        <w:rPr>
          <w:b w:val="0"/>
          <w:i/>
          <w:color w:val="595959"/>
          <w:sz w:val="24"/>
        </w:rPr>
        <w:t>Qizil – yangi/qayta yozilgan matn; ko‘k – “Aloqabank” ATB. Bu qism hozirgi “Tizim darajasidagi agregat ko‘rsatkichlar …” xatboshisidan boshlab 2.2.7-rasmgacha bo‘lgan qismning o‘rnini egallaydi (2.2.5, 2.2.6, 2.2.8-rasmlar olib tashlanadi, ularning tahlili jadvallardan keyingi matnga ko‘chirildi).</w:t>
      </w:r>
    </w:p>
    <w:p>
      <w:pPr>
        <w:ind w:firstLine="709"/>
        <w:jc w:val="both"/>
      </w:pPr>
      <w:r>
        <w:rPr>
          <w:b w:val="0"/>
          <w:i w:val="0"/>
          <w:color w:val="FF0000"/>
          <w:sz w:val="28"/>
        </w:rPr>
        <w:t>Tizim darajasidagi agregat ko‘rsatkichlar alohida banklar o‘rtasidagi farqlarni yashiradi. Shu sababli tahlilni uchta davlat banki – yirik korporativ va infratuzilma loyihalarini moliyalashtiruvchi tizimli ahamiyatga molik “O‘zsanoatqurilishbank” ATB, davlat dasturlari doirasida mikrokreditlash bilan shug‘ullanuvchi “Mikrokreditbank” ATB va tizimli ahamiyatga molik banklar qatoriga kirmaydigan “Aloqabank” ATB misolida chuqurlashtirish maqsadga muvofiq. Avval har bir bankning 2021–2025-yillardagi asosiy ko‘rsatkichlari alohida (2.2.2–2.2.4-jadvallar), so‘ngra ular o‘zaro qiyosiy tahlil qilinadi.</w:t>
      </w:r>
    </w:p>
    <w:p>
      <w:pPr>
        <w:ind w:firstLine="0"/>
        <w:jc w:val="right"/>
      </w:pPr>
      <w:r>
        <w:rPr>
          <w:b w:val="0"/>
          <w:i/>
          <w:color w:val="FF0000"/>
          <w:sz w:val="28"/>
        </w:rPr>
        <w:t>2.2.2-jadval</w:t>
      </w:r>
    </w:p>
    <w:p>
      <w:pPr>
        <w:spacing w:line="240" w:lineRule="auto"/>
        <w:ind w:firstLine="0"/>
        <w:jc w:val="center"/>
      </w:pPr>
      <w:r>
        <w:rPr>
          <w:b/>
          <w:i w:val="0"/>
          <w:color w:val="FF0000"/>
          <w:sz w:val="28"/>
        </w:rPr>
        <w:t>“O‘zsanoatqurilishbank” ATB ning moliyaviy barqarorlik ko‘rsatkichlari</w:t>
      </w:r>
      <w:r>
        <w:rPr>
          <w:color w:val="FF0000"/>
          <w:sz w:val="28"/>
          <w:vertAlign w:val="superscript"/>
        </w:rPr>
        <w:t>1</w:t>
      </w:r>
    </w:p>
    <w:tbl>
      <w:tblPr>
        <w:tblStyle w:val="TableGrid"/>
        <w:tblW w:type="auto" w:w="0"/>
        <w:tblLayout w:type="fixed"/>
        <w:tblLook w:firstColumn="1" w:firstRow="1" w:lastColumn="0" w:lastRow="0" w:noHBand="0" w:noVBand="1" w:val="04A0"/>
      </w:tblPr>
      <w:tblGrid>
        <w:gridCol w:w="3402"/>
        <w:gridCol w:w="1191"/>
        <w:gridCol w:w="1191"/>
        <w:gridCol w:w="1191"/>
        <w:gridCol w:w="1191"/>
        <w:gridCol w:w="1191"/>
      </w:tblGrid>
      <w:tr>
        <w:tc>
          <w:tcPr>
            <w:tcW w:type="dxa" w:w="3402"/>
          </w:tcPr>
          <w:p>
            <w:pPr>
              <w:spacing w:line="240" w:lineRule="auto"/>
              <w:jc w:val="center"/>
            </w:pPr>
            <w:r>
              <w:rPr>
                <w:b/>
                <w:sz w:val="24"/>
              </w:rPr>
              <w:t>Ko‘rsatkich</w:t>
            </w:r>
          </w:p>
        </w:tc>
        <w:tc>
          <w:tcPr>
            <w:tcW w:type="dxa" w:w="1191"/>
          </w:tcPr>
          <w:p>
            <w:pPr>
              <w:spacing w:line="240" w:lineRule="auto"/>
              <w:jc w:val="center"/>
            </w:pPr>
            <w:r>
              <w:rPr>
                <w:b/>
                <w:sz w:val="24"/>
              </w:rPr>
              <w:t>2021</w:t>
            </w:r>
          </w:p>
        </w:tc>
        <w:tc>
          <w:tcPr>
            <w:tcW w:type="dxa" w:w="1191"/>
          </w:tcPr>
          <w:p>
            <w:pPr>
              <w:spacing w:line="240" w:lineRule="auto"/>
              <w:jc w:val="center"/>
            </w:pPr>
            <w:r>
              <w:rPr>
                <w:b/>
                <w:sz w:val="24"/>
              </w:rPr>
              <w:t>2022</w:t>
            </w:r>
          </w:p>
        </w:tc>
        <w:tc>
          <w:tcPr>
            <w:tcW w:type="dxa" w:w="1191"/>
          </w:tcPr>
          <w:p>
            <w:pPr>
              <w:spacing w:line="240" w:lineRule="auto"/>
              <w:jc w:val="center"/>
            </w:pPr>
            <w:r>
              <w:rPr>
                <w:b/>
                <w:sz w:val="24"/>
              </w:rPr>
              <w:t>2023</w:t>
            </w:r>
          </w:p>
        </w:tc>
        <w:tc>
          <w:tcPr>
            <w:tcW w:type="dxa" w:w="1191"/>
          </w:tcPr>
          <w:p>
            <w:pPr>
              <w:spacing w:line="240" w:lineRule="auto"/>
              <w:jc w:val="center"/>
            </w:pPr>
            <w:r>
              <w:rPr>
                <w:b/>
                <w:sz w:val="24"/>
              </w:rPr>
              <w:t>2024</w:t>
            </w:r>
          </w:p>
        </w:tc>
        <w:tc>
          <w:tcPr>
            <w:tcW w:type="dxa" w:w="1191"/>
          </w:tcPr>
          <w:p>
            <w:pPr>
              <w:spacing w:line="240" w:lineRule="auto"/>
              <w:jc w:val="center"/>
            </w:pPr>
            <w:r>
              <w:rPr>
                <w:b/>
                <w:sz w:val="24"/>
              </w:rPr>
              <w:t>2025</w:t>
            </w:r>
          </w:p>
        </w:tc>
      </w:tr>
      <w:tr>
        <w:tc>
          <w:tcPr>
            <w:tcW w:type="dxa" w:w="3402"/>
          </w:tcPr>
          <w:p>
            <w:pPr>
              <w:spacing w:line="240" w:lineRule="auto"/>
              <w:jc w:val="left"/>
            </w:pPr>
            <w:r>
              <w:rPr>
                <w:b w:val="0"/>
                <w:color w:val="FF0000"/>
                <w:sz w:val="24"/>
              </w:rPr>
              <w:t>Jami aktivlar, trln so‘m</w:t>
            </w:r>
          </w:p>
        </w:tc>
        <w:tc>
          <w:tcPr>
            <w:tcW w:type="dxa" w:w="1191"/>
          </w:tcPr>
          <w:p>
            <w:pPr>
              <w:spacing w:line="240" w:lineRule="auto"/>
              <w:jc w:val="center"/>
            </w:pPr>
            <w:r>
              <w:rPr>
                <w:b w:val="0"/>
                <w:color w:val="FF0000"/>
                <w:sz w:val="24"/>
              </w:rPr>
              <w:t>56,5</w:t>
            </w:r>
          </w:p>
        </w:tc>
        <w:tc>
          <w:tcPr>
            <w:tcW w:type="dxa" w:w="1191"/>
          </w:tcPr>
          <w:p>
            <w:pPr>
              <w:spacing w:line="240" w:lineRule="auto"/>
              <w:jc w:val="center"/>
            </w:pPr>
            <w:r>
              <w:rPr>
                <w:b w:val="0"/>
                <w:color w:val="FF0000"/>
                <w:sz w:val="24"/>
              </w:rPr>
              <w:t>64,3</w:t>
            </w:r>
          </w:p>
        </w:tc>
        <w:tc>
          <w:tcPr>
            <w:tcW w:type="dxa" w:w="1191"/>
          </w:tcPr>
          <w:p>
            <w:pPr>
              <w:spacing w:line="240" w:lineRule="auto"/>
              <w:jc w:val="center"/>
            </w:pPr>
            <w:r>
              <w:rPr>
                <w:b w:val="0"/>
                <w:color w:val="FF0000"/>
                <w:sz w:val="24"/>
              </w:rPr>
              <w:t>74,6</w:t>
            </w:r>
          </w:p>
        </w:tc>
        <w:tc>
          <w:tcPr>
            <w:tcW w:type="dxa" w:w="1191"/>
          </w:tcPr>
          <w:p>
            <w:pPr>
              <w:spacing w:line="240" w:lineRule="auto"/>
              <w:jc w:val="center"/>
            </w:pPr>
            <w:r>
              <w:rPr>
                <w:b w:val="0"/>
                <w:color w:val="FF0000"/>
                <w:sz w:val="24"/>
              </w:rPr>
              <w:t>87,6</w:t>
            </w:r>
          </w:p>
        </w:tc>
        <w:tc>
          <w:tcPr>
            <w:tcW w:type="dxa" w:w="1191"/>
          </w:tcPr>
          <w:p>
            <w:pPr>
              <w:spacing w:line="240" w:lineRule="auto"/>
              <w:jc w:val="center"/>
            </w:pPr>
            <w:r>
              <w:rPr>
                <w:b w:val="0"/>
                <w:color w:val="FF0000"/>
                <w:sz w:val="24"/>
              </w:rPr>
              <w:t>102,4</w:t>
            </w:r>
          </w:p>
        </w:tc>
      </w:tr>
      <w:tr>
        <w:tc>
          <w:tcPr>
            <w:tcW w:type="dxa" w:w="3402"/>
          </w:tcPr>
          <w:p>
            <w:pPr>
              <w:spacing w:line="240" w:lineRule="auto"/>
              <w:jc w:val="left"/>
            </w:pPr>
            <w:r>
              <w:rPr>
                <w:b w:val="0"/>
                <w:color w:val="FF0000"/>
                <w:sz w:val="24"/>
              </w:rPr>
              <w:t>Regulyativ kapital monandligi, %</w:t>
            </w:r>
          </w:p>
        </w:tc>
        <w:tc>
          <w:tcPr>
            <w:tcW w:type="dxa" w:w="1191"/>
          </w:tcPr>
          <w:p>
            <w:pPr>
              <w:spacing w:line="240" w:lineRule="auto"/>
              <w:jc w:val="center"/>
            </w:pPr>
            <w:r>
              <w:rPr>
                <w:b w:val="0"/>
                <w:color w:val="FF0000"/>
                <w:sz w:val="24"/>
              </w:rPr>
              <w:t>15,8</w:t>
            </w:r>
          </w:p>
        </w:tc>
        <w:tc>
          <w:tcPr>
            <w:tcW w:type="dxa" w:w="1191"/>
          </w:tcPr>
          <w:p>
            <w:pPr>
              <w:spacing w:line="240" w:lineRule="auto"/>
              <w:jc w:val="center"/>
            </w:pPr>
            <w:r>
              <w:rPr>
                <w:b w:val="0"/>
                <w:color w:val="FF0000"/>
                <w:sz w:val="24"/>
              </w:rPr>
              <w:t>15,3</w:t>
            </w:r>
          </w:p>
        </w:tc>
        <w:tc>
          <w:tcPr>
            <w:tcW w:type="dxa" w:w="1191"/>
          </w:tcPr>
          <w:p>
            <w:pPr>
              <w:spacing w:line="240" w:lineRule="auto"/>
              <w:jc w:val="center"/>
            </w:pPr>
            <w:r>
              <w:rPr>
                <w:b w:val="0"/>
                <w:color w:val="FF0000"/>
                <w:sz w:val="24"/>
              </w:rPr>
              <w:t>16,1</w:t>
            </w:r>
          </w:p>
        </w:tc>
        <w:tc>
          <w:tcPr>
            <w:tcW w:type="dxa" w:w="1191"/>
          </w:tcPr>
          <w:p>
            <w:pPr>
              <w:spacing w:line="240" w:lineRule="auto"/>
              <w:jc w:val="center"/>
            </w:pPr>
            <w:r>
              <w:rPr>
                <w:b w:val="0"/>
                <w:color w:val="FF0000"/>
                <w:sz w:val="24"/>
              </w:rPr>
              <w:t>15,6</w:t>
            </w:r>
          </w:p>
        </w:tc>
        <w:tc>
          <w:tcPr>
            <w:tcW w:type="dxa" w:w="1191"/>
          </w:tcPr>
          <w:p>
            <w:pPr>
              <w:spacing w:line="240" w:lineRule="auto"/>
              <w:jc w:val="center"/>
            </w:pPr>
            <w:r>
              <w:rPr>
                <w:b w:val="0"/>
                <w:color w:val="FF0000"/>
                <w:sz w:val="24"/>
              </w:rPr>
              <w:t>17,0</w:t>
            </w:r>
          </w:p>
        </w:tc>
      </w:tr>
      <w:tr>
        <w:tc>
          <w:tcPr>
            <w:tcW w:type="dxa" w:w="3402"/>
          </w:tcPr>
          <w:p>
            <w:pPr>
              <w:spacing w:line="240" w:lineRule="auto"/>
              <w:jc w:val="left"/>
            </w:pPr>
            <w:r>
              <w:rPr>
                <w:b w:val="0"/>
                <w:color w:val="FF0000"/>
                <w:sz w:val="24"/>
              </w:rPr>
              <w:t>Asosiy kapital (CET1) monandligi, %</w:t>
            </w:r>
          </w:p>
        </w:tc>
        <w:tc>
          <w:tcPr>
            <w:tcW w:type="dxa" w:w="1191"/>
          </w:tcPr>
          <w:p>
            <w:pPr>
              <w:spacing w:line="240" w:lineRule="auto"/>
              <w:jc w:val="center"/>
            </w:pPr>
            <w:r>
              <w:rPr>
                <w:b w:val="0"/>
                <w:color w:val="FF0000"/>
                <w:sz w:val="24"/>
              </w:rPr>
              <w:t>11,9</w:t>
            </w:r>
          </w:p>
        </w:tc>
        <w:tc>
          <w:tcPr>
            <w:tcW w:type="dxa" w:w="1191"/>
          </w:tcPr>
          <w:p>
            <w:pPr>
              <w:spacing w:line="240" w:lineRule="auto"/>
              <w:jc w:val="center"/>
            </w:pPr>
            <w:r>
              <w:rPr>
                <w:b w:val="0"/>
                <w:color w:val="FF0000"/>
                <w:sz w:val="24"/>
              </w:rPr>
              <w:t>12,1</w:t>
            </w:r>
          </w:p>
        </w:tc>
        <w:tc>
          <w:tcPr>
            <w:tcW w:type="dxa" w:w="1191"/>
          </w:tcPr>
          <w:p>
            <w:pPr>
              <w:spacing w:line="240" w:lineRule="auto"/>
              <w:jc w:val="center"/>
            </w:pPr>
            <w:r>
              <w:rPr>
                <w:b w:val="0"/>
                <w:color w:val="FF0000"/>
                <w:sz w:val="24"/>
              </w:rPr>
              <w:t>11,0</w:t>
            </w:r>
          </w:p>
        </w:tc>
        <w:tc>
          <w:tcPr>
            <w:tcW w:type="dxa" w:w="1191"/>
          </w:tcPr>
          <w:p>
            <w:pPr>
              <w:spacing w:line="240" w:lineRule="auto"/>
              <w:jc w:val="center"/>
            </w:pPr>
            <w:r>
              <w:rPr>
                <w:b w:val="0"/>
                <w:color w:val="FF0000"/>
                <w:sz w:val="24"/>
              </w:rPr>
              <w:t>10,6</w:t>
            </w:r>
          </w:p>
        </w:tc>
        <w:tc>
          <w:tcPr>
            <w:tcW w:type="dxa" w:w="1191"/>
          </w:tcPr>
          <w:p>
            <w:pPr>
              <w:spacing w:line="240" w:lineRule="auto"/>
              <w:jc w:val="center"/>
            </w:pPr>
            <w:r>
              <w:rPr>
                <w:b w:val="0"/>
                <w:color w:val="FF0000"/>
                <w:sz w:val="24"/>
              </w:rPr>
              <w:t>10,2</w:t>
            </w:r>
          </w:p>
        </w:tc>
      </w:tr>
      <w:tr>
        <w:tc>
          <w:tcPr>
            <w:tcW w:type="dxa" w:w="3402"/>
          </w:tcPr>
          <w:p>
            <w:pPr>
              <w:spacing w:line="240" w:lineRule="auto"/>
              <w:jc w:val="left"/>
            </w:pPr>
            <w:r>
              <w:rPr>
                <w:b w:val="0"/>
                <w:color w:val="FF0000"/>
                <w:sz w:val="24"/>
              </w:rPr>
              <w:t>Muammoli kreditlar ulushi, %</w:t>
            </w:r>
          </w:p>
        </w:tc>
        <w:tc>
          <w:tcPr>
            <w:tcW w:type="dxa" w:w="1191"/>
          </w:tcPr>
          <w:p>
            <w:pPr>
              <w:spacing w:line="240" w:lineRule="auto"/>
              <w:jc w:val="center"/>
            </w:pPr>
            <w:r>
              <w:rPr>
                <w:b w:val="0"/>
                <w:color w:val="FF0000"/>
                <w:sz w:val="24"/>
              </w:rPr>
              <w:t>3,8</w:t>
            </w:r>
          </w:p>
        </w:tc>
        <w:tc>
          <w:tcPr>
            <w:tcW w:type="dxa" w:w="1191"/>
          </w:tcPr>
          <w:p>
            <w:pPr>
              <w:spacing w:line="240" w:lineRule="auto"/>
              <w:jc w:val="center"/>
            </w:pPr>
            <w:r>
              <w:rPr>
                <w:b w:val="0"/>
                <w:color w:val="FF0000"/>
                <w:sz w:val="24"/>
              </w:rPr>
              <w:t>2,8</w:t>
            </w:r>
          </w:p>
        </w:tc>
        <w:tc>
          <w:tcPr>
            <w:tcW w:type="dxa" w:w="1191"/>
          </w:tcPr>
          <w:p>
            <w:pPr>
              <w:spacing w:line="240" w:lineRule="auto"/>
              <w:jc w:val="center"/>
            </w:pPr>
            <w:r>
              <w:rPr>
                <w:b w:val="0"/>
                <w:color w:val="FF0000"/>
                <w:sz w:val="24"/>
              </w:rPr>
              <w:t>2,2</w:t>
            </w:r>
          </w:p>
        </w:tc>
        <w:tc>
          <w:tcPr>
            <w:tcW w:type="dxa" w:w="1191"/>
          </w:tcPr>
          <w:p>
            <w:pPr>
              <w:spacing w:line="240" w:lineRule="auto"/>
              <w:jc w:val="center"/>
            </w:pPr>
            <w:r>
              <w:rPr>
                <w:b w:val="0"/>
                <w:color w:val="FF0000"/>
                <w:sz w:val="24"/>
              </w:rPr>
              <w:t>2,8</w:t>
            </w:r>
          </w:p>
        </w:tc>
        <w:tc>
          <w:tcPr>
            <w:tcW w:type="dxa" w:w="1191"/>
          </w:tcPr>
          <w:p>
            <w:pPr>
              <w:spacing w:line="240" w:lineRule="auto"/>
              <w:jc w:val="center"/>
            </w:pPr>
            <w:r>
              <w:rPr>
                <w:b w:val="0"/>
                <w:color w:val="FF0000"/>
                <w:sz w:val="24"/>
              </w:rPr>
              <w:t>2,5</w:t>
            </w:r>
          </w:p>
        </w:tc>
      </w:tr>
      <w:tr>
        <w:tc>
          <w:tcPr>
            <w:tcW w:type="dxa" w:w="3402"/>
          </w:tcPr>
          <w:p>
            <w:pPr>
              <w:spacing w:line="240" w:lineRule="auto"/>
              <w:jc w:val="left"/>
            </w:pPr>
            <w:r>
              <w:rPr>
                <w:b w:val="0"/>
                <w:color w:val="FF0000"/>
                <w:sz w:val="24"/>
              </w:rPr>
              <w:t>Substandart kreditlar ulushi, %</w:t>
            </w:r>
          </w:p>
        </w:tc>
        <w:tc>
          <w:tcPr>
            <w:tcW w:type="dxa" w:w="1191"/>
          </w:tcPr>
          <w:p>
            <w:pPr>
              <w:spacing w:line="240" w:lineRule="auto"/>
              <w:jc w:val="center"/>
            </w:pPr>
            <w:r>
              <w:rPr>
                <w:b w:val="0"/>
                <w:color w:val="FF0000"/>
                <w:sz w:val="24"/>
              </w:rPr>
              <w:t>6,2</w:t>
            </w:r>
          </w:p>
        </w:tc>
        <w:tc>
          <w:tcPr>
            <w:tcW w:type="dxa" w:w="1191"/>
          </w:tcPr>
          <w:p>
            <w:pPr>
              <w:spacing w:line="240" w:lineRule="auto"/>
              <w:jc w:val="center"/>
            </w:pPr>
            <w:r>
              <w:rPr>
                <w:b w:val="0"/>
                <w:color w:val="FF0000"/>
                <w:sz w:val="24"/>
              </w:rPr>
              <w:t>5,3</w:t>
            </w:r>
          </w:p>
        </w:tc>
        <w:tc>
          <w:tcPr>
            <w:tcW w:type="dxa" w:w="1191"/>
          </w:tcPr>
          <w:p>
            <w:pPr>
              <w:spacing w:line="240" w:lineRule="auto"/>
              <w:jc w:val="center"/>
            </w:pPr>
            <w:r>
              <w:rPr>
                <w:b w:val="0"/>
                <w:color w:val="FF0000"/>
                <w:sz w:val="24"/>
              </w:rPr>
              <w:t>11,0</w:t>
            </w:r>
          </w:p>
        </w:tc>
        <w:tc>
          <w:tcPr>
            <w:tcW w:type="dxa" w:w="1191"/>
          </w:tcPr>
          <w:p>
            <w:pPr>
              <w:spacing w:line="240" w:lineRule="auto"/>
              <w:jc w:val="center"/>
            </w:pPr>
            <w:r>
              <w:rPr>
                <w:b w:val="0"/>
                <w:color w:val="FF0000"/>
                <w:sz w:val="24"/>
              </w:rPr>
              <w:t>14,8</w:t>
            </w:r>
          </w:p>
        </w:tc>
        <w:tc>
          <w:tcPr>
            <w:tcW w:type="dxa" w:w="1191"/>
          </w:tcPr>
          <w:p>
            <w:pPr>
              <w:spacing w:line="240" w:lineRule="auto"/>
              <w:jc w:val="center"/>
            </w:pPr>
            <w:r>
              <w:rPr>
                <w:b w:val="0"/>
                <w:color w:val="FF0000"/>
                <w:sz w:val="24"/>
              </w:rPr>
              <w:t>18,4</w:t>
            </w:r>
          </w:p>
        </w:tc>
      </w:tr>
      <w:tr>
        <w:tc>
          <w:tcPr>
            <w:tcW w:type="dxa" w:w="3402"/>
          </w:tcPr>
          <w:p>
            <w:pPr>
              <w:spacing w:line="240" w:lineRule="auto"/>
              <w:jc w:val="left"/>
            </w:pPr>
            <w:r>
              <w:rPr>
                <w:b w:val="0"/>
                <w:color w:val="FF0000"/>
                <w:sz w:val="24"/>
              </w:rPr>
              <w:t>ROA, %</w:t>
            </w:r>
          </w:p>
        </w:tc>
        <w:tc>
          <w:tcPr>
            <w:tcW w:type="dxa" w:w="1191"/>
          </w:tcPr>
          <w:p>
            <w:pPr>
              <w:spacing w:line="240" w:lineRule="auto"/>
              <w:jc w:val="center"/>
            </w:pPr>
            <w:r>
              <w:rPr>
                <w:b w:val="0"/>
                <w:color w:val="FF0000"/>
                <w:sz w:val="24"/>
              </w:rPr>
              <w:t>1,9</w:t>
            </w:r>
          </w:p>
        </w:tc>
        <w:tc>
          <w:tcPr>
            <w:tcW w:type="dxa" w:w="1191"/>
          </w:tcPr>
          <w:p>
            <w:pPr>
              <w:spacing w:line="240" w:lineRule="auto"/>
              <w:jc w:val="center"/>
            </w:pPr>
            <w:r>
              <w:rPr>
                <w:b w:val="0"/>
                <w:color w:val="FF0000"/>
                <w:sz w:val="24"/>
              </w:rPr>
              <w:t>1,0</w:t>
            </w:r>
          </w:p>
        </w:tc>
        <w:tc>
          <w:tcPr>
            <w:tcW w:type="dxa" w:w="1191"/>
          </w:tcPr>
          <w:p>
            <w:pPr>
              <w:spacing w:line="240" w:lineRule="auto"/>
              <w:jc w:val="center"/>
            </w:pPr>
            <w:r>
              <w:rPr>
                <w:b w:val="0"/>
                <w:color w:val="FF0000"/>
                <w:sz w:val="24"/>
              </w:rPr>
              <w:t>1,3</w:t>
            </w:r>
          </w:p>
        </w:tc>
        <w:tc>
          <w:tcPr>
            <w:tcW w:type="dxa" w:w="1191"/>
          </w:tcPr>
          <w:p>
            <w:pPr>
              <w:spacing w:line="240" w:lineRule="auto"/>
              <w:jc w:val="center"/>
            </w:pPr>
            <w:r>
              <w:rPr>
                <w:b w:val="0"/>
                <w:color w:val="FF0000"/>
                <w:sz w:val="24"/>
              </w:rPr>
              <w:t>1,6</w:t>
            </w:r>
          </w:p>
        </w:tc>
        <w:tc>
          <w:tcPr>
            <w:tcW w:type="dxa" w:w="1191"/>
          </w:tcPr>
          <w:p>
            <w:pPr>
              <w:spacing w:line="240" w:lineRule="auto"/>
              <w:jc w:val="center"/>
            </w:pPr>
            <w:r>
              <w:rPr>
                <w:b w:val="0"/>
                <w:color w:val="FF0000"/>
                <w:sz w:val="24"/>
              </w:rPr>
              <w:t>2,0</w:t>
            </w:r>
          </w:p>
        </w:tc>
      </w:tr>
      <w:tr>
        <w:tc>
          <w:tcPr>
            <w:tcW w:type="dxa" w:w="3402"/>
          </w:tcPr>
          <w:p>
            <w:pPr>
              <w:spacing w:line="240" w:lineRule="auto"/>
              <w:jc w:val="left"/>
            </w:pPr>
            <w:r>
              <w:rPr>
                <w:b w:val="0"/>
                <w:color w:val="FF0000"/>
                <w:sz w:val="24"/>
              </w:rPr>
              <w:t>ROE, %</w:t>
            </w:r>
          </w:p>
        </w:tc>
        <w:tc>
          <w:tcPr>
            <w:tcW w:type="dxa" w:w="1191"/>
          </w:tcPr>
          <w:p>
            <w:pPr>
              <w:spacing w:line="240" w:lineRule="auto"/>
              <w:jc w:val="center"/>
            </w:pPr>
            <w:r>
              <w:rPr>
                <w:b w:val="0"/>
                <w:color w:val="FF0000"/>
                <w:sz w:val="24"/>
              </w:rPr>
              <w:t>13,9</w:t>
            </w:r>
          </w:p>
        </w:tc>
        <w:tc>
          <w:tcPr>
            <w:tcW w:type="dxa" w:w="1191"/>
          </w:tcPr>
          <w:p>
            <w:pPr>
              <w:spacing w:line="240" w:lineRule="auto"/>
              <w:jc w:val="center"/>
            </w:pPr>
            <w:r>
              <w:rPr>
                <w:b w:val="0"/>
                <w:color w:val="FF0000"/>
                <w:sz w:val="24"/>
              </w:rPr>
              <w:t>7,6</w:t>
            </w:r>
          </w:p>
        </w:tc>
        <w:tc>
          <w:tcPr>
            <w:tcW w:type="dxa" w:w="1191"/>
          </w:tcPr>
          <w:p>
            <w:pPr>
              <w:spacing w:line="240" w:lineRule="auto"/>
              <w:jc w:val="center"/>
            </w:pPr>
            <w:r>
              <w:rPr>
                <w:b w:val="0"/>
                <w:color w:val="FF0000"/>
                <w:sz w:val="24"/>
              </w:rPr>
              <w:t>11,0</w:t>
            </w:r>
          </w:p>
        </w:tc>
        <w:tc>
          <w:tcPr>
            <w:tcW w:type="dxa" w:w="1191"/>
          </w:tcPr>
          <w:p>
            <w:pPr>
              <w:spacing w:line="240" w:lineRule="auto"/>
              <w:jc w:val="center"/>
            </w:pPr>
            <w:r>
              <w:rPr>
                <w:b w:val="0"/>
                <w:color w:val="FF0000"/>
                <w:sz w:val="24"/>
              </w:rPr>
              <w:t>13,9</w:t>
            </w:r>
          </w:p>
        </w:tc>
        <w:tc>
          <w:tcPr>
            <w:tcW w:type="dxa" w:w="1191"/>
          </w:tcPr>
          <w:p>
            <w:pPr>
              <w:spacing w:line="240" w:lineRule="auto"/>
              <w:jc w:val="center"/>
            </w:pPr>
            <w:r>
              <w:rPr>
                <w:b w:val="0"/>
                <w:color w:val="FF0000"/>
                <w:sz w:val="24"/>
              </w:rPr>
              <w:t>17,2</w:t>
            </w:r>
          </w:p>
        </w:tc>
      </w:tr>
      <w:tr>
        <w:tc>
          <w:tcPr>
            <w:tcW w:type="dxa" w:w="3402"/>
          </w:tcPr>
          <w:p>
            <w:pPr>
              <w:spacing w:line="240" w:lineRule="auto"/>
              <w:jc w:val="left"/>
            </w:pPr>
            <w:r>
              <w:rPr>
                <w:b w:val="0"/>
                <w:color w:val="FF0000"/>
                <w:sz w:val="24"/>
              </w:rPr>
              <w:t>LCR, %</w:t>
            </w:r>
          </w:p>
        </w:tc>
        <w:tc>
          <w:tcPr>
            <w:tcW w:type="dxa" w:w="1191"/>
          </w:tcPr>
          <w:p>
            <w:pPr>
              <w:spacing w:line="240" w:lineRule="auto"/>
              <w:jc w:val="center"/>
            </w:pPr>
            <w:r>
              <w:rPr>
                <w:b w:val="0"/>
                <w:color w:val="FF0000"/>
                <w:sz w:val="24"/>
              </w:rPr>
              <w:t>164,5</w:t>
            </w:r>
          </w:p>
        </w:tc>
        <w:tc>
          <w:tcPr>
            <w:tcW w:type="dxa" w:w="1191"/>
          </w:tcPr>
          <w:p>
            <w:pPr>
              <w:spacing w:line="240" w:lineRule="auto"/>
              <w:jc w:val="center"/>
            </w:pPr>
            <w:r>
              <w:rPr>
                <w:b w:val="0"/>
                <w:color w:val="FF0000"/>
                <w:sz w:val="24"/>
              </w:rPr>
              <w:t>200,1</w:t>
            </w:r>
          </w:p>
        </w:tc>
        <w:tc>
          <w:tcPr>
            <w:tcW w:type="dxa" w:w="1191"/>
          </w:tcPr>
          <w:p>
            <w:pPr>
              <w:spacing w:line="240" w:lineRule="auto"/>
              <w:jc w:val="center"/>
            </w:pPr>
            <w:r>
              <w:rPr>
                <w:b w:val="0"/>
                <w:color w:val="FF0000"/>
                <w:sz w:val="24"/>
              </w:rPr>
              <w:t>177,3</w:t>
            </w:r>
          </w:p>
        </w:tc>
        <w:tc>
          <w:tcPr>
            <w:tcW w:type="dxa" w:w="1191"/>
          </w:tcPr>
          <w:p>
            <w:pPr>
              <w:spacing w:line="240" w:lineRule="auto"/>
              <w:jc w:val="center"/>
            </w:pPr>
            <w:r>
              <w:rPr>
                <w:b w:val="0"/>
                <w:color w:val="FF0000"/>
                <w:sz w:val="24"/>
              </w:rPr>
              <w:t>148,4</w:t>
            </w:r>
          </w:p>
        </w:tc>
        <w:tc>
          <w:tcPr>
            <w:tcW w:type="dxa" w:w="1191"/>
          </w:tcPr>
          <w:p>
            <w:pPr>
              <w:spacing w:line="240" w:lineRule="auto"/>
              <w:jc w:val="center"/>
            </w:pPr>
            <w:r>
              <w:rPr>
                <w:b w:val="0"/>
                <w:color w:val="FF0000"/>
                <w:sz w:val="24"/>
              </w:rPr>
              <w:t>222,9</w:t>
            </w:r>
          </w:p>
        </w:tc>
      </w:tr>
      <w:tr>
        <w:tc>
          <w:tcPr>
            <w:tcW w:type="dxa" w:w="3402"/>
          </w:tcPr>
          <w:p>
            <w:pPr>
              <w:spacing w:line="240" w:lineRule="auto"/>
              <w:jc w:val="left"/>
            </w:pPr>
            <w:r>
              <w:rPr>
                <w:b w:val="0"/>
                <w:color w:val="FF0000"/>
                <w:sz w:val="24"/>
              </w:rPr>
              <w:t>NSFR, %</w:t>
            </w:r>
          </w:p>
        </w:tc>
        <w:tc>
          <w:tcPr>
            <w:tcW w:type="dxa" w:w="1191"/>
          </w:tcPr>
          <w:p>
            <w:pPr>
              <w:spacing w:line="240" w:lineRule="auto"/>
              <w:jc w:val="center"/>
            </w:pPr>
            <w:r>
              <w:rPr>
                <w:b w:val="0"/>
                <w:color w:val="FF0000"/>
                <w:sz w:val="24"/>
              </w:rPr>
              <w:t>115,0</w:t>
            </w:r>
          </w:p>
        </w:tc>
        <w:tc>
          <w:tcPr>
            <w:tcW w:type="dxa" w:w="1191"/>
          </w:tcPr>
          <w:p>
            <w:pPr>
              <w:spacing w:line="240" w:lineRule="auto"/>
              <w:jc w:val="center"/>
            </w:pPr>
            <w:r>
              <w:rPr>
                <w:b w:val="0"/>
                <w:color w:val="FF0000"/>
                <w:sz w:val="24"/>
              </w:rPr>
              <w:t>110,4</w:t>
            </w:r>
          </w:p>
        </w:tc>
        <w:tc>
          <w:tcPr>
            <w:tcW w:type="dxa" w:w="1191"/>
          </w:tcPr>
          <w:p>
            <w:pPr>
              <w:spacing w:line="240" w:lineRule="auto"/>
              <w:jc w:val="center"/>
            </w:pPr>
            <w:r>
              <w:rPr>
                <w:b w:val="0"/>
                <w:color w:val="FF0000"/>
                <w:sz w:val="24"/>
              </w:rPr>
              <w:t>104,2</w:t>
            </w:r>
          </w:p>
        </w:tc>
        <w:tc>
          <w:tcPr>
            <w:tcW w:type="dxa" w:w="1191"/>
          </w:tcPr>
          <w:p>
            <w:pPr>
              <w:spacing w:line="240" w:lineRule="auto"/>
              <w:jc w:val="center"/>
            </w:pPr>
            <w:r>
              <w:rPr>
                <w:b w:val="0"/>
                <w:color w:val="FF0000"/>
                <w:sz w:val="24"/>
              </w:rPr>
              <w:t>113,1</w:t>
            </w:r>
          </w:p>
        </w:tc>
        <w:tc>
          <w:tcPr>
            <w:tcW w:type="dxa" w:w="1191"/>
          </w:tcPr>
          <w:p>
            <w:pPr>
              <w:spacing w:line="240" w:lineRule="auto"/>
              <w:jc w:val="center"/>
            </w:pPr>
            <w:r>
              <w:rPr>
                <w:b w:val="0"/>
                <w:color w:val="FF0000"/>
                <w:sz w:val="24"/>
              </w:rPr>
              <w:t>122,2</w:t>
            </w:r>
          </w:p>
        </w:tc>
      </w:tr>
      <w:tr>
        <w:tc>
          <w:tcPr>
            <w:tcW w:type="dxa" w:w="3402"/>
          </w:tcPr>
          <w:p>
            <w:pPr>
              <w:spacing w:line="240" w:lineRule="auto"/>
              <w:jc w:val="left"/>
            </w:pPr>
            <w:r>
              <w:rPr>
                <w:b w:val="0"/>
                <w:color w:val="FF0000"/>
                <w:sz w:val="24"/>
              </w:rPr>
              <w:t>Kreditlar / depozitlar, %</w:t>
            </w:r>
          </w:p>
        </w:tc>
        <w:tc>
          <w:tcPr>
            <w:tcW w:type="dxa" w:w="1191"/>
          </w:tcPr>
          <w:p>
            <w:pPr>
              <w:spacing w:line="240" w:lineRule="auto"/>
              <w:jc w:val="center"/>
            </w:pPr>
            <w:r>
              <w:rPr>
                <w:b w:val="0"/>
                <w:color w:val="FF0000"/>
                <w:sz w:val="24"/>
              </w:rPr>
              <w:t>342,2</w:t>
            </w:r>
          </w:p>
        </w:tc>
        <w:tc>
          <w:tcPr>
            <w:tcW w:type="dxa" w:w="1191"/>
          </w:tcPr>
          <w:p>
            <w:pPr>
              <w:spacing w:line="240" w:lineRule="auto"/>
              <w:jc w:val="center"/>
            </w:pPr>
            <w:r>
              <w:rPr>
                <w:b w:val="0"/>
                <w:color w:val="FF0000"/>
                <w:sz w:val="24"/>
              </w:rPr>
              <w:t>323,0</w:t>
            </w:r>
          </w:p>
        </w:tc>
        <w:tc>
          <w:tcPr>
            <w:tcW w:type="dxa" w:w="1191"/>
          </w:tcPr>
          <w:p>
            <w:pPr>
              <w:spacing w:line="240" w:lineRule="auto"/>
              <w:jc w:val="center"/>
            </w:pPr>
            <w:r>
              <w:rPr>
                <w:b w:val="0"/>
                <w:color w:val="FF0000"/>
                <w:sz w:val="24"/>
              </w:rPr>
              <w:t>414,0</w:t>
            </w:r>
          </w:p>
        </w:tc>
        <w:tc>
          <w:tcPr>
            <w:tcW w:type="dxa" w:w="1191"/>
          </w:tcPr>
          <w:p>
            <w:pPr>
              <w:spacing w:line="240" w:lineRule="auto"/>
              <w:jc w:val="center"/>
            </w:pPr>
            <w:r>
              <w:rPr>
                <w:b w:val="0"/>
                <w:color w:val="FF0000"/>
                <w:sz w:val="24"/>
              </w:rPr>
              <w:t>315,7</w:t>
            </w:r>
          </w:p>
        </w:tc>
        <w:tc>
          <w:tcPr>
            <w:tcW w:type="dxa" w:w="1191"/>
          </w:tcPr>
          <w:p>
            <w:pPr>
              <w:spacing w:line="240" w:lineRule="auto"/>
              <w:jc w:val="center"/>
            </w:pPr>
            <w:r>
              <w:rPr>
                <w:b w:val="0"/>
                <w:color w:val="FF0000"/>
                <w:sz w:val="24"/>
              </w:rPr>
              <w:t>206,5</w:t>
            </w:r>
          </w:p>
        </w:tc>
      </w:tr>
    </w:tbl>
    <w:p>
      <w:pPr>
        <w:spacing w:line="240" w:lineRule="auto"/>
        <w:ind w:firstLine="0"/>
        <w:jc w:val="both"/>
      </w:pPr>
      <w:r>
        <w:rPr>
          <w:b w:val="0"/>
          <w:i/>
          <w:color w:val="FF0000"/>
          <w:sz w:val="24"/>
        </w:rPr>
        <w:t>Izoh: muammoli kreditlar – qoniqarsiz, shubhali va umidsiz deb tasniflangan kreditlar; ROA va ROE sof foydaning aktivlar va kapitalning o‘rtacha yillik qiymatiga nisbati sifatida hisoblandi.</w:t>
      </w:r>
    </w:p>
    <w:p>
      <w:pPr>
        <w:ind w:firstLine="709"/>
        <w:jc w:val="both"/>
      </w:pPr>
      <w:r>
        <w:rPr>
          <w:b w:val="0"/>
          <w:i w:val="0"/>
          <w:color w:val="FF0000"/>
          <w:sz w:val="28"/>
        </w:rPr>
        <w:t>2.2.2-jadval ma’lumotlari “O‘zsanoatqurilishbank” ATB moliyaviy barqarorligi ikki xil yo‘nalishda rivojlanganini ko‘rsatadi. Bankning aktivlari 2021–2025-yillarda 56,5 trln so‘mdan 102,4 trln so‘mga, ya’ni 1,8 barobar o‘sgan. Regulyativ kapital monandligi butun davr mobaynida 15,3–17,0 foiz oralig‘ida bo‘lib, 13 foizlik minimumdan atigi 2,3–4,0 foiz punkt yuqori turgan, asosiy kapital monandligi esa 2022-yildagi 12,1 foizdan 2025-yilda 10,2 foizgacha izchil pasayib, 8 foizlik minimumga yaqinlashgan. 2025-yilda birinchi darajali kapital monandligining 14 foizgacha oshishi asosan xalqaro bozorda joylashtirilgan qo‘shimcha birinchi darajali kapital obligatsiyalari hisobiga ta’minlangan, sof asosiy kapital esa o‘smagan.</w:t>
      </w:r>
    </w:p>
    <w:p>
      <w:pPr>
        <w:ind w:firstLine="709"/>
        <w:jc w:val="both"/>
      </w:pPr>
      <w:r>
        <w:rPr>
          <w:b w:val="0"/>
          <w:i w:val="0"/>
          <w:color w:val="FF0000"/>
          <w:sz w:val="28"/>
        </w:rPr>
        <w:t>Aktivlar sifati bo‘yicha rasmiy muammoli kreditlar ulushi 2,2–3,8 foiz oralig‘ida past darajada saqlangan, biroq substandart kreditlar ulushi 2021-yildagi 6,2 foizdan 2025-yilda 18,4 foizgacha, ya’ni qariyb uch barobar oshgan. Bu kredit riskining yashirin to‘planishidan dalolat beradi va MHXS hisoboti bilan tasdiqlanadi: 2025-yil yakunida bankning MHXS 9 bo‘yicha 3-bosqich kreditlari ulushi 7,48 foizni, 2-bosqich kreditlari ulushi esa 35,7 foizni tashkil etgan</w:t>
      </w:r>
      <w:r>
        <w:rPr>
          <w:color w:val="FF0000"/>
          <w:sz w:val="28"/>
          <w:vertAlign w:val="superscript"/>
        </w:rPr>
        <w:t>2</w:t>
      </w:r>
      <w:r>
        <w:rPr>
          <w:b w:val="0"/>
          <w:i w:val="0"/>
          <w:color w:val="FF0000"/>
          <w:sz w:val="28"/>
        </w:rPr>
        <w:t>. Daromadlilik 2022-yildagi pasayishdan (ROE 7,6 foiz) keyin tiklanib, 2025-yilda ROE 17,2 foizga yetgan, ya’ni tizim o‘rtacha darajasidan yuqori. Likvidlik koeffitsiyentlari Bazel III talablaridan yuqori bo‘lsa-da, 2023-yilda NSFR 104,2 foizgacha pasaygan. Kreditlarning depozitlarga nisbati esa 206,5–414,0 foiz bo‘lib, bank kreditlarni asosan xalqaro moliya institutlari, xorijiy banklar va davlat fondlarining resurslari hisobiga moliyalashtiradi: 2025-yil yakunida bankning olingan kreditlari 35,5 trln so‘mni tashkil etib, depozitlardan qariyb 1,1 barobar ko‘p bo‘lgan</w:t>
      </w:r>
      <w:r>
        <w:rPr>
          <w:color w:val="FF0000"/>
          <w:sz w:val="28"/>
          <w:vertAlign w:val="superscript"/>
        </w:rPr>
        <w:t>3</w:t>
      </w:r>
      <w:r>
        <w:rPr>
          <w:b w:val="0"/>
          <w:i w:val="0"/>
          <w:color w:val="FF0000"/>
          <w:sz w:val="28"/>
        </w:rPr>
        <w:t>.</w:t>
      </w:r>
    </w:p>
    <w:p>
      <w:pPr>
        <w:ind w:firstLine="0"/>
        <w:jc w:val="right"/>
      </w:pPr>
      <w:r>
        <w:rPr>
          <w:b w:val="0"/>
          <w:i/>
          <w:color w:val="FF0000"/>
          <w:sz w:val="28"/>
        </w:rPr>
        <w:t>2.2.3-jadval</w:t>
      </w:r>
    </w:p>
    <w:p>
      <w:pPr>
        <w:spacing w:line="240" w:lineRule="auto"/>
        <w:ind w:firstLine="0"/>
        <w:jc w:val="center"/>
      </w:pPr>
      <w:r>
        <w:rPr>
          <w:b/>
          <w:i w:val="0"/>
          <w:color w:val="FF0000"/>
          <w:sz w:val="28"/>
        </w:rPr>
        <w:t>“Mikrokreditbank” ATB ning moliyaviy barqarorlik ko‘rsatkichlari</w:t>
      </w:r>
      <w:r>
        <w:rPr>
          <w:color w:val="FF0000"/>
          <w:sz w:val="28"/>
          <w:vertAlign w:val="superscript"/>
        </w:rPr>
        <w:t>4</w:t>
      </w:r>
    </w:p>
    <w:tbl>
      <w:tblPr>
        <w:tblStyle w:val="TableGrid"/>
        <w:tblW w:type="auto" w:w="0"/>
        <w:tblLayout w:type="fixed"/>
        <w:tblLook w:firstColumn="1" w:firstRow="1" w:lastColumn="0" w:lastRow="0" w:noHBand="0" w:noVBand="1" w:val="04A0"/>
      </w:tblPr>
      <w:tblGrid>
        <w:gridCol w:w="3402"/>
        <w:gridCol w:w="1191"/>
        <w:gridCol w:w="1191"/>
        <w:gridCol w:w="1191"/>
        <w:gridCol w:w="1191"/>
        <w:gridCol w:w="1191"/>
      </w:tblGrid>
      <w:tr>
        <w:tc>
          <w:tcPr>
            <w:tcW w:type="dxa" w:w="3402"/>
          </w:tcPr>
          <w:p>
            <w:pPr>
              <w:spacing w:line="240" w:lineRule="auto"/>
              <w:jc w:val="center"/>
            </w:pPr>
            <w:r>
              <w:rPr>
                <w:b/>
                <w:sz w:val="24"/>
              </w:rPr>
              <w:t>Ko‘rsatkich</w:t>
            </w:r>
          </w:p>
        </w:tc>
        <w:tc>
          <w:tcPr>
            <w:tcW w:type="dxa" w:w="1191"/>
          </w:tcPr>
          <w:p>
            <w:pPr>
              <w:spacing w:line="240" w:lineRule="auto"/>
              <w:jc w:val="center"/>
            </w:pPr>
            <w:r>
              <w:rPr>
                <w:b/>
                <w:sz w:val="24"/>
              </w:rPr>
              <w:t>2021</w:t>
            </w:r>
          </w:p>
        </w:tc>
        <w:tc>
          <w:tcPr>
            <w:tcW w:type="dxa" w:w="1191"/>
          </w:tcPr>
          <w:p>
            <w:pPr>
              <w:spacing w:line="240" w:lineRule="auto"/>
              <w:jc w:val="center"/>
            </w:pPr>
            <w:r>
              <w:rPr>
                <w:b/>
                <w:sz w:val="24"/>
              </w:rPr>
              <w:t>2022</w:t>
            </w:r>
          </w:p>
        </w:tc>
        <w:tc>
          <w:tcPr>
            <w:tcW w:type="dxa" w:w="1191"/>
          </w:tcPr>
          <w:p>
            <w:pPr>
              <w:spacing w:line="240" w:lineRule="auto"/>
              <w:jc w:val="center"/>
            </w:pPr>
            <w:r>
              <w:rPr>
                <w:b/>
                <w:sz w:val="24"/>
              </w:rPr>
              <w:t>2023</w:t>
            </w:r>
          </w:p>
        </w:tc>
        <w:tc>
          <w:tcPr>
            <w:tcW w:type="dxa" w:w="1191"/>
          </w:tcPr>
          <w:p>
            <w:pPr>
              <w:spacing w:line="240" w:lineRule="auto"/>
              <w:jc w:val="center"/>
            </w:pPr>
            <w:r>
              <w:rPr>
                <w:b/>
                <w:sz w:val="24"/>
              </w:rPr>
              <w:t>2024</w:t>
            </w:r>
          </w:p>
        </w:tc>
        <w:tc>
          <w:tcPr>
            <w:tcW w:type="dxa" w:w="1191"/>
          </w:tcPr>
          <w:p>
            <w:pPr>
              <w:spacing w:line="240" w:lineRule="auto"/>
              <w:jc w:val="center"/>
            </w:pPr>
            <w:r>
              <w:rPr>
                <w:b/>
                <w:sz w:val="24"/>
              </w:rPr>
              <w:t>2025</w:t>
            </w:r>
          </w:p>
        </w:tc>
      </w:tr>
      <w:tr>
        <w:tc>
          <w:tcPr>
            <w:tcW w:type="dxa" w:w="3402"/>
          </w:tcPr>
          <w:p>
            <w:pPr>
              <w:spacing w:line="240" w:lineRule="auto"/>
              <w:jc w:val="left"/>
            </w:pPr>
            <w:r>
              <w:rPr>
                <w:b w:val="0"/>
                <w:color w:val="FF0000"/>
                <w:sz w:val="24"/>
              </w:rPr>
              <w:t>Jami aktivlar, trln so‘m</w:t>
            </w:r>
          </w:p>
        </w:tc>
        <w:tc>
          <w:tcPr>
            <w:tcW w:type="dxa" w:w="1191"/>
          </w:tcPr>
          <w:p>
            <w:pPr>
              <w:spacing w:line="240" w:lineRule="auto"/>
              <w:jc w:val="center"/>
            </w:pPr>
            <w:r>
              <w:rPr>
                <w:b w:val="0"/>
                <w:color w:val="FF0000"/>
                <w:sz w:val="24"/>
              </w:rPr>
              <w:t>13,5</w:t>
            </w:r>
          </w:p>
        </w:tc>
        <w:tc>
          <w:tcPr>
            <w:tcW w:type="dxa" w:w="1191"/>
          </w:tcPr>
          <w:p>
            <w:pPr>
              <w:spacing w:line="240" w:lineRule="auto"/>
              <w:jc w:val="center"/>
            </w:pPr>
            <w:r>
              <w:rPr>
                <w:b w:val="0"/>
                <w:color w:val="FF0000"/>
                <w:sz w:val="24"/>
              </w:rPr>
              <w:t>16,8</w:t>
            </w:r>
          </w:p>
        </w:tc>
        <w:tc>
          <w:tcPr>
            <w:tcW w:type="dxa" w:w="1191"/>
          </w:tcPr>
          <w:p>
            <w:pPr>
              <w:spacing w:line="240" w:lineRule="auto"/>
              <w:jc w:val="center"/>
            </w:pPr>
            <w:r>
              <w:rPr>
                <w:b w:val="0"/>
                <w:color w:val="FF0000"/>
                <w:sz w:val="24"/>
              </w:rPr>
              <w:t>19,1</w:t>
            </w:r>
          </w:p>
        </w:tc>
        <w:tc>
          <w:tcPr>
            <w:tcW w:type="dxa" w:w="1191"/>
          </w:tcPr>
          <w:p>
            <w:pPr>
              <w:spacing w:line="240" w:lineRule="auto"/>
              <w:jc w:val="center"/>
            </w:pPr>
            <w:r>
              <w:rPr>
                <w:b w:val="0"/>
                <w:color w:val="FF0000"/>
                <w:sz w:val="24"/>
              </w:rPr>
              <w:t>23,5</w:t>
            </w:r>
          </w:p>
        </w:tc>
        <w:tc>
          <w:tcPr>
            <w:tcW w:type="dxa" w:w="1191"/>
          </w:tcPr>
          <w:p>
            <w:pPr>
              <w:spacing w:line="240" w:lineRule="auto"/>
              <w:jc w:val="center"/>
            </w:pPr>
            <w:r>
              <w:rPr>
                <w:b w:val="0"/>
                <w:color w:val="FF0000"/>
                <w:sz w:val="24"/>
              </w:rPr>
              <w:t>30,7</w:t>
            </w:r>
          </w:p>
        </w:tc>
      </w:tr>
      <w:tr>
        <w:tc>
          <w:tcPr>
            <w:tcW w:type="dxa" w:w="3402"/>
          </w:tcPr>
          <w:p>
            <w:pPr>
              <w:spacing w:line="240" w:lineRule="auto"/>
              <w:jc w:val="left"/>
            </w:pPr>
            <w:r>
              <w:rPr>
                <w:b w:val="0"/>
                <w:color w:val="FF0000"/>
                <w:sz w:val="24"/>
              </w:rPr>
              <w:t>Regulyativ kapital monandligi, %</w:t>
            </w:r>
          </w:p>
        </w:tc>
        <w:tc>
          <w:tcPr>
            <w:tcW w:type="dxa" w:w="1191"/>
          </w:tcPr>
          <w:p>
            <w:pPr>
              <w:spacing w:line="240" w:lineRule="auto"/>
              <w:jc w:val="center"/>
            </w:pPr>
            <w:r>
              <w:rPr>
                <w:b w:val="0"/>
                <w:color w:val="FF0000"/>
                <w:sz w:val="24"/>
              </w:rPr>
              <w:t>13,8</w:t>
            </w:r>
          </w:p>
        </w:tc>
        <w:tc>
          <w:tcPr>
            <w:tcW w:type="dxa" w:w="1191"/>
          </w:tcPr>
          <w:p>
            <w:pPr>
              <w:spacing w:line="240" w:lineRule="auto"/>
              <w:jc w:val="center"/>
            </w:pPr>
            <w:r>
              <w:rPr>
                <w:b w:val="0"/>
                <w:color w:val="FF0000"/>
                <w:sz w:val="24"/>
              </w:rPr>
              <w:t>20,7</w:t>
            </w:r>
          </w:p>
        </w:tc>
        <w:tc>
          <w:tcPr>
            <w:tcW w:type="dxa" w:w="1191"/>
          </w:tcPr>
          <w:p>
            <w:pPr>
              <w:spacing w:line="240" w:lineRule="auto"/>
              <w:jc w:val="center"/>
            </w:pPr>
            <w:r>
              <w:rPr>
                <w:b w:val="0"/>
                <w:color w:val="FF0000"/>
                <w:sz w:val="24"/>
              </w:rPr>
              <w:t>18,6</w:t>
            </w:r>
          </w:p>
        </w:tc>
        <w:tc>
          <w:tcPr>
            <w:tcW w:type="dxa" w:w="1191"/>
          </w:tcPr>
          <w:p>
            <w:pPr>
              <w:spacing w:line="240" w:lineRule="auto"/>
              <w:jc w:val="center"/>
            </w:pPr>
            <w:r>
              <w:rPr>
                <w:b w:val="0"/>
                <w:color w:val="FF0000"/>
                <w:sz w:val="24"/>
              </w:rPr>
              <w:t>15,4</w:t>
            </w:r>
          </w:p>
        </w:tc>
        <w:tc>
          <w:tcPr>
            <w:tcW w:type="dxa" w:w="1191"/>
          </w:tcPr>
          <w:p>
            <w:pPr>
              <w:spacing w:line="240" w:lineRule="auto"/>
              <w:jc w:val="center"/>
            </w:pPr>
            <w:r>
              <w:rPr>
                <w:b w:val="0"/>
                <w:color w:val="FF0000"/>
                <w:sz w:val="24"/>
              </w:rPr>
              <w:t>18,5</w:t>
            </w:r>
          </w:p>
        </w:tc>
      </w:tr>
      <w:tr>
        <w:tc>
          <w:tcPr>
            <w:tcW w:type="dxa" w:w="3402"/>
          </w:tcPr>
          <w:p>
            <w:pPr>
              <w:spacing w:line="240" w:lineRule="auto"/>
              <w:jc w:val="left"/>
            </w:pPr>
            <w:r>
              <w:rPr>
                <w:b w:val="0"/>
                <w:color w:val="FF0000"/>
                <w:sz w:val="24"/>
              </w:rPr>
              <w:t>Asosiy kapital (CET1) monandligi, %</w:t>
            </w:r>
          </w:p>
        </w:tc>
        <w:tc>
          <w:tcPr>
            <w:tcW w:type="dxa" w:w="1191"/>
          </w:tcPr>
          <w:p>
            <w:pPr>
              <w:spacing w:line="240" w:lineRule="auto"/>
              <w:jc w:val="center"/>
            </w:pPr>
            <w:r>
              <w:rPr>
                <w:b w:val="0"/>
                <w:color w:val="FF0000"/>
                <w:sz w:val="24"/>
              </w:rPr>
              <w:t>13,2</w:t>
            </w:r>
          </w:p>
        </w:tc>
        <w:tc>
          <w:tcPr>
            <w:tcW w:type="dxa" w:w="1191"/>
          </w:tcPr>
          <w:p>
            <w:pPr>
              <w:spacing w:line="240" w:lineRule="auto"/>
              <w:jc w:val="center"/>
            </w:pPr>
            <w:r>
              <w:rPr>
                <w:b w:val="0"/>
                <w:color w:val="FF0000"/>
                <w:sz w:val="24"/>
              </w:rPr>
              <w:t>20,0</w:t>
            </w:r>
          </w:p>
        </w:tc>
        <w:tc>
          <w:tcPr>
            <w:tcW w:type="dxa" w:w="1191"/>
          </w:tcPr>
          <w:p>
            <w:pPr>
              <w:spacing w:line="240" w:lineRule="auto"/>
              <w:jc w:val="center"/>
            </w:pPr>
            <w:r>
              <w:rPr>
                <w:b w:val="0"/>
                <w:color w:val="FF0000"/>
                <w:sz w:val="24"/>
              </w:rPr>
              <w:t>17,6</w:t>
            </w:r>
          </w:p>
        </w:tc>
        <w:tc>
          <w:tcPr>
            <w:tcW w:type="dxa" w:w="1191"/>
          </w:tcPr>
          <w:p>
            <w:pPr>
              <w:spacing w:line="240" w:lineRule="auto"/>
              <w:jc w:val="center"/>
            </w:pPr>
            <w:r>
              <w:rPr>
                <w:b w:val="0"/>
                <w:color w:val="FF0000"/>
                <w:sz w:val="24"/>
              </w:rPr>
              <w:t>13,0</w:t>
            </w:r>
          </w:p>
        </w:tc>
        <w:tc>
          <w:tcPr>
            <w:tcW w:type="dxa" w:w="1191"/>
          </w:tcPr>
          <w:p>
            <w:pPr>
              <w:spacing w:line="240" w:lineRule="auto"/>
              <w:jc w:val="center"/>
            </w:pPr>
            <w:r>
              <w:rPr>
                <w:b w:val="0"/>
                <w:color w:val="FF0000"/>
                <w:sz w:val="24"/>
              </w:rPr>
              <w:t>16,4</w:t>
            </w:r>
          </w:p>
        </w:tc>
      </w:tr>
      <w:tr>
        <w:tc>
          <w:tcPr>
            <w:tcW w:type="dxa" w:w="3402"/>
          </w:tcPr>
          <w:p>
            <w:pPr>
              <w:spacing w:line="240" w:lineRule="auto"/>
              <w:jc w:val="left"/>
            </w:pPr>
            <w:r>
              <w:rPr>
                <w:b w:val="0"/>
                <w:color w:val="FF0000"/>
                <w:sz w:val="24"/>
              </w:rPr>
              <w:t>Muammoli kreditlar ulushi, %</w:t>
            </w:r>
          </w:p>
        </w:tc>
        <w:tc>
          <w:tcPr>
            <w:tcW w:type="dxa" w:w="1191"/>
          </w:tcPr>
          <w:p>
            <w:pPr>
              <w:spacing w:line="240" w:lineRule="auto"/>
              <w:jc w:val="center"/>
            </w:pPr>
            <w:r>
              <w:rPr>
                <w:b w:val="0"/>
                <w:color w:val="FF0000"/>
                <w:sz w:val="24"/>
              </w:rPr>
              <w:t>5,9</w:t>
            </w:r>
          </w:p>
        </w:tc>
        <w:tc>
          <w:tcPr>
            <w:tcW w:type="dxa" w:w="1191"/>
          </w:tcPr>
          <w:p>
            <w:pPr>
              <w:spacing w:line="240" w:lineRule="auto"/>
              <w:jc w:val="center"/>
            </w:pPr>
            <w:r>
              <w:rPr>
                <w:b w:val="0"/>
                <w:color w:val="FF0000"/>
                <w:sz w:val="24"/>
              </w:rPr>
              <w:t>4,8</w:t>
            </w:r>
          </w:p>
        </w:tc>
        <w:tc>
          <w:tcPr>
            <w:tcW w:type="dxa" w:w="1191"/>
          </w:tcPr>
          <w:p>
            <w:pPr>
              <w:spacing w:line="240" w:lineRule="auto"/>
              <w:jc w:val="center"/>
            </w:pPr>
            <w:r>
              <w:rPr>
                <w:b w:val="0"/>
                <w:color w:val="FF0000"/>
                <w:sz w:val="24"/>
              </w:rPr>
              <w:t>6,0</w:t>
            </w:r>
          </w:p>
        </w:tc>
        <w:tc>
          <w:tcPr>
            <w:tcW w:type="dxa" w:w="1191"/>
          </w:tcPr>
          <w:p>
            <w:pPr>
              <w:spacing w:line="240" w:lineRule="auto"/>
              <w:jc w:val="center"/>
            </w:pPr>
            <w:r>
              <w:rPr>
                <w:b w:val="0"/>
                <w:color w:val="FF0000"/>
                <w:sz w:val="24"/>
              </w:rPr>
              <w:t>4,6</w:t>
            </w:r>
          </w:p>
        </w:tc>
        <w:tc>
          <w:tcPr>
            <w:tcW w:type="dxa" w:w="1191"/>
          </w:tcPr>
          <w:p>
            <w:pPr>
              <w:spacing w:line="240" w:lineRule="auto"/>
              <w:jc w:val="center"/>
            </w:pPr>
            <w:r>
              <w:rPr>
                <w:b w:val="0"/>
                <w:color w:val="FF0000"/>
                <w:sz w:val="24"/>
              </w:rPr>
              <w:t>4,4</w:t>
            </w:r>
          </w:p>
        </w:tc>
      </w:tr>
      <w:tr>
        <w:tc>
          <w:tcPr>
            <w:tcW w:type="dxa" w:w="3402"/>
          </w:tcPr>
          <w:p>
            <w:pPr>
              <w:spacing w:line="240" w:lineRule="auto"/>
              <w:jc w:val="left"/>
            </w:pPr>
            <w:r>
              <w:rPr>
                <w:b w:val="0"/>
                <w:color w:val="FF0000"/>
                <w:sz w:val="24"/>
              </w:rPr>
              <w:t>Substandart kreditlar ulushi, %</w:t>
            </w:r>
          </w:p>
        </w:tc>
        <w:tc>
          <w:tcPr>
            <w:tcW w:type="dxa" w:w="1191"/>
          </w:tcPr>
          <w:p>
            <w:pPr>
              <w:spacing w:line="240" w:lineRule="auto"/>
              <w:jc w:val="center"/>
            </w:pPr>
            <w:r>
              <w:rPr>
                <w:b w:val="0"/>
                <w:color w:val="FF0000"/>
                <w:sz w:val="24"/>
              </w:rPr>
              <w:t>9,1</w:t>
            </w:r>
          </w:p>
        </w:tc>
        <w:tc>
          <w:tcPr>
            <w:tcW w:type="dxa" w:w="1191"/>
          </w:tcPr>
          <w:p>
            <w:pPr>
              <w:spacing w:line="240" w:lineRule="auto"/>
              <w:jc w:val="center"/>
            </w:pPr>
            <w:r>
              <w:rPr>
                <w:b w:val="0"/>
                <w:color w:val="FF0000"/>
                <w:sz w:val="24"/>
              </w:rPr>
              <w:t>19,3</w:t>
            </w:r>
          </w:p>
        </w:tc>
        <w:tc>
          <w:tcPr>
            <w:tcW w:type="dxa" w:w="1191"/>
          </w:tcPr>
          <w:p>
            <w:pPr>
              <w:spacing w:line="240" w:lineRule="auto"/>
              <w:jc w:val="center"/>
            </w:pPr>
            <w:r>
              <w:rPr>
                <w:b w:val="0"/>
                <w:color w:val="FF0000"/>
                <w:sz w:val="24"/>
              </w:rPr>
              <w:t>24,5</w:t>
            </w:r>
          </w:p>
        </w:tc>
        <w:tc>
          <w:tcPr>
            <w:tcW w:type="dxa" w:w="1191"/>
          </w:tcPr>
          <w:p>
            <w:pPr>
              <w:spacing w:line="240" w:lineRule="auto"/>
              <w:jc w:val="center"/>
            </w:pPr>
            <w:r>
              <w:rPr>
                <w:b w:val="0"/>
                <w:color w:val="FF0000"/>
                <w:sz w:val="24"/>
              </w:rPr>
              <w:t>21,3</w:t>
            </w:r>
          </w:p>
        </w:tc>
        <w:tc>
          <w:tcPr>
            <w:tcW w:type="dxa" w:w="1191"/>
          </w:tcPr>
          <w:p>
            <w:pPr>
              <w:spacing w:line="240" w:lineRule="auto"/>
              <w:jc w:val="center"/>
            </w:pPr>
            <w:r>
              <w:rPr>
                <w:b w:val="0"/>
                <w:color w:val="FF0000"/>
                <w:sz w:val="24"/>
              </w:rPr>
              <w:t>9,0</w:t>
            </w:r>
          </w:p>
        </w:tc>
      </w:tr>
      <w:tr>
        <w:tc>
          <w:tcPr>
            <w:tcW w:type="dxa" w:w="3402"/>
          </w:tcPr>
          <w:p>
            <w:pPr>
              <w:spacing w:line="240" w:lineRule="auto"/>
              <w:jc w:val="left"/>
            </w:pPr>
            <w:r>
              <w:rPr>
                <w:b w:val="0"/>
                <w:color w:val="FF0000"/>
                <w:sz w:val="24"/>
              </w:rPr>
              <w:t>ROA, %</w:t>
            </w:r>
          </w:p>
        </w:tc>
        <w:tc>
          <w:tcPr>
            <w:tcW w:type="dxa" w:w="1191"/>
          </w:tcPr>
          <w:p>
            <w:pPr>
              <w:spacing w:line="240" w:lineRule="auto"/>
              <w:jc w:val="center"/>
            </w:pPr>
            <w:r>
              <w:rPr>
                <w:b w:val="0"/>
                <w:color w:val="FF0000"/>
                <w:sz w:val="24"/>
              </w:rPr>
              <w:t>0,3</w:t>
            </w:r>
          </w:p>
        </w:tc>
        <w:tc>
          <w:tcPr>
            <w:tcW w:type="dxa" w:w="1191"/>
          </w:tcPr>
          <w:p>
            <w:pPr>
              <w:spacing w:line="240" w:lineRule="auto"/>
              <w:jc w:val="center"/>
            </w:pPr>
            <w:r>
              <w:rPr>
                <w:b w:val="0"/>
                <w:color w:val="FF0000"/>
                <w:sz w:val="24"/>
              </w:rPr>
              <w:t>0,1</w:t>
            </w:r>
          </w:p>
        </w:tc>
        <w:tc>
          <w:tcPr>
            <w:tcW w:type="dxa" w:w="1191"/>
          </w:tcPr>
          <w:p>
            <w:pPr>
              <w:spacing w:line="240" w:lineRule="auto"/>
              <w:jc w:val="center"/>
            </w:pPr>
            <w:r>
              <w:rPr>
                <w:b w:val="0"/>
                <w:color w:val="FF0000"/>
                <w:sz w:val="24"/>
              </w:rPr>
              <w:t>0,2</w:t>
            </w:r>
          </w:p>
        </w:tc>
        <w:tc>
          <w:tcPr>
            <w:tcW w:type="dxa" w:w="1191"/>
          </w:tcPr>
          <w:p>
            <w:pPr>
              <w:spacing w:line="240" w:lineRule="auto"/>
              <w:jc w:val="center"/>
            </w:pPr>
            <w:r>
              <w:rPr>
                <w:b w:val="0"/>
                <w:color w:val="FF0000"/>
                <w:sz w:val="24"/>
              </w:rPr>
              <w:t>−8,0</w:t>
            </w:r>
          </w:p>
        </w:tc>
        <w:tc>
          <w:tcPr>
            <w:tcW w:type="dxa" w:w="1191"/>
          </w:tcPr>
          <w:p>
            <w:pPr>
              <w:spacing w:line="240" w:lineRule="auto"/>
              <w:jc w:val="center"/>
            </w:pPr>
            <w:r>
              <w:rPr>
                <w:b w:val="0"/>
                <w:color w:val="FF0000"/>
                <w:sz w:val="24"/>
              </w:rPr>
              <w:t>0,6</w:t>
            </w:r>
          </w:p>
        </w:tc>
      </w:tr>
      <w:tr>
        <w:tc>
          <w:tcPr>
            <w:tcW w:type="dxa" w:w="3402"/>
          </w:tcPr>
          <w:p>
            <w:pPr>
              <w:spacing w:line="240" w:lineRule="auto"/>
              <w:jc w:val="left"/>
            </w:pPr>
            <w:r>
              <w:rPr>
                <w:b w:val="0"/>
                <w:color w:val="FF0000"/>
                <w:sz w:val="24"/>
              </w:rPr>
              <w:t>ROE, %</w:t>
            </w:r>
          </w:p>
        </w:tc>
        <w:tc>
          <w:tcPr>
            <w:tcW w:type="dxa" w:w="1191"/>
          </w:tcPr>
          <w:p>
            <w:pPr>
              <w:spacing w:line="240" w:lineRule="auto"/>
              <w:jc w:val="center"/>
            </w:pPr>
            <w:r>
              <w:rPr>
                <w:b w:val="0"/>
                <w:color w:val="FF0000"/>
                <w:sz w:val="24"/>
              </w:rPr>
              <w:t>1,9</w:t>
            </w:r>
          </w:p>
        </w:tc>
        <w:tc>
          <w:tcPr>
            <w:tcW w:type="dxa" w:w="1191"/>
          </w:tcPr>
          <w:p>
            <w:pPr>
              <w:spacing w:line="240" w:lineRule="auto"/>
              <w:jc w:val="center"/>
            </w:pPr>
            <w:r>
              <w:rPr>
                <w:b w:val="0"/>
                <w:color w:val="FF0000"/>
                <w:sz w:val="24"/>
              </w:rPr>
              <w:t>0,7</w:t>
            </w:r>
          </w:p>
        </w:tc>
        <w:tc>
          <w:tcPr>
            <w:tcW w:type="dxa" w:w="1191"/>
          </w:tcPr>
          <w:p>
            <w:pPr>
              <w:spacing w:line="240" w:lineRule="auto"/>
              <w:jc w:val="center"/>
            </w:pPr>
            <w:r>
              <w:rPr>
                <w:b w:val="0"/>
                <w:color w:val="FF0000"/>
                <w:sz w:val="24"/>
              </w:rPr>
              <w:t>1,1</w:t>
            </w:r>
          </w:p>
        </w:tc>
        <w:tc>
          <w:tcPr>
            <w:tcW w:type="dxa" w:w="1191"/>
          </w:tcPr>
          <w:p>
            <w:pPr>
              <w:spacing w:line="240" w:lineRule="auto"/>
              <w:jc w:val="center"/>
            </w:pPr>
            <w:r>
              <w:rPr>
                <w:b w:val="0"/>
                <w:color w:val="FF0000"/>
                <w:sz w:val="24"/>
              </w:rPr>
              <w:t>−45,5</w:t>
            </w:r>
          </w:p>
        </w:tc>
        <w:tc>
          <w:tcPr>
            <w:tcW w:type="dxa" w:w="1191"/>
          </w:tcPr>
          <w:p>
            <w:pPr>
              <w:spacing w:line="240" w:lineRule="auto"/>
              <w:jc w:val="center"/>
            </w:pPr>
            <w:r>
              <w:rPr>
                <w:b w:val="0"/>
                <w:color w:val="FF0000"/>
                <w:sz w:val="24"/>
              </w:rPr>
              <w:t>3,5</w:t>
            </w:r>
          </w:p>
        </w:tc>
      </w:tr>
      <w:tr>
        <w:tc>
          <w:tcPr>
            <w:tcW w:type="dxa" w:w="3402"/>
          </w:tcPr>
          <w:p>
            <w:pPr>
              <w:spacing w:line="240" w:lineRule="auto"/>
              <w:jc w:val="left"/>
            </w:pPr>
            <w:r>
              <w:rPr>
                <w:b w:val="0"/>
                <w:color w:val="FF0000"/>
                <w:sz w:val="24"/>
              </w:rPr>
              <w:t>LCR, %</w:t>
            </w:r>
          </w:p>
        </w:tc>
        <w:tc>
          <w:tcPr>
            <w:tcW w:type="dxa" w:w="1191"/>
          </w:tcPr>
          <w:p>
            <w:pPr>
              <w:spacing w:line="240" w:lineRule="auto"/>
              <w:jc w:val="center"/>
            </w:pPr>
            <w:r>
              <w:rPr>
                <w:b w:val="0"/>
                <w:color w:val="FF0000"/>
                <w:sz w:val="24"/>
              </w:rPr>
              <w:t>165,2</w:t>
            </w:r>
          </w:p>
        </w:tc>
        <w:tc>
          <w:tcPr>
            <w:tcW w:type="dxa" w:w="1191"/>
          </w:tcPr>
          <w:p>
            <w:pPr>
              <w:spacing w:line="240" w:lineRule="auto"/>
              <w:jc w:val="center"/>
            </w:pPr>
            <w:r>
              <w:rPr>
                <w:b w:val="0"/>
                <w:color w:val="FF0000"/>
                <w:sz w:val="24"/>
              </w:rPr>
              <w:t>156,4</w:t>
            </w:r>
          </w:p>
        </w:tc>
        <w:tc>
          <w:tcPr>
            <w:tcW w:type="dxa" w:w="1191"/>
          </w:tcPr>
          <w:p>
            <w:pPr>
              <w:spacing w:line="240" w:lineRule="auto"/>
              <w:jc w:val="center"/>
            </w:pPr>
            <w:r>
              <w:rPr>
                <w:b w:val="0"/>
                <w:color w:val="FF0000"/>
                <w:sz w:val="24"/>
              </w:rPr>
              <w:t>131,7</w:t>
            </w:r>
          </w:p>
        </w:tc>
        <w:tc>
          <w:tcPr>
            <w:tcW w:type="dxa" w:w="1191"/>
          </w:tcPr>
          <w:p>
            <w:pPr>
              <w:spacing w:line="240" w:lineRule="auto"/>
              <w:jc w:val="center"/>
            </w:pPr>
            <w:r>
              <w:rPr>
                <w:b w:val="0"/>
                <w:color w:val="FF0000"/>
                <w:sz w:val="24"/>
              </w:rPr>
              <w:t>169,0</w:t>
            </w:r>
          </w:p>
        </w:tc>
        <w:tc>
          <w:tcPr>
            <w:tcW w:type="dxa" w:w="1191"/>
          </w:tcPr>
          <w:p>
            <w:pPr>
              <w:spacing w:line="240" w:lineRule="auto"/>
              <w:jc w:val="center"/>
            </w:pPr>
            <w:r>
              <w:rPr>
                <w:b w:val="0"/>
                <w:color w:val="FF0000"/>
                <w:sz w:val="24"/>
              </w:rPr>
              <w:t>231,9</w:t>
            </w:r>
          </w:p>
        </w:tc>
      </w:tr>
      <w:tr>
        <w:tc>
          <w:tcPr>
            <w:tcW w:type="dxa" w:w="3402"/>
          </w:tcPr>
          <w:p>
            <w:pPr>
              <w:spacing w:line="240" w:lineRule="auto"/>
              <w:jc w:val="left"/>
            </w:pPr>
            <w:r>
              <w:rPr>
                <w:b w:val="0"/>
                <w:color w:val="FF0000"/>
                <w:sz w:val="24"/>
              </w:rPr>
              <w:t>NSFR, %</w:t>
            </w:r>
          </w:p>
        </w:tc>
        <w:tc>
          <w:tcPr>
            <w:tcW w:type="dxa" w:w="1191"/>
          </w:tcPr>
          <w:p>
            <w:pPr>
              <w:spacing w:line="240" w:lineRule="auto"/>
              <w:jc w:val="center"/>
            </w:pPr>
            <w:r>
              <w:rPr>
                <w:b w:val="0"/>
                <w:color w:val="FF0000"/>
                <w:sz w:val="24"/>
              </w:rPr>
              <w:t>117,1</w:t>
            </w:r>
          </w:p>
        </w:tc>
        <w:tc>
          <w:tcPr>
            <w:tcW w:type="dxa" w:w="1191"/>
          </w:tcPr>
          <w:p>
            <w:pPr>
              <w:spacing w:line="240" w:lineRule="auto"/>
              <w:jc w:val="center"/>
            </w:pPr>
            <w:r>
              <w:rPr>
                <w:b w:val="0"/>
                <w:color w:val="FF0000"/>
                <w:sz w:val="24"/>
              </w:rPr>
              <w:t>114,3</w:t>
            </w:r>
          </w:p>
        </w:tc>
        <w:tc>
          <w:tcPr>
            <w:tcW w:type="dxa" w:w="1191"/>
          </w:tcPr>
          <w:p>
            <w:pPr>
              <w:spacing w:line="240" w:lineRule="auto"/>
              <w:jc w:val="center"/>
            </w:pPr>
            <w:r>
              <w:rPr>
                <w:b w:val="0"/>
                <w:color w:val="FF0000"/>
                <w:sz w:val="24"/>
              </w:rPr>
              <w:t>108,3</w:t>
            </w:r>
          </w:p>
        </w:tc>
        <w:tc>
          <w:tcPr>
            <w:tcW w:type="dxa" w:w="1191"/>
          </w:tcPr>
          <w:p>
            <w:pPr>
              <w:spacing w:line="240" w:lineRule="auto"/>
              <w:jc w:val="center"/>
            </w:pPr>
            <w:r>
              <w:rPr>
                <w:b w:val="0"/>
                <w:color w:val="FF0000"/>
                <w:sz w:val="24"/>
              </w:rPr>
              <w:t>113,1</w:t>
            </w:r>
          </w:p>
        </w:tc>
        <w:tc>
          <w:tcPr>
            <w:tcW w:type="dxa" w:w="1191"/>
          </w:tcPr>
          <w:p>
            <w:pPr>
              <w:spacing w:line="240" w:lineRule="auto"/>
              <w:jc w:val="center"/>
            </w:pPr>
            <w:r>
              <w:rPr>
                <w:b w:val="0"/>
                <w:color w:val="FF0000"/>
                <w:sz w:val="24"/>
              </w:rPr>
              <w:t>113,0</w:t>
            </w:r>
          </w:p>
        </w:tc>
      </w:tr>
      <w:tr>
        <w:tc>
          <w:tcPr>
            <w:tcW w:type="dxa" w:w="3402"/>
          </w:tcPr>
          <w:p>
            <w:pPr>
              <w:spacing w:line="240" w:lineRule="auto"/>
              <w:jc w:val="left"/>
            </w:pPr>
            <w:r>
              <w:rPr>
                <w:b w:val="0"/>
                <w:color w:val="FF0000"/>
                <w:sz w:val="24"/>
              </w:rPr>
              <w:t>Kreditlar / depozitlar, %</w:t>
            </w:r>
          </w:p>
        </w:tc>
        <w:tc>
          <w:tcPr>
            <w:tcW w:type="dxa" w:w="1191"/>
          </w:tcPr>
          <w:p>
            <w:pPr>
              <w:spacing w:line="240" w:lineRule="auto"/>
              <w:jc w:val="center"/>
            </w:pPr>
            <w:r>
              <w:rPr>
                <w:b w:val="0"/>
                <w:color w:val="FF0000"/>
                <w:sz w:val="24"/>
              </w:rPr>
              <w:t>343,0</w:t>
            </w:r>
          </w:p>
        </w:tc>
        <w:tc>
          <w:tcPr>
            <w:tcW w:type="dxa" w:w="1191"/>
          </w:tcPr>
          <w:p>
            <w:pPr>
              <w:spacing w:line="240" w:lineRule="auto"/>
              <w:jc w:val="center"/>
            </w:pPr>
            <w:r>
              <w:rPr>
                <w:b w:val="0"/>
                <w:color w:val="FF0000"/>
                <w:sz w:val="24"/>
              </w:rPr>
              <w:t>246,2</w:t>
            </w:r>
          </w:p>
        </w:tc>
        <w:tc>
          <w:tcPr>
            <w:tcW w:type="dxa" w:w="1191"/>
          </w:tcPr>
          <w:p>
            <w:pPr>
              <w:spacing w:line="240" w:lineRule="auto"/>
              <w:jc w:val="center"/>
            </w:pPr>
            <w:r>
              <w:rPr>
                <w:b w:val="0"/>
                <w:color w:val="FF0000"/>
                <w:sz w:val="24"/>
              </w:rPr>
              <w:t>227,0</w:t>
            </w:r>
          </w:p>
        </w:tc>
        <w:tc>
          <w:tcPr>
            <w:tcW w:type="dxa" w:w="1191"/>
          </w:tcPr>
          <w:p>
            <w:pPr>
              <w:spacing w:line="240" w:lineRule="auto"/>
              <w:jc w:val="center"/>
            </w:pPr>
            <w:r>
              <w:rPr>
                <w:b w:val="0"/>
                <w:color w:val="FF0000"/>
                <w:sz w:val="24"/>
              </w:rPr>
              <w:t>222,4</w:t>
            </w:r>
          </w:p>
        </w:tc>
        <w:tc>
          <w:tcPr>
            <w:tcW w:type="dxa" w:w="1191"/>
          </w:tcPr>
          <w:p>
            <w:pPr>
              <w:spacing w:line="240" w:lineRule="auto"/>
              <w:jc w:val="center"/>
            </w:pPr>
            <w:r>
              <w:rPr>
                <w:b w:val="0"/>
                <w:color w:val="FF0000"/>
                <w:sz w:val="24"/>
              </w:rPr>
              <w:t>208,5</w:t>
            </w:r>
          </w:p>
        </w:tc>
      </w:tr>
    </w:tbl>
    <w:p>
      <w:pPr>
        <w:spacing w:line="240" w:lineRule="auto"/>
        <w:ind w:firstLine="0"/>
        <w:jc w:val="both"/>
      </w:pPr>
      <w:r>
        <w:rPr>
          <w:b w:val="0"/>
          <w:i/>
          <w:color w:val="FF0000"/>
          <w:sz w:val="24"/>
        </w:rPr>
        <w:t>Izoh: muammoli kreditlar – qoniqarsiz, shubhali va umidsiz deb tasniflangan kreditlar; ROA va ROE sof foydaning aktivlar va kapitalning o‘rtacha yillik qiymatiga nisbati sifatida hisoblandi.</w:t>
      </w:r>
    </w:p>
    <w:p>
      <w:pPr>
        <w:ind w:firstLine="709"/>
        <w:jc w:val="both"/>
      </w:pPr>
      <w:r>
        <w:rPr>
          <w:b w:val="0"/>
          <w:i w:val="0"/>
          <w:color w:val="FF0000"/>
          <w:sz w:val="28"/>
        </w:rPr>
        <w:t>“Mikrokreditbank” ATB ning profili tubdan farq qiladi (2.2.3-jadval). Bankning aktivlari 13,5 trln so‘mdan 30,7 trln so‘mga, ya’ni 2,3 barobar o‘sgan. Kapital monandligi yuqoriroq bo‘lsa-da, keskin tebranadi: 2021-yilda 13,8 foiz bilan minimum chegarasida bo‘lgan ko‘rsatkich 2022-yilda 20,7 foizga ko‘tarilgan, 2024-yilda 15,4 foizgacha tushib, 2025-yilda yana 18,5 foizga yetgan. Bu tebranishlarning sababi kapital manbalarida: bankning xususiy kapitali 2022-yilda 2,3 trln so‘mdan 3,6 trln so‘mga oshgan, holbuki shu yili bank atigi 21,3 mlrd so‘m sof foyda olgan; 2025-yilda ham kapital 3,6 trln so‘mdan 5,7 trln so‘mga ko‘paygan, sof foyda esa 160,8 mlrd so‘mni tashkil etgan. Demak, bankning kapital yetarliligi o‘z foydasi hisobiga emas, balki davlat tomonidan amalga oshirilgan qayta kapitallashtirish hisobiga saqlab turilgan. Bu holat 1.3-paragrafda keltirilgan AQSh tajribasini eslatadi: J.M. Hendrickson ijtimoiy kreditlash majburiyati bank kapitaliga qo‘yiladigan talablarga zid kelishini va bunday kreditlash CAMELS reytingini yomonlashtirishini ko‘rsatgan edi</w:t>
      </w:r>
      <w:r>
        <w:rPr>
          <w:color w:val="FF0000"/>
          <w:sz w:val="28"/>
          <w:vertAlign w:val="superscript"/>
        </w:rPr>
        <w:t>5</w:t>
      </w:r>
      <w:r>
        <w:rPr>
          <w:b w:val="0"/>
          <w:i w:val="0"/>
          <w:color w:val="FF0000"/>
          <w:sz w:val="28"/>
        </w:rPr>
        <w:t>.</w:t>
      </w:r>
    </w:p>
    <w:p>
      <w:pPr>
        <w:ind w:firstLine="709"/>
        <w:jc w:val="both"/>
      </w:pPr>
      <w:r>
        <w:rPr>
          <w:b w:val="0"/>
          <w:i w:val="0"/>
          <w:color w:val="FF0000"/>
          <w:sz w:val="28"/>
        </w:rPr>
        <w:t>Aktivlar sifati ham zaif: rasmiy muammoli kreditlar ulushining o‘zi 4,4–6,0 foiz bo‘lib, 2021 va 2023-yillarda 5 foizlik erta ogohlantirish chegarasidan oshgan, substandart kreditlar ulushi esa 2023-yilda 24,5 foizga yetgan. Bu muammolar daromadlilikka bevosita ta’sir ko‘rsatgan: ROE 2021–2023-yillarda 0,7–1,9 foiz bilan inflyatsiya darajasidan ancha past bo‘lgan, 2024-yilda esa bank 1 703,8 mlrd so‘m zarar ko‘rgan. Bu zarar aktivlar bo‘yicha ehtimoliy yo‘qotishlarga qarshi zaxiralarning keskin oshirilishi natijasida yuzaga kelgan: zaxiralar ajratilgandan keyingi sof foizli daromad 1 167,3 mlrd so‘m zararni tashkil etgan</w:t>
      </w:r>
      <w:r>
        <w:rPr>
          <w:color w:val="FF0000"/>
          <w:sz w:val="28"/>
          <w:vertAlign w:val="superscript"/>
        </w:rPr>
        <w:t>6</w:t>
      </w:r>
      <w:r>
        <w:rPr>
          <w:b w:val="0"/>
          <w:i w:val="0"/>
          <w:color w:val="FF0000"/>
          <w:sz w:val="28"/>
        </w:rPr>
        <w:t>. Boshqacha aytganda, ilgari kamsitib ko‘rsatilgan kredit riski 2024-yilda bir yo‘la tan olingan va kapitalni yemirgan, keyin esa yana davlat kapitali hisobiga to‘ldirilgan. Likvidlik bo‘yicha bank Bazel III talablarini bajargan (LCR 131,7–231,9 foiz, NSFR 108,3–117,1 foiz), ammo kreditlarning depozitlarga nisbati 208,5–343,0 foiz bo‘lib, u ham kreditlarni asosan qarz mablag‘lari hisobiga moliyalashtiradi.</w:t>
      </w:r>
    </w:p>
    <w:p>
      <w:pPr>
        <w:ind w:firstLine="0"/>
        <w:jc w:val="right"/>
      </w:pPr>
      <w:r>
        <w:rPr>
          <w:b w:val="0"/>
          <w:i/>
          <w:color w:val="0070C0"/>
          <w:sz w:val="28"/>
        </w:rPr>
        <w:t>2.2.4-jadval</w:t>
      </w:r>
    </w:p>
    <w:p>
      <w:pPr>
        <w:spacing w:line="240" w:lineRule="auto"/>
        <w:ind w:firstLine="0"/>
        <w:jc w:val="center"/>
      </w:pPr>
      <w:r>
        <w:rPr>
          <w:b/>
          <w:i w:val="0"/>
          <w:color w:val="0070C0"/>
          <w:sz w:val="28"/>
        </w:rPr>
        <w:t>“Aloqabank” ATB ning moliyaviy barqarorlik ko‘rsatkichlari</w:t>
      </w:r>
      <w:r>
        <w:rPr>
          <w:color w:val="0070C0"/>
          <w:sz w:val="28"/>
          <w:vertAlign w:val="superscript"/>
        </w:rPr>
        <w:t>7</w:t>
      </w:r>
    </w:p>
    <w:tbl>
      <w:tblPr>
        <w:tblStyle w:val="TableGrid"/>
        <w:tblW w:type="auto" w:w="0"/>
        <w:tblLayout w:type="fixed"/>
        <w:tblLook w:firstColumn="1" w:firstRow="1" w:lastColumn="0" w:lastRow="0" w:noHBand="0" w:noVBand="1" w:val="04A0"/>
      </w:tblPr>
      <w:tblGrid>
        <w:gridCol w:w="3402"/>
        <w:gridCol w:w="1191"/>
        <w:gridCol w:w="1191"/>
        <w:gridCol w:w="1191"/>
        <w:gridCol w:w="1191"/>
        <w:gridCol w:w="1191"/>
      </w:tblGrid>
      <w:tr>
        <w:tc>
          <w:tcPr>
            <w:tcW w:type="dxa" w:w="3402"/>
          </w:tcPr>
          <w:p>
            <w:pPr>
              <w:spacing w:line="240" w:lineRule="auto"/>
              <w:jc w:val="center"/>
            </w:pPr>
            <w:r>
              <w:rPr>
                <w:b/>
                <w:sz w:val="24"/>
              </w:rPr>
              <w:t>Ko‘rsatkich</w:t>
            </w:r>
          </w:p>
        </w:tc>
        <w:tc>
          <w:tcPr>
            <w:tcW w:type="dxa" w:w="1191"/>
          </w:tcPr>
          <w:p>
            <w:pPr>
              <w:spacing w:line="240" w:lineRule="auto"/>
              <w:jc w:val="center"/>
            </w:pPr>
            <w:r>
              <w:rPr>
                <w:b/>
                <w:sz w:val="24"/>
              </w:rPr>
              <w:t>2021</w:t>
            </w:r>
          </w:p>
        </w:tc>
        <w:tc>
          <w:tcPr>
            <w:tcW w:type="dxa" w:w="1191"/>
          </w:tcPr>
          <w:p>
            <w:pPr>
              <w:spacing w:line="240" w:lineRule="auto"/>
              <w:jc w:val="center"/>
            </w:pPr>
            <w:r>
              <w:rPr>
                <w:b/>
                <w:sz w:val="24"/>
              </w:rPr>
              <w:t>2022</w:t>
            </w:r>
          </w:p>
        </w:tc>
        <w:tc>
          <w:tcPr>
            <w:tcW w:type="dxa" w:w="1191"/>
          </w:tcPr>
          <w:p>
            <w:pPr>
              <w:spacing w:line="240" w:lineRule="auto"/>
              <w:jc w:val="center"/>
            </w:pPr>
            <w:r>
              <w:rPr>
                <w:b/>
                <w:sz w:val="24"/>
              </w:rPr>
              <w:t>2023</w:t>
            </w:r>
          </w:p>
        </w:tc>
        <w:tc>
          <w:tcPr>
            <w:tcW w:type="dxa" w:w="1191"/>
          </w:tcPr>
          <w:p>
            <w:pPr>
              <w:spacing w:line="240" w:lineRule="auto"/>
              <w:jc w:val="center"/>
            </w:pPr>
            <w:r>
              <w:rPr>
                <w:b/>
                <w:sz w:val="24"/>
              </w:rPr>
              <w:t>2024</w:t>
            </w:r>
          </w:p>
        </w:tc>
        <w:tc>
          <w:tcPr>
            <w:tcW w:type="dxa" w:w="1191"/>
          </w:tcPr>
          <w:p>
            <w:pPr>
              <w:spacing w:line="240" w:lineRule="auto"/>
              <w:jc w:val="center"/>
            </w:pPr>
            <w:r>
              <w:rPr>
                <w:b/>
                <w:sz w:val="24"/>
              </w:rPr>
              <w:t>2025</w:t>
            </w:r>
          </w:p>
        </w:tc>
      </w:tr>
      <w:tr>
        <w:tc>
          <w:tcPr>
            <w:tcW w:type="dxa" w:w="3402"/>
          </w:tcPr>
          <w:p>
            <w:pPr>
              <w:spacing w:line="240" w:lineRule="auto"/>
              <w:jc w:val="left"/>
            </w:pPr>
            <w:r>
              <w:rPr>
                <w:b w:val="0"/>
                <w:color w:val="0070C0"/>
                <w:sz w:val="24"/>
              </w:rPr>
              <w:t>Jami aktivlar, trln so‘m</w:t>
            </w:r>
          </w:p>
        </w:tc>
        <w:tc>
          <w:tcPr>
            <w:tcW w:type="dxa" w:w="1191"/>
          </w:tcPr>
          <w:p>
            <w:pPr>
              <w:spacing w:line="240" w:lineRule="auto"/>
              <w:jc w:val="center"/>
            </w:pPr>
            <w:r>
              <w:rPr>
                <w:b w:val="0"/>
                <w:color w:val="0070C0"/>
                <w:sz w:val="24"/>
              </w:rPr>
              <w:t>12,6</w:t>
            </w:r>
          </w:p>
        </w:tc>
        <w:tc>
          <w:tcPr>
            <w:tcW w:type="dxa" w:w="1191"/>
          </w:tcPr>
          <w:p>
            <w:pPr>
              <w:spacing w:line="240" w:lineRule="auto"/>
              <w:jc w:val="center"/>
            </w:pPr>
            <w:r>
              <w:rPr>
                <w:b w:val="0"/>
                <w:color w:val="0070C0"/>
                <w:sz w:val="24"/>
              </w:rPr>
              <w:t>16,1</w:t>
            </w:r>
          </w:p>
        </w:tc>
        <w:tc>
          <w:tcPr>
            <w:tcW w:type="dxa" w:w="1191"/>
          </w:tcPr>
          <w:p>
            <w:pPr>
              <w:spacing w:line="240" w:lineRule="auto"/>
              <w:jc w:val="center"/>
            </w:pPr>
            <w:r>
              <w:rPr>
                <w:b w:val="0"/>
                <w:color w:val="0070C0"/>
                <w:sz w:val="24"/>
              </w:rPr>
              <w:t>16,0</w:t>
            </w:r>
          </w:p>
        </w:tc>
        <w:tc>
          <w:tcPr>
            <w:tcW w:type="dxa" w:w="1191"/>
          </w:tcPr>
          <w:p>
            <w:pPr>
              <w:spacing w:line="240" w:lineRule="auto"/>
              <w:jc w:val="center"/>
            </w:pPr>
            <w:r>
              <w:rPr>
                <w:b w:val="0"/>
                <w:color w:val="0070C0"/>
                <w:sz w:val="24"/>
              </w:rPr>
              <w:t>23,3</w:t>
            </w:r>
          </w:p>
        </w:tc>
        <w:tc>
          <w:tcPr>
            <w:tcW w:type="dxa" w:w="1191"/>
          </w:tcPr>
          <w:p>
            <w:pPr>
              <w:spacing w:line="240" w:lineRule="auto"/>
              <w:jc w:val="center"/>
            </w:pPr>
            <w:r>
              <w:rPr>
                <w:b w:val="0"/>
                <w:color w:val="0070C0"/>
                <w:sz w:val="24"/>
              </w:rPr>
              <w:t>31,5</w:t>
            </w:r>
          </w:p>
        </w:tc>
      </w:tr>
      <w:tr>
        <w:tc>
          <w:tcPr>
            <w:tcW w:type="dxa" w:w="3402"/>
          </w:tcPr>
          <w:p>
            <w:pPr>
              <w:spacing w:line="240" w:lineRule="auto"/>
              <w:jc w:val="left"/>
            </w:pPr>
            <w:r>
              <w:rPr>
                <w:b w:val="0"/>
                <w:color w:val="0070C0"/>
                <w:sz w:val="24"/>
              </w:rPr>
              <w:t>Regulyativ kapital monandligi, %</w:t>
            </w:r>
          </w:p>
        </w:tc>
        <w:tc>
          <w:tcPr>
            <w:tcW w:type="dxa" w:w="1191"/>
          </w:tcPr>
          <w:p>
            <w:pPr>
              <w:spacing w:line="240" w:lineRule="auto"/>
              <w:jc w:val="center"/>
            </w:pPr>
            <w:r>
              <w:rPr>
                <w:b w:val="0"/>
                <w:color w:val="0070C0"/>
                <w:sz w:val="24"/>
              </w:rPr>
              <w:t>13,2</w:t>
            </w:r>
          </w:p>
        </w:tc>
        <w:tc>
          <w:tcPr>
            <w:tcW w:type="dxa" w:w="1191"/>
          </w:tcPr>
          <w:p>
            <w:pPr>
              <w:spacing w:line="240" w:lineRule="auto"/>
              <w:jc w:val="center"/>
            </w:pPr>
            <w:r>
              <w:rPr>
                <w:b w:val="0"/>
                <w:color w:val="0070C0"/>
                <w:sz w:val="24"/>
              </w:rPr>
              <w:t>12,5</w:t>
            </w:r>
          </w:p>
        </w:tc>
        <w:tc>
          <w:tcPr>
            <w:tcW w:type="dxa" w:w="1191"/>
          </w:tcPr>
          <w:p>
            <w:pPr>
              <w:spacing w:line="240" w:lineRule="auto"/>
              <w:jc w:val="center"/>
            </w:pPr>
            <w:r>
              <w:rPr>
                <w:b w:val="0"/>
                <w:color w:val="0070C0"/>
                <w:sz w:val="24"/>
              </w:rPr>
              <w:t>16,4</w:t>
            </w:r>
          </w:p>
        </w:tc>
        <w:tc>
          <w:tcPr>
            <w:tcW w:type="dxa" w:w="1191"/>
          </w:tcPr>
          <w:p>
            <w:pPr>
              <w:spacing w:line="240" w:lineRule="auto"/>
              <w:jc w:val="center"/>
            </w:pPr>
            <w:r>
              <w:rPr>
                <w:b w:val="0"/>
                <w:color w:val="0070C0"/>
                <w:sz w:val="24"/>
              </w:rPr>
              <w:t>13,9</w:t>
            </w:r>
          </w:p>
        </w:tc>
        <w:tc>
          <w:tcPr>
            <w:tcW w:type="dxa" w:w="1191"/>
          </w:tcPr>
          <w:p>
            <w:pPr>
              <w:spacing w:line="240" w:lineRule="auto"/>
              <w:jc w:val="center"/>
            </w:pPr>
            <w:r>
              <w:rPr>
                <w:b w:val="0"/>
                <w:color w:val="0070C0"/>
                <w:sz w:val="24"/>
              </w:rPr>
              <w:t>14,1</w:t>
            </w:r>
          </w:p>
        </w:tc>
      </w:tr>
      <w:tr>
        <w:tc>
          <w:tcPr>
            <w:tcW w:type="dxa" w:w="3402"/>
          </w:tcPr>
          <w:p>
            <w:pPr>
              <w:spacing w:line="240" w:lineRule="auto"/>
              <w:jc w:val="left"/>
            </w:pPr>
            <w:r>
              <w:rPr>
                <w:b w:val="0"/>
                <w:color w:val="0070C0"/>
                <w:sz w:val="24"/>
              </w:rPr>
              <w:t>Asosiy kapital (CET1) monandligi, %</w:t>
            </w:r>
          </w:p>
        </w:tc>
        <w:tc>
          <w:tcPr>
            <w:tcW w:type="dxa" w:w="1191"/>
          </w:tcPr>
          <w:p>
            <w:pPr>
              <w:spacing w:line="240" w:lineRule="auto"/>
              <w:jc w:val="center"/>
            </w:pPr>
            <w:r>
              <w:rPr>
                <w:b w:val="0"/>
                <w:color w:val="0070C0"/>
                <w:sz w:val="24"/>
              </w:rPr>
              <w:t>11,4</w:t>
            </w:r>
          </w:p>
        </w:tc>
        <w:tc>
          <w:tcPr>
            <w:tcW w:type="dxa" w:w="1191"/>
          </w:tcPr>
          <w:p>
            <w:pPr>
              <w:spacing w:line="240" w:lineRule="auto"/>
              <w:jc w:val="center"/>
            </w:pPr>
            <w:r>
              <w:rPr>
                <w:b w:val="0"/>
                <w:color w:val="0070C0"/>
                <w:sz w:val="24"/>
              </w:rPr>
              <w:t>9,4</w:t>
            </w:r>
          </w:p>
        </w:tc>
        <w:tc>
          <w:tcPr>
            <w:tcW w:type="dxa" w:w="1191"/>
          </w:tcPr>
          <w:p>
            <w:pPr>
              <w:spacing w:line="240" w:lineRule="auto"/>
              <w:jc w:val="center"/>
            </w:pPr>
            <w:r>
              <w:rPr>
                <w:b w:val="0"/>
                <w:color w:val="0070C0"/>
                <w:sz w:val="24"/>
              </w:rPr>
              <w:t>11,5</w:t>
            </w:r>
          </w:p>
        </w:tc>
        <w:tc>
          <w:tcPr>
            <w:tcW w:type="dxa" w:w="1191"/>
          </w:tcPr>
          <w:p>
            <w:pPr>
              <w:spacing w:line="240" w:lineRule="auto"/>
              <w:jc w:val="center"/>
            </w:pPr>
            <w:r>
              <w:rPr>
                <w:b w:val="0"/>
                <w:color w:val="0070C0"/>
                <w:sz w:val="24"/>
              </w:rPr>
              <w:t>11,8</w:t>
            </w:r>
          </w:p>
        </w:tc>
        <w:tc>
          <w:tcPr>
            <w:tcW w:type="dxa" w:w="1191"/>
          </w:tcPr>
          <w:p>
            <w:pPr>
              <w:spacing w:line="240" w:lineRule="auto"/>
              <w:jc w:val="center"/>
            </w:pPr>
            <w:r>
              <w:rPr>
                <w:b w:val="0"/>
                <w:color w:val="0070C0"/>
                <w:sz w:val="24"/>
              </w:rPr>
              <w:t>10,1</w:t>
            </w:r>
          </w:p>
        </w:tc>
      </w:tr>
      <w:tr>
        <w:tc>
          <w:tcPr>
            <w:tcW w:type="dxa" w:w="3402"/>
          </w:tcPr>
          <w:p>
            <w:pPr>
              <w:spacing w:line="240" w:lineRule="auto"/>
              <w:jc w:val="left"/>
            </w:pPr>
            <w:r>
              <w:rPr>
                <w:b w:val="0"/>
                <w:color w:val="0070C0"/>
                <w:sz w:val="24"/>
              </w:rPr>
              <w:t>Muammoli kreditlar ulushi, %</w:t>
            </w:r>
          </w:p>
        </w:tc>
        <w:tc>
          <w:tcPr>
            <w:tcW w:type="dxa" w:w="1191"/>
          </w:tcPr>
          <w:p>
            <w:pPr>
              <w:spacing w:line="240" w:lineRule="auto"/>
              <w:jc w:val="center"/>
            </w:pPr>
            <w:r>
              <w:rPr>
                <w:b w:val="0"/>
                <w:color w:val="0070C0"/>
                <w:sz w:val="24"/>
              </w:rPr>
              <w:t>4,1</w:t>
            </w:r>
          </w:p>
        </w:tc>
        <w:tc>
          <w:tcPr>
            <w:tcW w:type="dxa" w:w="1191"/>
          </w:tcPr>
          <w:p>
            <w:pPr>
              <w:spacing w:line="240" w:lineRule="auto"/>
              <w:jc w:val="center"/>
            </w:pPr>
            <w:r>
              <w:rPr>
                <w:b w:val="0"/>
                <w:color w:val="0070C0"/>
                <w:sz w:val="24"/>
              </w:rPr>
              <w:t>2,0</w:t>
            </w:r>
          </w:p>
        </w:tc>
        <w:tc>
          <w:tcPr>
            <w:tcW w:type="dxa" w:w="1191"/>
          </w:tcPr>
          <w:p>
            <w:pPr>
              <w:spacing w:line="240" w:lineRule="auto"/>
              <w:jc w:val="center"/>
            </w:pPr>
            <w:r>
              <w:rPr>
                <w:b w:val="0"/>
                <w:color w:val="0070C0"/>
                <w:sz w:val="24"/>
              </w:rPr>
              <w:t>1,5</w:t>
            </w:r>
          </w:p>
        </w:tc>
        <w:tc>
          <w:tcPr>
            <w:tcW w:type="dxa" w:w="1191"/>
          </w:tcPr>
          <w:p>
            <w:pPr>
              <w:spacing w:line="240" w:lineRule="auto"/>
              <w:jc w:val="center"/>
            </w:pPr>
            <w:r>
              <w:rPr>
                <w:b w:val="0"/>
                <w:color w:val="0070C0"/>
                <w:sz w:val="24"/>
              </w:rPr>
              <w:t>1,9</w:t>
            </w:r>
          </w:p>
        </w:tc>
        <w:tc>
          <w:tcPr>
            <w:tcW w:type="dxa" w:w="1191"/>
          </w:tcPr>
          <w:p>
            <w:pPr>
              <w:spacing w:line="240" w:lineRule="auto"/>
              <w:jc w:val="center"/>
            </w:pPr>
            <w:r>
              <w:rPr>
                <w:b w:val="0"/>
                <w:color w:val="0070C0"/>
                <w:sz w:val="24"/>
              </w:rPr>
              <w:t>2,5</w:t>
            </w:r>
          </w:p>
        </w:tc>
      </w:tr>
      <w:tr>
        <w:tc>
          <w:tcPr>
            <w:tcW w:type="dxa" w:w="3402"/>
          </w:tcPr>
          <w:p>
            <w:pPr>
              <w:spacing w:line="240" w:lineRule="auto"/>
              <w:jc w:val="left"/>
            </w:pPr>
            <w:r>
              <w:rPr>
                <w:b w:val="0"/>
                <w:color w:val="0070C0"/>
                <w:sz w:val="24"/>
              </w:rPr>
              <w:t>Substandart kreditlar ulushi, %</w:t>
            </w:r>
          </w:p>
        </w:tc>
        <w:tc>
          <w:tcPr>
            <w:tcW w:type="dxa" w:w="1191"/>
          </w:tcPr>
          <w:p>
            <w:pPr>
              <w:spacing w:line="240" w:lineRule="auto"/>
              <w:jc w:val="center"/>
            </w:pPr>
            <w:r>
              <w:rPr>
                <w:b w:val="0"/>
                <w:color w:val="0070C0"/>
                <w:sz w:val="24"/>
              </w:rPr>
              <w:t>8,0</w:t>
            </w:r>
          </w:p>
        </w:tc>
        <w:tc>
          <w:tcPr>
            <w:tcW w:type="dxa" w:w="1191"/>
          </w:tcPr>
          <w:p>
            <w:pPr>
              <w:spacing w:line="240" w:lineRule="auto"/>
              <w:jc w:val="center"/>
            </w:pPr>
            <w:r>
              <w:rPr>
                <w:b w:val="0"/>
                <w:color w:val="0070C0"/>
                <w:sz w:val="24"/>
              </w:rPr>
              <w:t>1,1</w:t>
            </w:r>
          </w:p>
        </w:tc>
        <w:tc>
          <w:tcPr>
            <w:tcW w:type="dxa" w:w="1191"/>
          </w:tcPr>
          <w:p>
            <w:pPr>
              <w:spacing w:line="240" w:lineRule="auto"/>
              <w:jc w:val="center"/>
            </w:pPr>
            <w:r>
              <w:rPr>
                <w:b w:val="0"/>
                <w:color w:val="0070C0"/>
                <w:sz w:val="24"/>
              </w:rPr>
              <w:t>11,8</w:t>
            </w:r>
          </w:p>
        </w:tc>
        <w:tc>
          <w:tcPr>
            <w:tcW w:type="dxa" w:w="1191"/>
          </w:tcPr>
          <w:p>
            <w:pPr>
              <w:spacing w:line="240" w:lineRule="auto"/>
              <w:jc w:val="center"/>
            </w:pPr>
            <w:r>
              <w:rPr>
                <w:b w:val="0"/>
                <w:color w:val="0070C0"/>
                <w:sz w:val="24"/>
              </w:rPr>
              <w:t>10,2</w:t>
            </w:r>
          </w:p>
        </w:tc>
        <w:tc>
          <w:tcPr>
            <w:tcW w:type="dxa" w:w="1191"/>
          </w:tcPr>
          <w:p>
            <w:pPr>
              <w:spacing w:line="240" w:lineRule="auto"/>
              <w:jc w:val="center"/>
            </w:pPr>
            <w:r>
              <w:rPr>
                <w:b w:val="0"/>
                <w:color w:val="0070C0"/>
                <w:sz w:val="24"/>
              </w:rPr>
              <w:t>6,4</w:t>
            </w:r>
          </w:p>
        </w:tc>
      </w:tr>
      <w:tr>
        <w:tc>
          <w:tcPr>
            <w:tcW w:type="dxa" w:w="3402"/>
          </w:tcPr>
          <w:p>
            <w:pPr>
              <w:spacing w:line="240" w:lineRule="auto"/>
              <w:jc w:val="left"/>
            </w:pPr>
            <w:r>
              <w:rPr>
                <w:b w:val="0"/>
                <w:color w:val="0070C0"/>
                <w:sz w:val="24"/>
              </w:rPr>
              <w:t>ROA, %</w:t>
            </w:r>
          </w:p>
        </w:tc>
        <w:tc>
          <w:tcPr>
            <w:tcW w:type="dxa" w:w="1191"/>
          </w:tcPr>
          <w:p>
            <w:pPr>
              <w:spacing w:line="240" w:lineRule="auto"/>
              <w:jc w:val="center"/>
            </w:pPr>
            <w:r>
              <w:rPr>
                <w:b w:val="0"/>
                <w:color w:val="0070C0"/>
                <w:sz w:val="24"/>
              </w:rPr>
              <w:t>1,0</w:t>
            </w:r>
          </w:p>
        </w:tc>
        <w:tc>
          <w:tcPr>
            <w:tcW w:type="dxa" w:w="1191"/>
          </w:tcPr>
          <w:p>
            <w:pPr>
              <w:spacing w:line="240" w:lineRule="auto"/>
              <w:jc w:val="center"/>
            </w:pPr>
            <w:r>
              <w:rPr>
                <w:b w:val="0"/>
                <w:color w:val="0070C0"/>
                <w:sz w:val="24"/>
              </w:rPr>
              <w:t>1,6</w:t>
            </w:r>
          </w:p>
        </w:tc>
        <w:tc>
          <w:tcPr>
            <w:tcW w:type="dxa" w:w="1191"/>
          </w:tcPr>
          <w:p>
            <w:pPr>
              <w:spacing w:line="240" w:lineRule="auto"/>
              <w:jc w:val="center"/>
            </w:pPr>
            <w:r>
              <w:rPr>
                <w:b w:val="0"/>
                <w:color w:val="0070C0"/>
                <w:sz w:val="24"/>
              </w:rPr>
              <w:t>3,8</w:t>
            </w:r>
          </w:p>
        </w:tc>
        <w:tc>
          <w:tcPr>
            <w:tcW w:type="dxa" w:w="1191"/>
          </w:tcPr>
          <w:p>
            <w:pPr>
              <w:spacing w:line="240" w:lineRule="auto"/>
              <w:jc w:val="center"/>
            </w:pPr>
            <w:r>
              <w:rPr>
                <w:b w:val="0"/>
                <w:color w:val="0070C0"/>
                <w:sz w:val="24"/>
              </w:rPr>
              <w:t>1,0</w:t>
            </w:r>
          </w:p>
        </w:tc>
        <w:tc>
          <w:tcPr>
            <w:tcW w:type="dxa" w:w="1191"/>
          </w:tcPr>
          <w:p>
            <w:pPr>
              <w:spacing w:line="240" w:lineRule="auto"/>
              <w:jc w:val="center"/>
            </w:pPr>
            <w:r>
              <w:rPr>
                <w:b w:val="0"/>
                <w:color w:val="0070C0"/>
                <w:sz w:val="24"/>
              </w:rPr>
              <w:t>0,9</w:t>
            </w:r>
          </w:p>
        </w:tc>
      </w:tr>
      <w:tr>
        <w:tc>
          <w:tcPr>
            <w:tcW w:type="dxa" w:w="3402"/>
          </w:tcPr>
          <w:p>
            <w:pPr>
              <w:spacing w:line="240" w:lineRule="auto"/>
              <w:jc w:val="left"/>
            </w:pPr>
            <w:r>
              <w:rPr>
                <w:b w:val="0"/>
                <w:color w:val="0070C0"/>
                <w:sz w:val="24"/>
              </w:rPr>
              <w:t>ROE, %</w:t>
            </w:r>
          </w:p>
        </w:tc>
        <w:tc>
          <w:tcPr>
            <w:tcW w:type="dxa" w:w="1191"/>
          </w:tcPr>
          <w:p>
            <w:pPr>
              <w:spacing w:line="240" w:lineRule="auto"/>
              <w:jc w:val="center"/>
            </w:pPr>
            <w:r>
              <w:rPr>
                <w:b w:val="0"/>
                <w:color w:val="0070C0"/>
                <w:sz w:val="24"/>
              </w:rPr>
              <w:t>6,6</w:t>
            </w:r>
          </w:p>
        </w:tc>
        <w:tc>
          <w:tcPr>
            <w:tcW w:type="dxa" w:w="1191"/>
          </w:tcPr>
          <w:p>
            <w:pPr>
              <w:spacing w:line="240" w:lineRule="auto"/>
              <w:jc w:val="center"/>
            </w:pPr>
            <w:r>
              <w:rPr>
                <w:b w:val="0"/>
                <w:color w:val="0070C0"/>
                <w:sz w:val="24"/>
              </w:rPr>
              <w:t>13,2</w:t>
            </w:r>
          </w:p>
        </w:tc>
        <w:tc>
          <w:tcPr>
            <w:tcW w:type="dxa" w:w="1191"/>
          </w:tcPr>
          <w:p>
            <w:pPr>
              <w:spacing w:line="240" w:lineRule="auto"/>
              <w:jc w:val="center"/>
            </w:pPr>
            <w:r>
              <w:rPr>
                <w:b w:val="0"/>
                <w:color w:val="0070C0"/>
                <w:sz w:val="24"/>
              </w:rPr>
              <w:t>27,4</w:t>
            </w:r>
          </w:p>
        </w:tc>
        <w:tc>
          <w:tcPr>
            <w:tcW w:type="dxa" w:w="1191"/>
          </w:tcPr>
          <w:p>
            <w:pPr>
              <w:spacing w:line="240" w:lineRule="auto"/>
              <w:jc w:val="center"/>
            </w:pPr>
            <w:r>
              <w:rPr>
                <w:b w:val="0"/>
                <w:color w:val="0070C0"/>
                <w:sz w:val="24"/>
              </w:rPr>
              <w:t>6,6</w:t>
            </w:r>
          </w:p>
        </w:tc>
        <w:tc>
          <w:tcPr>
            <w:tcW w:type="dxa" w:w="1191"/>
          </w:tcPr>
          <w:p>
            <w:pPr>
              <w:spacing w:line="240" w:lineRule="auto"/>
              <w:jc w:val="center"/>
            </w:pPr>
            <w:r>
              <w:rPr>
                <w:b w:val="0"/>
                <w:color w:val="0070C0"/>
                <w:sz w:val="24"/>
              </w:rPr>
              <w:t>7,3</w:t>
            </w:r>
          </w:p>
        </w:tc>
      </w:tr>
      <w:tr>
        <w:tc>
          <w:tcPr>
            <w:tcW w:type="dxa" w:w="3402"/>
          </w:tcPr>
          <w:p>
            <w:pPr>
              <w:spacing w:line="240" w:lineRule="auto"/>
              <w:jc w:val="left"/>
            </w:pPr>
            <w:r>
              <w:rPr>
                <w:b w:val="0"/>
                <w:color w:val="0070C0"/>
                <w:sz w:val="24"/>
              </w:rPr>
              <w:t>LCR, %</w:t>
            </w:r>
          </w:p>
        </w:tc>
        <w:tc>
          <w:tcPr>
            <w:tcW w:type="dxa" w:w="1191"/>
          </w:tcPr>
          <w:p>
            <w:pPr>
              <w:spacing w:line="240" w:lineRule="auto"/>
              <w:jc w:val="center"/>
            </w:pPr>
            <w:r>
              <w:rPr>
                <w:b w:val="0"/>
                <w:color w:val="0070C0"/>
                <w:sz w:val="24"/>
              </w:rPr>
              <w:t>110,9</w:t>
            </w:r>
          </w:p>
        </w:tc>
        <w:tc>
          <w:tcPr>
            <w:tcW w:type="dxa" w:w="1191"/>
          </w:tcPr>
          <w:p>
            <w:pPr>
              <w:spacing w:line="240" w:lineRule="auto"/>
              <w:jc w:val="center"/>
            </w:pPr>
            <w:r>
              <w:rPr>
                <w:b w:val="0"/>
                <w:color w:val="0070C0"/>
                <w:sz w:val="24"/>
              </w:rPr>
              <w:t>226,8</w:t>
            </w:r>
          </w:p>
        </w:tc>
        <w:tc>
          <w:tcPr>
            <w:tcW w:type="dxa" w:w="1191"/>
          </w:tcPr>
          <w:p>
            <w:pPr>
              <w:spacing w:line="240" w:lineRule="auto"/>
              <w:jc w:val="center"/>
            </w:pPr>
            <w:r>
              <w:rPr>
                <w:b w:val="0"/>
                <w:color w:val="0070C0"/>
                <w:sz w:val="24"/>
              </w:rPr>
              <w:t>103,1</w:t>
            </w:r>
          </w:p>
        </w:tc>
        <w:tc>
          <w:tcPr>
            <w:tcW w:type="dxa" w:w="1191"/>
          </w:tcPr>
          <w:p>
            <w:pPr>
              <w:spacing w:line="240" w:lineRule="auto"/>
              <w:jc w:val="center"/>
            </w:pPr>
            <w:r>
              <w:rPr>
                <w:b w:val="0"/>
                <w:color w:val="0070C0"/>
                <w:sz w:val="24"/>
              </w:rPr>
              <w:t>144,4</w:t>
            </w:r>
          </w:p>
        </w:tc>
        <w:tc>
          <w:tcPr>
            <w:tcW w:type="dxa" w:w="1191"/>
          </w:tcPr>
          <w:p>
            <w:pPr>
              <w:spacing w:line="240" w:lineRule="auto"/>
              <w:jc w:val="center"/>
            </w:pPr>
            <w:r>
              <w:rPr>
                <w:b w:val="0"/>
                <w:color w:val="0070C0"/>
                <w:sz w:val="24"/>
              </w:rPr>
              <w:t>142,0</w:t>
            </w:r>
          </w:p>
        </w:tc>
      </w:tr>
      <w:tr>
        <w:tc>
          <w:tcPr>
            <w:tcW w:type="dxa" w:w="3402"/>
          </w:tcPr>
          <w:p>
            <w:pPr>
              <w:spacing w:line="240" w:lineRule="auto"/>
              <w:jc w:val="left"/>
            </w:pPr>
            <w:r>
              <w:rPr>
                <w:b w:val="0"/>
                <w:color w:val="0070C0"/>
                <w:sz w:val="24"/>
              </w:rPr>
              <w:t>NSFR, %</w:t>
            </w:r>
          </w:p>
        </w:tc>
        <w:tc>
          <w:tcPr>
            <w:tcW w:type="dxa" w:w="1191"/>
          </w:tcPr>
          <w:p>
            <w:pPr>
              <w:spacing w:line="240" w:lineRule="auto"/>
              <w:jc w:val="center"/>
            </w:pPr>
            <w:r>
              <w:rPr>
                <w:b w:val="0"/>
                <w:color w:val="0070C0"/>
                <w:sz w:val="24"/>
              </w:rPr>
              <w:t>108,0</w:t>
            </w:r>
          </w:p>
        </w:tc>
        <w:tc>
          <w:tcPr>
            <w:tcW w:type="dxa" w:w="1191"/>
          </w:tcPr>
          <w:p>
            <w:pPr>
              <w:spacing w:line="240" w:lineRule="auto"/>
              <w:jc w:val="center"/>
            </w:pPr>
            <w:r>
              <w:rPr>
                <w:b w:val="0"/>
                <w:color w:val="0070C0"/>
                <w:sz w:val="24"/>
              </w:rPr>
              <w:t>100,9</w:t>
            </w:r>
          </w:p>
        </w:tc>
        <w:tc>
          <w:tcPr>
            <w:tcW w:type="dxa" w:w="1191"/>
          </w:tcPr>
          <w:p>
            <w:pPr>
              <w:spacing w:line="240" w:lineRule="auto"/>
              <w:jc w:val="center"/>
            </w:pPr>
            <w:r>
              <w:rPr>
                <w:b w:val="0"/>
                <w:color w:val="0070C0"/>
                <w:sz w:val="24"/>
              </w:rPr>
              <w:t>102,8</w:t>
            </w:r>
          </w:p>
        </w:tc>
        <w:tc>
          <w:tcPr>
            <w:tcW w:type="dxa" w:w="1191"/>
          </w:tcPr>
          <w:p>
            <w:pPr>
              <w:spacing w:line="240" w:lineRule="auto"/>
              <w:jc w:val="center"/>
            </w:pPr>
            <w:r>
              <w:rPr>
                <w:b w:val="0"/>
                <w:color w:val="0070C0"/>
                <w:sz w:val="24"/>
              </w:rPr>
              <w:t>106,6</w:t>
            </w:r>
          </w:p>
        </w:tc>
        <w:tc>
          <w:tcPr>
            <w:tcW w:type="dxa" w:w="1191"/>
          </w:tcPr>
          <w:p>
            <w:pPr>
              <w:spacing w:line="240" w:lineRule="auto"/>
              <w:jc w:val="center"/>
            </w:pPr>
            <w:r>
              <w:rPr>
                <w:b w:val="0"/>
                <w:color w:val="0070C0"/>
                <w:sz w:val="24"/>
              </w:rPr>
              <w:t>103,0</w:t>
            </w:r>
          </w:p>
        </w:tc>
      </w:tr>
      <w:tr>
        <w:tc>
          <w:tcPr>
            <w:tcW w:type="dxa" w:w="3402"/>
          </w:tcPr>
          <w:p>
            <w:pPr>
              <w:spacing w:line="240" w:lineRule="auto"/>
              <w:jc w:val="left"/>
            </w:pPr>
            <w:r>
              <w:rPr>
                <w:b w:val="0"/>
                <w:color w:val="0070C0"/>
                <w:sz w:val="24"/>
              </w:rPr>
              <w:t>Kreditlar / depozitlar, %</w:t>
            </w:r>
          </w:p>
        </w:tc>
        <w:tc>
          <w:tcPr>
            <w:tcW w:type="dxa" w:w="1191"/>
          </w:tcPr>
          <w:p>
            <w:pPr>
              <w:spacing w:line="240" w:lineRule="auto"/>
              <w:jc w:val="center"/>
            </w:pPr>
            <w:r>
              <w:rPr>
                <w:b w:val="0"/>
                <w:color w:val="0070C0"/>
                <w:sz w:val="24"/>
              </w:rPr>
              <w:t>114,1</w:t>
            </w:r>
          </w:p>
        </w:tc>
        <w:tc>
          <w:tcPr>
            <w:tcW w:type="dxa" w:w="1191"/>
          </w:tcPr>
          <w:p>
            <w:pPr>
              <w:spacing w:line="240" w:lineRule="auto"/>
              <w:jc w:val="center"/>
            </w:pPr>
            <w:r>
              <w:rPr>
                <w:b w:val="0"/>
                <w:color w:val="0070C0"/>
                <w:sz w:val="24"/>
              </w:rPr>
              <w:t>119,0</w:t>
            </w:r>
          </w:p>
        </w:tc>
        <w:tc>
          <w:tcPr>
            <w:tcW w:type="dxa" w:w="1191"/>
          </w:tcPr>
          <w:p>
            <w:pPr>
              <w:spacing w:line="240" w:lineRule="auto"/>
              <w:jc w:val="center"/>
            </w:pPr>
            <w:r>
              <w:rPr>
                <w:b w:val="0"/>
                <w:color w:val="0070C0"/>
                <w:sz w:val="24"/>
              </w:rPr>
              <w:t>111,6</w:t>
            </w:r>
          </w:p>
        </w:tc>
        <w:tc>
          <w:tcPr>
            <w:tcW w:type="dxa" w:w="1191"/>
          </w:tcPr>
          <w:p>
            <w:pPr>
              <w:spacing w:line="240" w:lineRule="auto"/>
              <w:jc w:val="center"/>
            </w:pPr>
            <w:r>
              <w:rPr>
                <w:b w:val="0"/>
                <w:color w:val="0070C0"/>
                <w:sz w:val="24"/>
              </w:rPr>
              <w:t>93,7</w:t>
            </w:r>
          </w:p>
        </w:tc>
        <w:tc>
          <w:tcPr>
            <w:tcW w:type="dxa" w:w="1191"/>
          </w:tcPr>
          <w:p>
            <w:pPr>
              <w:spacing w:line="240" w:lineRule="auto"/>
              <w:jc w:val="center"/>
            </w:pPr>
            <w:r>
              <w:rPr>
                <w:b w:val="0"/>
                <w:color w:val="0070C0"/>
                <w:sz w:val="24"/>
              </w:rPr>
              <w:t>121,1</w:t>
            </w:r>
          </w:p>
        </w:tc>
      </w:tr>
    </w:tbl>
    <w:p>
      <w:pPr>
        <w:spacing w:line="240" w:lineRule="auto"/>
        <w:ind w:firstLine="0"/>
        <w:jc w:val="both"/>
      </w:pPr>
      <w:r>
        <w:rPr>
          <w:b w:val="0"/>
          <w:i/>
          <w:color w:val="0070C0"/>
          <w:sz w:val="24"/>
        </w:rPr>
        <w:t>Izoh: muammoli kreditlar – qoniqarsiz, shubhali va umidsiz deb tasniflangan kreditlar; ROA va ROE sof foydaning aktivlar va kapitalning o‘rtacha yillik qiymatiga nisbati sifatida hisoblandi.</w:t>
      </w:r>
    </w:p>
    <w:p>
      <w:pPr>
        <w:ind w:firstLine="709"/>
        <w:jc w:val="both"/>
      </w:pPr>
      <w:r>
        <w:rPr>
          <w:b w:val="0"/>
          <w:i w:val="0"/>
          <w:color w:val="0070C0"/>
          <w:sz w:val="28"/>
        </w:rPr>
        <w:t>“Aloqabank” ATB tizimli ahamiyatga molik banklar qatoriga kirmaydi va tahlilga natijalarning umumiyligini tekshirish uchun kiritildi (2.2.4-jadval). Bankning aktivlari 12,6 trln so‘mdan 31,5 trln so‘mga, ya’ni 2,5 barobar o‘sgan. Kapital bo‘yicha zaxira uch bank ichida eng kichik: regulyativ kapital monandligi 2023-yildan tashqari barcha yillarda 12,5–14,1 foiz bo‘lib, 13 foizlik minimum atrofida bo‘lgan, 2022-yilda esa hisoblangan qiymat minimumdan 0,5 foiz punkt past bo‘lgan; asosiy kapital monandligi 9,4–11,8 foiz oralig‘ida o‘zgargan. 2023-yildagi kapital o‘sishi (847,8 mlrd so‘m) asosan o‘z foydasi (607,7 mlrd so‘m) hisobiga ta’minlangan, 2024–2025-yillarda esa kapital o‘sishining yarmidan ko‘pi tashqi manbalarga to‘g‘ri kelgan</w:t>
      </w:r>
      <w:r>
        <w:rPr>
          <w:color w:val="0070C0"/>
          <w:sz w:val="28"/>
          <w:vertAlign w:val="superscript"/>
        </w:rPr>
        <w:t>8</w:t>
      </w:r>
      <w:r>
        <w:rPr>
          <w:b w:val="0"/>
          <w:i w:val="0"/>
          <w:color w:val="0070C0"/>
          <w:sz w:val="28"/>
        </w:rPr>
        <w:t>.</w:t>
      </w:r>
    </w:p>
    <w:p>
      <w:pPr>
        <w:ind w:firstLine="709"/>
        <w:jc w:val="both"/>
      </w:pPr>
      <w:r>
        <w:rPr>
          <w:b w:val="0"/>
          <w:i w:val="0"/>
          <w:color w:val="0070C0"/>
          <w:sz w:val="28"/>
        </w:rPr>
        <w:t>Rasmiy muammoli kreditlar ulushi 1,5–4,1 foiz bilan uch bank ichida eng past, ammo substandart kreditlar ulushi 2022-yildagi 1,1 foizdan 2023-yilda 11,8 foizga keskin ko‘tarilgan va 2025-yilda 6,4 foizni tashkil etgan. Daromadlilik 2023-yilda eng yuqori bo‘lgan (ROA 3,8 foiz, ROE 27,4 foiz), keyingi yillarda esa ROE 6,6–7,3 foizgacha pasaygan. Bankning yuqoridagi ikki bankdan asosiy farqi moliyalashtirish tuzilmasida: kreditlarning depozitlarga nisbati 93,7–121,1 foiz bo‘lib, u kreditlarni asosan mijozlar depozitlari hisobiga moliyalashtiradi. Biroq likvidlik zaxirasi tor: LCR 2023-yilda 103,1 foizgacha, NSFR esa 2022-yilda 100,9 foizgacha tushib, Bazel III minimumiga yaqinlashgan.</w:t>
      </w:r>
    </w:p>
    <w:p>
      <w:pPr>
        <w:ind w:firstLine="709"/>
        <w:jc w:val="both"/>
      </w:pPr>
      <w:r>
        <w:rPr>
          <w:b w:val="0"/>
          <w:i w:val="0"/>
          <w:color w:val="FF0000"/>
          <w:sz w:val="28"/>
        </w:rPr>
        <w:t>Uch bankni o‘zaro solishtirish ularning moliyaviy barqarorlik profili turlicha bo‘lsa-da, umumiy qonuniyatlar mavjudligini ko‘rsatadi. Birinchidan, uchala bankda ham kapital bo‘yicha zaxira kichik yoki beqaror bo‘lib, kapital yetarliligi ko‘p hollarda bankning o‘z foydasi emas, balki aksiyador – davlat tomonidan qo‘shimcha kapital kiritilishi hisobiga saqlab turilgan. Ikkinchidan, uchala bankda ham rasmiy muammoli kreditlar ulushi past yoki o‘rtacha bo‘lgani holda substandart kreditlar ulushi tahlil davrining ayrim yillarida 11,8–24,5 foizgacha ko‘tarilgan, ya’ni kredit riski rasmiy ko‘rsatkichdan tashqarida to‘planmoqda. Uchinchidan, moliyalashtirish tuzilmasi bo‘yicha banklar ikki guruhga bo‘linadi: “O‘zsanoatqurilishbank” ATB va “Mikrokreditbank” ATB kreditlarni asosan tashqi qarzlar hisobiga, “Aloqabank” ATB esa depozitlar hisobiga moliyalashtiradi. Rasmiy ko‘rsatkichlarning bu manzarasini uchala bankning auditdan o‘tgan MHXS bo‘yicha moliyaviy hisobotlari bilan solishtirish kredit riskining haqiqiy ko‘lamini aniqroq ko‘rsatadi (2.2.5-rasm).</w:t>
      </w:r>
    </w:p>
    <w:p>
      <w:pPr>
        <w:ind w:firstLine="0"/>
        <w:jc w:val="both"/>
      </w:pPr>
      <w:r>
        <w:rPr>
          <w:b w:val="0"/>
          <w:i/>
          <w:color w:val="595959"/>
          <w:sz w:val="24"/>
        </w:rPr>
        <w:t>Shundan keyin 2.2.5-rasm (hozirgi 2.2.7-rasm: MHXS 9 bo‘yicha 3-bosqich va rasmiy muammoli kreditlar) va uning tahlili (“ikkala bankda” → “uchala bankda”), so‘ngra umumlashtiruvchi 2.2.5-jadval (“Aloqabank” ustuni bilan) keladi.</w:t>
      </w:r>
    </w:p>
    <w:p>
      <w:pPr>
        <w:ind w:firstLine="0"/>
        <w:jc w:val="center"/>
      </w:pPr>
      <w:r>
        <w:rPr>
          <w:b/>
          <w:i w:val="0"/>
          <w:sz w:val="24"/>
        </w:rPr>
        <w:t>Sahifa osti snoskalari</w:t>
      </w:r>
    </w:p>
    <w:p>
      <w:pPr>
        <w:spacing w:line="240" w:lineRule="auto"/>
        <w:ind w:firstLine="0"/>
        <w:jc w:val="both"/>
      </w:pPr>
      <w:r>
        <w:rPr>
          <w:b w:val="0"/>
          <w:i w:val="0"/>
          <w:sz w:val="22"/>
        </w:rPr>
        <w:t>1 Tadqiqot natijasida muallif tomonidan quyidagi manba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w:t>
      </w:r>
    </w:p>
    <w:p>
      <w:pPr>
        <w:spacing w:line="240" w:lineRule="auto"/>
        <w:ind w:firstLine="0"/>
        <w:jc w:val="both"/>
      </w:pPr>
      <w:r>
        <w:rPr>
          <w:b w:val="0"/>
          <w:i w:val="0"/>
          <w:sz w:val="22"/>
        </w:rPr>
        <w:t>2 Joint Stock Commercial Bank “Uzbek Industrial and Construction Bank” and its subsidiaries. Consolidated Financial Statements for the year ended 31 December 2025 and Independent Auditor’s Report. – Tashkent, 2026. – P. 28–31.</w:t>
      </w:r>
    </w:p>
    <w:p>
      <w:pPr>
        <w:spacing w:line="240" w:lineRule="auto"/>
        <w:ind w:firstLine="0"/>
        <w:jc w:val="both"/>
      </w:pPr>
      <w:r>
        <w:rPr>
          <w:b w:val="0"/>
          <w:i w:val="0"/>
          <w:sz w:val="22"/>
        </w:rPr>
        <w:t>3 “O‘zsanoatqurilishbank” ATB ning Markaziy bankka taqdim etilgan prudensial hisobot shakllari (crs003C, crs003L, crs003O): bank balansi, daromadlar, regulyativ kapital hisob-kitobi, aktivlarni tasniflash va prudensial me’yorlar jadvallari, 2020–2025-yillar 30-dekabr holatiga.</w:t>
      </w:r>
    </w:p>
    <w:p>
      <w:pPr>
        <w:spacing w:line="240" w:lineRule="auto"/>
        <w:ind w:firstLine="0"/>
        <w:jc w:val="both"/>
      </w:pPr>
      <w:r>
        <w:rPr>
          <w:b w:val="0"/>
          <w:i w:val="0"/>
          <w:sz w:val="22"/>
        </w:rPr>
        <w:t>4 Tadqiqot natijasida muallif tomonidan quyidagi manba ma’lumotlari asosida hisoblandi: “Mikrokreditbank” ATB ning Markaziy bankka taqdim etilgan prudensial hisobot shakllari (crs005C, crs005L, crs005O): bank balansi, daromadlar, regulyativ kapital hisob-kitobi, aktivlarni tasniflash va prudensial me’yorlar jadvallari, 2020–2025-yillar 30-dekabr holatiga.</w:t>
      </w:r>
    </w:p>
    <w:p>
      <w:pPr>
        <w:spacing w:line="240" w:lineRule="auto"/>
        <w:ind w:firstLine="0"/>
        <w:jc w:val="both"/>
      </w:pPr>
      <w:r>
        <w:rPr>
          <w:b w:val="0"/>
          <w:i w:val="0"/>
          <w:sz w:val="22"/>
        </w:rPr>
        <w:t>5 Hendrickson J.M. Regulation and Instability in U.S. Commercial Banking: A History of Crises. – Basingstoke: Palgrave Macmillan, 2011. – P. 225–227.</w:t>
      </w:r>
    </w:p>
    <w:p>
      <w:pPr>
        <w:spacing w:line="240" w:lineRule="auto"/>
        <w:ind w:firstLine="0"/>
        <w:jc w:val="both"/>
      </w:pPr>
      <w:r>
        <w:rPr>
          <w:b w:val="0"/>
          <w:i w:val="0"/>
          <w:sz w:val="22"/>
        </w:rPr>
        <w:t>6 “Mikrokreditbank” ATB ning Markaziy bankka taqdim etilgan prudensial hisobot shakllari (crs005C, crs005L, crs005O): bank balansi, daromadlar, regulyativ kapital hisob-kitobi, aktivlarni tasniflash va prudensial me’yorlar jadvallari, 2020–2025-yillar 30-dekabr holatiga.</w:t>
      </w:r>
    </w:p>
    <w:p>
      <w:pPr>
        <w:spacing w:line="240" w:lineRule="auto"/>
        <w:ind w:firstLine="0"/>
        <w:jc w:val="both"/>
      </w:pPr>
      <w:r>
        <w:rPr>
          <w:b w:val="0"/>
          <w:i w:val="0"/>
          <w:sz w:val="22"/>
        </w:rPr>
        <w:t>7 Tadqiqot natijasida muallif tomonidan quyidagi manba ma’lumotlari asosida hisoblandi: “Aloqabank” ATB ning Markaziy bankka taqdim etilgan prudensial hisobot shakllari (crs031C, crs031L, crs031O): bank balansi, daromadlar, regulyativ kapital hisob-kitobi, aktivlarni tasniflash va prudensial me’yorlar jadvallari, 2020–2025-yillar 31-dekabr holatiga.</w:t>
      </w:r>
    </w:p>
    <w:p>
      <w:pPr>
        <w:spacing w:line="240" w:lineRule="auto"/>
        <w:ind w:firstLine="0"/>
        <w:jc w:val="both"/>
      </w:pPr>
      <w:r>
        <w:rPr>
          <w:b w:val="0"/>
          <w:i w:val="0"/>
          <w:sz w:val="22"/>
        </w:rPr>
        <w:t>8 “Aloqabank” ATB ning Markaziy bankka taqdim etilgan prudensial hisobot shakllari (crs031C, crs031L, crs031O): bank balansi, daromadlar, regulyativ kapital hisob-kitobi, aktivlarni tasniflash va prudensial me’yorlar jadvallari, 2020–2025-yillar 31-dekabr holatiga.</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