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trike w:val="0"/>
          <w:sz w:val="28"/>
        </w:rPr>
        <w:t>3.1.2-rasm (namuna)</w:t>
      </w:r>
    </w:p>
    <w:p>
      <w:pPr>
        <w:jc w:val="center"/>
      </w:pPr>
      <w:r xmlns:a="http://schemas.openxmlformats.org/drawingml/2006/main" xmlns:c="http://schemas.openxmlformats.org/drawingml/2006/chart">
        <w:rPr>
          <w:noProof/>
        </w:rPr>
        <w:drawing>
          <wp:inline distT="0" distB="0" distL="0" distR="0">
            <wp:extent cx="5760000" cy="3060000"/>
            <wp:effectExtent l="0" t="0" r="0" b="0"/>
            <wp:docPr id="1001" name="3.1.2-rasm"/>
            <wp:cNvGraphicFramePr/>
            <a:graphic>
              <a:graphicData uri="http://schemas.openxmlformats.org/drawingml/2006/chart">
                <c:chart r:id="rId9"/>
              </a:graphicData>
            </a:graphic>
          </wp:inline>
        </w:drawing>
      </w:r>
    </w:p>
    <w:p>
      <w:pPr>
        <w:jc w:val="center"/>
      </w:pPr>
      <w:r>
        <w:rPr>
          <w:b/>
          <w:strike w:val="0"/>
          <w:sz w:val="28"/>
        </w:rPr>
        <w:t>3.1.2-rasm. Birinchi darajali asosiy kapital monandligini ballga aylantirish funksiyasi</w:t>
      </w:r>
    </w:p>
    <w:p/>
    <w:p>
      <w:pPr>
        <w:jc w:val="both"/>
      </w:pPr>
      <w:r>
        <w:rPr>
          <w:b/>
          <w:strike w:val="0"/>
          <w:sz w:val="24"/>
        </w:rPr>
        <w:t>Matndagi tuzatishlar:</w:t>
      </w:r>
    </w:p>
    <w:p>
      <w:pPr>
        <w:jc w:val="both"/>
      </w:pPr>
      <w:r>
        <w:rPr>
          <w:b w:val="0"/>
          <w:strike w:val="0"/>
          <w:sz w:val="24"/>
        </w:rPr>
        <w:t>1) (3.1) formula ikki qatorga bo‘linadi, raqami qatorda qoladi:</w:t>
      </w:r>
    </w:p>
    <w:p>
      <w:pPr>
        <w:jc w:val="center"/>
      </w:pPr>
      <w:r>
        <w:rPr>
          <w:b w:val="0"/>
          <w:strike w:val="0"/>
          <w:color w:val="FF0000"/>
          <w:sz w:val="26"/>
        </w:rPr>
        <w:t>si = k + (xi – ak) / (ak+1 – ak), agar ak &lt; xi ≤ ak+1;</w:t>
      </w:r>
    </w:p>
    <w:p>
      <w:pPr>
        <w:jc w:val="center"/>
      </w:pPr>
      <w:r>
        <w:rPr>
          <w:b w:val="0"/>
          <w:strike w:val="0"/>
          <w:color w:val="FF0000"/>
          <w:sz w:val="26"/>
        </w:rPr>
        <w:t>si = 1, agar xi ≤ a1; si = 4, agar xi ≥ a4,          (3.1)</w:t>
      </w:r>
    </w:p>
    <w:p>
      <w:pPr>
        <w:jc w:val="both"/>
      </w:pPr>
      <w:r>
        <w:rPr>
          <w:b w:val="0"/>
          <w:strike w:val="0"/>
          <w:sz w:val="24"/>
        </w:rPr>
        <w:t xml:space="preserve">2) Formuladan keyingi izohda: </w:t>
      </w:r>
      <w:r>
        <w:rPr>
          <w:b w:val="0"/>
          <w:strike/>
          <w:color w:val="7F7F7F"/>
          <w:sz w:val="24"/>
        </w:rPr>
        <w:t>(k = 1, 2, 3)</w:t>
      </w:r>
      <w:r>
        <w:rPr>
          <w:b w:val="0"/>
          <w:strike w:val="0"/>
          <w:sz w:val="24"/>
        </w:rPr>
        <w:t xml:space="preserve"> → </w:t>
      </w:r>
      <w:r>
        <w:rPr>
          <w:b w:val="0"/>
          <w:strike w:val="0"/>
          <w:color w:val="FF0000"/>
          <w:sz w:val="24"/>
        </w:rPr>
        <w:t>(k = 1, 2, 3, 4)</w:t>
      </w:r>
    </w:p>
    <w:p>
      <w:pPr>
        <w:jc w:val="both"/>
      </w:pPr>
      <w:r>
        <w:rPr>
          <w:b w:val="0"/>
          <w:strike w:val="0"/>
          <w:sz w:val="24"/>
        </w:rPr>
        <w:t>3) Formuladan oldingi xatboshida: …</w:t>
      </w:r>
      <w:r>
        <w:rPr>
          <w:b w:val="0"/>
          <w:strike/>
          <w:color w:val="7F7F7F"/>
          <w:sz w:val="24"/>
        </w:rPr>
        <w:t>bir xil – 3 ball oladi</w:t>
      </w:r>
      <w:r>
        <w:rPr>
          <w:b w:val="0"/>
          <w:strike w:val="0"/>
          <w:sz w:val="24"/>
        </w:rPr>
        <w:t xml:space="preserve"> → </w:t>
      </w:r>
      <w:r>
        <w:rPr>
          <w:b w:val="0"/>
          <w:strike w:val="0"/>
          <w:color w:val="FF0000"/>
          <w:sz w:val="24"/>
        </w:rPr>
        <w:t>bir xil – 3 ball oladi, uzluksiz shkalada esa mos ravishda 3,96 va 3,04 ball oladi</w:t>
      </w:r>
      <w:r>
        <w:rPr>
          <w:b w:val="0"/>
          <w:strike w:val="0"/>
          <w:sz w:val="24"/>
        </w:rPr>
        <w:t>…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eastAsia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hart" Target="charts/chart1.xml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c:style val="2"/>
  <c:chart>
    <c:autoTitleDeleted val="1"/>
    <c:plotArea>
      <c:layout/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Uzluksiz shkala (taklif)</c:v>
                </c:pt>
              </c:strCache>
            </c:strRef>
          </c:tx>
          <c:spPr>
            <a:ln w="28575">
              <a:solidFill>
                <a:srgbClr val="2A78D6"/>
              </a:solidFill>
            </a:ln>
          </c:spPr>
          <c:marker>
            <c:symbol val="none"/>
          </c:marker>
          <c:xVal>
            <c:numRef>
              <c:f>Sheet1!$A$2:$A$9</c:f>
              <c:numCache>
                <c:formatCode>General</c:formatCode>
                <c:ptCount val="8"/>
                <c:pt idx="0">
                  <c:v>3</c:v>
                </c:pt>
                <c:pt idx="1">
                  <c:v>4.5</c:v>
                </c:pt>
                <c:pt idx="2">
                  <c:v>5.75</c:v>
                </c:pt>
                <c:pt idx="3">
                  <c:v>7</c:v>
                </c:pt>
                <c:pt idx="4">
                  <c:v>8</c:v>
                </c:pt>
                <c:pt idx="5">
                  <c:v>9.25</c:v>
                </c:pt>
                <c:pt idx="6">
                  <c:v>10.5</c:v>
                </c:pt>
                <c:pt idx="7">
                  <c:v>13</c:v>
                </c:pt>
              </c:numCache>
            </c:numRef>
          </c:xVal>
          <c:yVal>
            <c:numRef>
              <c:f>Sheet1!$B$2:$B$9</c:f>
              <c:numCache>
                <c:formatCode>General</c:formatCode>
                <c:ptCount val="8"/>
                <c:pt idx="0">
                  <c:v>1</c:v>
                </c:pt>
                <c:pt idx="1">
                  <c:v>1</c:v>
                </c:pt>
                <c:pt idx="2">
                  <c:v>1.5</c:v>
                </c:pt>
                <c:pt idx="3">
                  <c:v>2</c:v>
                </c:pt>
                <c:pt idx="4">
                  <c:v>3</c:v>
                </c:pt>
                <c:pt idx="5">
                  <c:v>3.5</c:v>
                </c:pt>
                <c:pt idx="6">
                  <c:v>4</c:v>
                </c:pt>
                <c:pt idx="7">
                  <c:v>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621F-431C-8129-484EE9E740FD}"/>
            </c:ext>
          </c:extLst>
        </c:ser>
        <c:ser>
          <c:idx val="1"/>
          <c:order val="1"/>
          <c:tx>
            <c:strRef>
              <c:f>Sheet1!$D$1</c:f>
              <c:strCache>
                <c:ptCount val="1"/>
                <c:pt idx="0">
                  <c:v>Pog‘onali shkala</c:v>
                </c:pt>
              </c:strCache>
            </c:strRef>
          </c:tx>
          <c:spPr>
            <a:ln w="19050">
              <a:solidFill>
                <a:srgbClr val="EB6834"/>
              </a:solidFill>
              <a:prstDash val="dash"/>
            </a:ln>
          </c:spPr>
          <c:marker>
            <c:symbol val="none"/>
          </c:marker>
          <c:xVal>
            <c:numRef>
              <c:f>Sheet1!$C$2:$C$9</c:f>
              <c:numCache>
                <c:formatCode>General</c:formatCode>
                <c:ptCount val="8"/>
                <c:pt idx="0">
                  <c:v>3</c:v>
                </c:pt>
                <c:pt idx="1">
                  <c:v>7</c:v>
                </c:pt>
                <c:pt idx="2">
                  <c:v>7</c:v>
                </c:pt>
                <c:pt idx="3">
                  <c:v>8</c:v>
                </c:pt>
                <c:pt idx="4">
                  <c:v>8</c:v>
                </c:pt>
                <c:pt idx="5">
                  <c:v>10.5</c:v>
                </c:pt>
                <c:pt idx="6">
                  <c:v>10.5</c:v>
                </c:pt>
                <c:pt idx="7">
                  <c:v>13</c:v>
                </c:pt>
              </c:numCache>
            </c:numRef>
          </c:xVal>
          <c:yVal>
            <c:numRef>
              <c:f>Sheet1!$D$2:$D$9</c:f>
              <c:numCache>
                <c:formatCode>General</c:formatCode>
                <c:ptCount val="8"/>
                <c:pt idx="0">
                  <c:v>1</c:v>
                </c:pt>
                <c:pt idx="1">
                  <c:v>1</c:v>
                </c:pt>
                <c:pt idx="2">
                  <c:v>2</c:v>
                </c:pt>
                <c:pt idx="3">
                  <c:v>2</c:v>
                </c:pt>
                <c:pt idx="4">
                  <c:v>3</c:v>
                </c:pt>
                <c:pt idx="5">
                  <c:v>3</c:v>
                </c:pt>
                <c:pt idx="6">
                  <c:v>4</c:v>
                </c:pt>
                <c:pt idx="7">
                  <c:v>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621F-431C-8129-484EE9E740FD}"/>
            </c:ext>
          </c:extLst>
        </c:ser>
        <c:ser>
          <c:idx val="2"/>
          <c:order val="2"/>
          <c:tx>
            <c:strRef>
              <c:f>Sheet1!$F$1</c:f>
              <c:strCache>
                <c:ptCount val="1"/>
                <c:pt idx="0">
                  <c:v>Misol: ikki bank</c:v>
                </c:pt>
              </c:strCache>
            </c:strRef>
          </c:tx>
          <c:spPr>
            <a:ln w="19050">
              <a:noFill/>
            </a:ln>
          </c:spPr>
          <c:marker>
            <c:symbol val="diamond"/>
            <c:size val="13"/>
            <c:spPr>
              <a:solidFill>
                <a:srgbClr val="C00000"/>
              </a:solidFill>
              <a:ln>
                <a:noFill/>
              </a:ln>
            </c:spPr>
          </c:marker>
          <c:dLbls>
            <c:dLbl>
              <c:idx val="0"/>
              <c:layout>
                <c:manualLayout>
                  <c:x val="0.0"/>
                  <c:y val="0.07"/>
                </c:manualLayout>
              </c:layout>
              <c:tx>
                <c:rich>
                  <a:bodyPr/>
                  <a:lstStyle/>
                  <a:p>
                    <a:pPr>
                      <a:defRPr sz="1000" b="1">
                        <a:solidFill>
                          <a:srgbClr val="C00000"/>
                        </a:solidFill>
                        <a:latin typeface="Times New Roman"/>
                        <a:cs typeface="Times New Roman"/>
                      </a:defRPr>
                    </a:pPr>
                    <a:r>
                      <a:rPr lang="uz-Latn-UZ" sz="1000" b="1">
                        <a:solidFill>
                          <a:srgbClr val="C00000"/>
                        </a:solidFill>
                        <a:latin typeface="Times New Roman"/>
                        <a:cs typeface="Times New Roman"/>
                      </a:rPr>
                      <a:t>8,1% → 3,04 ball</a:t>
                    </a:r>
                  </a:p>
                </c:rich>
              </c:tx>
              <c:spPr>
                <a:noFill/>
                <a:ln>
                  <a:noFill/>
                </a:ln>
              </c:spPr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"/>
              <c:tx>
                <c:rich>
                  <a:bodyPr/>
                  <a:lstStyle/>
                  <a:p>
                    <a:pPr>
                      <a:defRPr sz="1000" b="1">
                        <a:solidFill>
                          <a:srgbClr val="C00000"/>
                        </a:solidFill>
                        <a:latin typeface="Times New Roman"/>
                        <a:cs typeface="Times New Roman"/>
                      </a:defRPr>
                    </a:pPr>
                    <a:r>
                      <a:rPr lang="uz-Latn-UZ" sz="1000" b="1">
                        <a:solidFill>
                          <a:srgbClr val="C00000"/>
                        </a:solidFill>
                        <a:latin typeface="Times New Roman"/>
                        <a:cs typeface="Times New Roman"/>
                      </a:rPr>
                      <a:t>10,4% → 3,96 ball</a:t>
                    </a:r>
                  </a:p>
                </c:rich>
              </c:tx>
              <c:spPr>
                <a:noFill/>
                <a:ln>
                  <a:noFill/>
                </a:ln>
              </c:spPr>
              <c:dLblPos val="l"/>
              <c:showLegendKey val="0"/>
              <c:showVal val="1"/>
              <c:showCatName val="0"/>
              <c:showSerName val="0"/>
              <c:showPercent val="0"/>
              <c:showBubbleSize val="0"/>
            </c:dLbl>
            <c:showLegendKey val="0"/>
            <c:showVal val="0"/>
            <c:showCatName val="0"/>
            <c:showSerName val="0"/>
            <c:showPercent val="0"/>
            <c:showBubbleSize val="0"/>
          </c:dLbls>
          <c:xVal>
            <c:numRef>
              <c:f>Sheet1!$E$2:$E$3</c:f>
              <c:numCache>
                <c:formatCode>General</c:formatCode>
                <c:ptCount val="2"/>
                <c:pt idx="0">
                  <c:v>8.1</c:v>
                </c:pt>
                <c:pt idx="1">
                  <c:v>10.4</c:v>
                </c:pt>
              </c:numCache>
            </c:numRef>
          </c:xVal>
          <c:yVal>
            <c:numRef>
              <c:f>Sheet1!$F$2:$F$3</c:f>
              <c:numCache>
                <c:formatCode>General</c:formatCode>
                <c:ptCount val="2"/>
                <c:pt idx="0">
                  <c:v>3.04</c:v>
                </c:pt>
                <c:pt idx="1">
                  <c:v>3.96</c:v>
                </c:pt>
              </c:numCache>
            </c:numRef>
          </c:yVal>
          <c:smooth val="0"/>
        </c:ser>
        <c:ser>
          <c:idx val="3"/>
          <c:order val="3"/>
          <c:tx>
            <c:strRef>
              <c:f>Sheet1!$H$1</c:f>
              <c:strCache>
                <c:ptCount val="1"/>
                <c:pt idx="0">
                  <c:v>Chegaralar</c:v>
                </c:pt>
              </c:strCache>
            </c:strRef>
          </c:tx>
          <c:spPr>
            <a:ln w="19050">
              <a:noFill/>
            </a:ln>
          </c:spPr>
          <c:marker>
            <c:symbol val="circle"/>
            <c:size val="6"/>
            <c:spPr>
              <a:solidFill>
                <a:srgbClr val="2A78D6"/>
              </a:solidFill>
              <a:ln>
                <a:noFill/>
              </a:ln>
            </c:spPr>
          </c:marker>
          <c:dLbls>
            <c:dLbl>
              <c:idx val="0"/>
              <c:tx>
                <c:rich>
                  <a:bodyPr/>
                  <a:lstStyle/>
                  <a:p>
                    <a:pPr>
                      <a:defRPr sz="1000" b="1">
                        <a:solidFill>
                          <a:srgbClr val="1F4E79"/>
                        </a:solidFill>
                        <a:latin typeface="Times New Roman"/>
                        <a:cs typeface="Times New Roman"/>
                      </a:defRPr>
                    </a:pPr>
                    <a:r>
                      <a:rPr lang="uz-Latn-UZ" sz="1000" b="1">
                        <a:solidFill>
                          <a:srgbClr val="1F4E79"/>
                        </a:solidFill>
                        <a:latin typeface="Times New Roman"/>
                        <a:cs typeface="Times New Roman"/>
                      </a:rPr>
                      <a:t>1,0</a:t>
                    </a:r>
                  </a:p>
                </c:rich>
              </c:tx>
              <c:spPr>
                <a:noFill/>
                <a:ln>
                  <a:noFill/>
                </a:ln>
              </c:spPr>
              <c:dLblPos val="t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"/>
              <c:tx>
                <c:rich>
                  <a:bodyPr/>
                  <a:lstStyle/>
                  <a:p>
                    <a:pPr>
                      <a:defRPr sz="1000" b="1">
                        <a:solidFill>
                          <a:srgbClr val="1F4E79"/>
                        </a:solidFill>
                        <a:latin typeface="Times New Roman"/>
                        <a:cs typeface="Times New Roman"/>
                      </a:defRPr>
                    </a:pPr>
                    <a:r>
                      <a:rPr lang="uz-Latn-UZ" sz="1000" b="1">
                        <a:solidFill>
                          <a:srgbClr val="1F4E79"/>
                        </a:solidFill>
                        <a:latin typeface="Times New Roman"/>
                        <a:cs typeface="Times New Roman"/>
                      </a:rPr>
                      <a:t>2,0</a:t>
                    </a:r>
                  </a:p>
                </c:rich>
              </c:tx>
              <c:spPr>
                <a:noFill/>
                <a:ln>
                  <a:noFill/>
                </a:ln>
              </c:spPr>
              <c:dLblPos val="l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"/>
              <c:tx>
                <c:rich>
                  <a:bodyPr/>
                  <a:lstStyle/>
                  <a:p>
                    <a:pPr>
                      <a:defRPr sz="1000" b="1">
                        <a:solidFill>
                          <a:srgbClr val="1F4E79"/>
                        </a:solidFill>
                        <a:latin typeface="Times New Roman"/>
                        <a:cs typeface="Times New Roman"/>
                      </a:defRPr>
                    </a:pPr>
                    <a:r>
                      <a:rPr lang="uz-Latn-UZ" sz="1000" b="1">
                        <a:solidFill>
                          <a:srgbClr val="1F4E79"/>
                        </a:solidFill>
                        <a:latin typeface="Times New Roman"/>
                        <a:cs typeface="Times New Roman"/>
                      </a:rPr>
                      <a:t>3,0</a:t>
                    </a:r>
                  </a:p>
                </c:rich>
              </c:tx>
              <c:spPr>
                <a:noFill/>
                <a:ln>
                  <a:noFill/>
                </a:ln>
              </c:spPr>
              <c:dLblPos val="l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"/>
              <c:tx>
                <c:rich>
                  <a:bodyPr/>
                  <a:lstStyle/>
                  <a:p>
                    <a:pPr>
                      <a:defRPr sz="1000" b="1">
                        <a:solidFill>
                          <a:srgbClr val="1F4E79"/>
                        </a:solidFill>
                        <a:latin typeface="Times New Roman"/>
                        <a:cs typeface="Times New Roman"/>
                      </a:defRPr>
                    </a:pPr>
                    <a:r>
                      <a:rPr lang="uz-Latn-UZ" sz="1000" b="1">
                        <a:solidFill>
                          <a:srgbClr val="1F4E79"/>
                        </a:solidFill>
                        <a:latin typeface="Times New Roman"/>
                        <a:cs typeface="Times New Roman"/>
                      </a:rPr>
                      <a:t>4,0</a:t>
                    </a:r>
                  </a:p>
                </c:rich>
              </c:tx>
              <c:spPr>
                <a:noFill/>
                <a:ln>
                  <a:noFill/>
                </a:ln>
              </c:spPr>
              <c:dLblPos val="t"/>
              <c:showLegendKey val="0"/>
              <c:showVal val="1"/>
              <c:showCatName val="0"/>
              <c:showSerName val="0"/>
              <c:showPercent val="0"/>
              <c:showBubbleSize val="0"/>
            </c:dLbl>
            <c:showLegendKey val="0"/>
            <c:showVal val="0"/>
            <c:showCatName val="0"/>
            <c:showSerName val="0"/>
            <c:showPercent val="0"/>
            <c:showBubbleSize val="0"/>
          </c:dLbls>
          <c:xVal>
            <c:numRef>
              <c:f>Sheet1!$G$2:$G$5</c:f>
              <c:numCache>
                <c:formatCode>General</c:formatCode>
                <c:ptCount val="4"/>
                <c:pt idx="0">
                  <c:v>4.5</c:v>
                </c:pt>
                <c:pt idx="1">
                  <c:v>7</c:v>
                </c:pt>
                <c:pt idx="2">
                  <c:v>8</c:v>
                </c:pt>
                <c:pt idx="3">
                  <c:v>10.5</c:v>
                </c:pt>
              </c:numCache>
            </c:numRef>
          </c:xVal>
          <c:yVal>
            <c:numRef>
              <c:f>Sheet1!$H$2:$H$5</c:f>
              <c:numCache>
                <c:formatCode>General</c:formatCode>
                <c:ptCount val="4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333"/>
        <c:axId val="444"/>
      </c:scatterChart>
      <c:valAx>
        <c:axId val="333"/>
        <c:scaling>
          <c:orientation val="minMax"/>
          <c:max val="13"/>
          <c:min val="3"/>
        </c:scaling>
        <c:delete val="0"/>
        <c:axPos val="b"/>
        <c:title>
          <c:tx>
            <c:rich>
              <a:bodyPr/>
              <a:lstStyle/>
              <a:p>
                <a:pPr>
                  <a:defRPr sz="1100" b="0">
                    <a:solidFill>
                      <a:srgbClr val="000000"/>
                    </a:solidFill>
                    <a:latin typeface="Times New Roman"/>
                    <a:cs typeface="Times New Roman"/>
                  </a:defRPr>
                </a:pPr>
                <a:r>
                  <a:rPr lang="uz-Latn-UZ" sz="1100" b="0">
                    <a:solidFill>
                      <a:srgbClr val="000000"/>
                    </a:solidFill>
                    <a:latin typeface="Times New Roman"/>
                  </a:rPr>
                  <a:t>Birinchi darajali asosiy kapital monandligi, %</a:t>
                </a:r>
              </a:p>
            </c:rich>
          </c:tx>
          <c:overlay val="0"/>
        </c:title>
        <c:numFmt formatCode="0" sourceLinked="0"/>
        <c:majorTickMark val="out"/>
        <c:minorTickMark val="none"/>
        <c:tickLblPos val="low"/>
        <c:spPr>
          <a:ln w="9525">
            <a:solidFill>
              <a:srgbClr val="595959"/>
            </a:solidFill>
          </a:ln>
        </c:spPr>
        <c:txPr>
          <a:bodyPr rot="0" vert="horz"/>
          <a:lstStyle/>
          <a:p>
            <a:pPr>
              <a:defRPr sz="1100" b="0">
                <a:solidFill>
                  <a:srgbClr val="000000"/>
                </a:solidFill>
                <a:latin typeface="Times New Roman"/>
                <a:cs typeface="Times New Roman"/>
              </a:defRPr>
            </a:pPr>
            <a:endParaRPr lang="ru-RU"/>
          </a:p>
        </c:txPr>
        <c:crossAx val="444"/>
        <c:crosses val="autoZero"/>
        <c:crossBetween val="midCat"/>
        <c:majorUnit val="1"/>
      </c:valAx>
      <c:valAx>
        <c:axId val="444"/>
        <c:scaling>
          <c:orientation val="minMax"/>
          <c:max val="4.5"/>
          <c:min val="0.5"/>
        </c:scaling>
        <c:delete val="0"/>
        <c:axPos val="l"/>
        <c:majorGridlines>
          <c:spPr>
            <a:ln w="6350">
              <a:solidFill>
                <a:srgbClr val="D9D9D9"/>
              </a:solidFill>
            </a:ln>
          </c:spPr>
        </c:majorGridlines>
        <c:title>
          <c:tx>
            <c:rich>
              <a:bodyPr rot="-5400000" vert="horz"/>
              <a:lstStyle/>
              <a:p>
                <a:pPr>
                  <a:defRPr sz="1100" b="0">
                    <a:solidFill>
                      <a:srgbClr val="000000"/>
                    </a:solidFill>
                    <a:latin typeface="Times New Roman"/>
                    <a:cs typeface="Times New Roman"/>
                  </a:defRPr>
                </a:pPr>
                <a:r>
                  <a:rPr lang="uz-Latn-UZ" sz="1100" b="0">
                    <a:solidFill>
                      <a:srgbClr val="000000"/>
                    </a:solidFill>
                    <a:latin typeface="Times New Roman"/>
                  </a:rPr>
                  <a:t>Ball</a:t>
                </a:r>
              </a:p>
            </c:rich>
          </c:tx>
          <c:overlay val="0"/>
        </c:title>
        <c:numFmt formatCode="0.0" sourceLinked="0"/>
        <c:majorTickMark val="out"/>
        <c:minorTickMark val="none"/>
        <c:tickLblPos val="low"/>
        <c:spPr>
          <a:ln w="9525">
            <a:solidFill>
              <a:srgbClr val="595959"/>
            </a:solidFill>
          </a:ln>
        </c:spPr>
        <c:txPr>
          <a:bodyPr/>
          <a:lstStyle/>
          <a:p>
            <a:pPr>
              <a:defRPr sz="1100" b="0">
                <a:solidFill>
                  <a:srgbClr val="000000"/>
                </a:solidFill>
                <a:latin typeface="Times New Roman"/>
                <a:cs typeface="Times New Roman"/>
              </a:defRPr>
            </a:pPr>
            <a:endParaRPr lang="ru-RU"/>
          </a:p>
        </c:txPr>
        <c:crossAx val="333"/>
        <c:crosses val="autoZero"/>
        <c:crossBetween val="midCat"/>
        <c:majorUnit val="0.5"/>
      </c:valAx>
      <c:spPr>
        <a:noFill/>
        <a:ln>
          <a:noFill/>
        </a:ln>
      </c:spPr>
    </c:plotArea>
    <c:legend>
      <c:legendPos val="b"/>
      <c:legendEntry>
        <c:idx val="3"/>
        <c:delete val="1"/>
      </c:legendEntry>
      <c:overlay val="0"/>
      <c:txPr>
        <a:bodyPr/>
        <a:lstStyle/>
        <a:p>
          <a:pPr>
            <a:defRPr sz="1050" b="0">
              <a:solidFill>
                <a:srgbClr val="000000"/>
              </a:solidFill>
              <a:latin typeface="Times New Roman"/>
              <a:cs typeface="Times New Roman"/>
            </a:defRPr>
          </a:pPr>
          <a:endParaRPr lang="ru-RU"/>
        </a:p>
      </c:txPr>
    </c:legend>
    <c:plotVisOnly val="1"/>
    <c:dispBlanksAs val="gap"/>
    <c:showDLblsOverMax val="1"/>
  </c:chart>
  <c:spPr>
    <a:solidFill>
      <a:srgbClr val="FFFFFF"/>
    </a:solidFill>
    <a:ln>
      <a:noFill/>
    </a:ln>
  </c:spPr>
  <c:txPr>
    <a:bodyPr/>
    <a:lstStyle/>
    <a:p>
      <a:pPr>
        <a:defRPr sz="1100" b="0">
          <a:solidFill>
            <a:srgbClr val="000000"/>
          </a:solidFill>
          <a:latin typeface="Times New Roman"/>
          <a:cs typeface="Times New Roman"/>
        </a:defRPr>
      </a:pPr>
      <a:endParaRPr lang="ru-RU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