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trike w:val="0"/>
          <w:sz w:val="24"/>
        </w:rPr>
        <w:t>1) Jadvaldan oldingi xatboshi (oxirgi qismi):</w:t>
      </w:r>
    </w:p>
    <w:p>
      <w:pPr>
        <w:spacing w:line="360" w:lineRule="auto"/>
        <w:ind w:firstLine="709"/>
        <w:jc w:val="both"/>
      </w:pPr>
      <w:r>
        <w:rPr>
          <w:b w:val="0"/>
          <w:strike w:val="0"/>
          <w:sz w:val="28"/>
        </w:rPr>
        <w:t>…Shu sababli taklif etilayotgan vaznlar uch manba</w:t>
      </w:r>
      <w:r>
        <w:rPr>
          <w:b w:val="0"/>
          <w:strike w:val="0"/>
          <w:color w:val="FF0000"/>
          <w:sz w:val="28"/>
        </w:rPr>
        <w:t xml:space="preserve"> – Bazel III va Xalqaro valyuta jamg‘armasi ko‘rsatkichlar tizimidagi bloklar ustuvorligi, ikkinchi bob natijalari hamda O‘zbekistonda CAMEL tizimi uchun T.M. Karaliyev va I.F. Sayfiddinov keltirgan vaznlar nisbati –</w:t>
      </w:r>
      <w:r>
        <w:rPr>
          <w:b w:val="0"/>
          <w:strike w:val="0"/>
          <w:sz w:val="28"/>
        </w:rPr>
        <w:t xml:space="preserve"> asosida asoslandi va muqobil variantlar bilan solishtirildi (3.1.3-jadval).</w:t>
      </w:r>
    </w:p>
    <w:p>
      <w:r>
        <w:rPr>
          <w:b/>
          <w:strike w:val="0"/>
          <w:sz w:val="24"/>
        </w:rPr>
        <w:t>2) 3.1.3-jadval, “Asoslash” ustuni: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Pr>
                <w:b/>
                <w:strike w:val="0"/>
                <w:sz w:val="22"/>
              </w:rPr>
              <w:t>Blok</w:t>
            </w:r>
          </w:p>
        </w:tc>
        <w:tc>
          <w:tcPr>
            <w:tcW w:type="dxa" w:w="1871"/>
          </w:tcPr>
          <w:p>
            <w:pPr>
              <w:jc w:val="center"/>
            </w:pPr>
            <w:r>
              <w:rPr>
                <w:b/>
                <w:strike w:val="0"/>
                <w:sz w:val="22"/>
              </w:rPr>
              <w:t>Taklif etilayotgan vazn</w:t>
            </w:r>
          </w:p>
        </w:tc>
        <w:tc>
          <w:tcPr>
            <w:tcW w:type="dxa" w:w="1871"/>
          </w:tcPr>
          <w:p>
            <w:pPr>
              <w:jc w:val="center"/>
            </w:pPr>
            <w:r>
              <w:rPr>
                <w:b/>
                <w:strike w:val="0"/>
                <w:sz w:val="22"/>
              </w:rPr>
              <w:t>Teng vaznlar</w:t>
            </w:r>
          </w:p>
        </w:tc>
        <w:tc>
          <w:tcPr>
            <w:tcW w:type="dxa" w:w="1871"/>
          </w:tcPr>
          <w:p>
            <w:pPr>
              <w:jc w:val="center"/>
            </w:pPr>
            <w:r>
              <w:rPr>
                <w:b/>
                <w:strike w:val="0"/>
                <w:sz w:val="22"/>
              </w:rPr>
              <w:t>CAMEL nisbati (O‘zbekiston)</w:t>
            </w:r>
          </w:p>
        </w:tc>
        <w:tc>
          <w:tcPr>
            <w:tcW w:type="dxa" w:w="1871"/>
          </w:tcPr>
          <w:p>
            <w:pPr>
              <w:jc w:val="center"/>
            </w:pPr>
            <w:r>
              <w:rPr>
                <w:b/>
                <w:strike w:val="0"/>
                <w:sz w:val="22"/>
              </w:rPr>
              <w:t>Asoslash</w:t>
            </w:r>
          </w:p>
        </w:tc>
      </w:tr>
      <w:tr>
        <w:tc>
          <w:tcPr>
            <w:tcW w:type="dxa" w:w="1871"/>
          </w:tcPr>
          <w:p>
            <w:r>
              <w:rPr>
                <w:b w:val="0"/>
                <w:strike w:val="0"/>
                <w:sz w:val="22"/>
              </w:rPr>
              <w:t>Kapital yetarliligi</w:t>
            </w:r>
          </w:p>
        </w:tc>
        <w:tc>
          <w:tcPr>
            <w:tcW w:type="dxa" w:w="1871"/>
          </w:tcPr>
          <w:p>
            <w:pPr>
              <w:jc w:val="center"/>
            </w:pPr>
            <w:r>
              <w:rPr>
                <w:b w:val="0"/>
                <w:strike w:val="0"/>
                <w:sz w:val="22"/>
              </w:rPr>
              <w:t>0,25</w:t>
            </w:r>
          </w:p>
        </w:tc>
        <w:tc>
          <w:tcPr>
            <w:tcW w:type="dxa" w:w="1871"/>
          </w:tcPr>
          <w:p>
            <w:pPr>
              <w:jc w:val="center"/>
            </w:pPr>
            <w:r>
              <w:rPr>
                <w:b w:val="0"/>
                <w:strike w:val="0"/>
                <w:sz w:val="22"/>
              </w:rPr>
              <w:t>0,20</w:t>
            </w:r>
          </w:p>
        </w:tc>
        <w:tc>
          <w:tcPr>
            <w:tcW w:type="dxa" w:w="1871"/>
          </w:tcPr>
          <w:p>
            <w:pPr>
              <w:jc w:val="center"/>
            </w:pPr>
            <w:r>
              <w:rPr>
                <w:b w:val="0"/>
                <w:strike w:val="0"/>
                <w:sz w:val="22"/>
              </w:rPr>
              <w:t>0,23</w:t>
            </w:r>
          </w:p>
        </w:tc>
        <w:tc>
          <w:tcPr>
            <w:tcW w:type="dxa" w:w="1871"/>
          </w:tcPr>
          <w:p>
            <w:r>
              <w:rPr>
                <w:b w:val="0"/>
                <w:strike w:val="0"/>
                <w:sz w:val="22"/>
              </w:rPr>
              <w:t>Bazel III ning asosiy talabi, zararlarni qoplovchi oxirgi bufer</w:t>
            </w:r>
          </w:p>
        </w:tc>
      </w:tr>
      <w:tr>
        <w:tc>
          <w:tcPr>
            <w:tcW w:type="dxa" w:w="1871"/>
          </w:tcPr>
          <w:p>
            <w:r>
              <w:rPr>
                <w:b w:val="0"/>
                <w:strike w:val="0"/>
                <w:sz w:val="22"/>
              </w:rPr>
              <w:t>Aktivlar sifati</w:t>
            </w:r>
          </w:p>
        </w:tc>
        <w:tc>
          <w:tcPr>
            <w:tcW w:type="dxa" w:w="1871"/>
          </w:tcPr>
          <w:p>
            <w:pPr>
              <w:jc w:val="center"/>
            </w:pPr>
            <w:r>
              <w:rPr>
                <w:b w:val="0"/>
                <w:strike w:val="0"/>
                <w:sz w:val="22"/>
              </w:rPr>
              <w:t>0,30</w:t>
            </w:r>
          </w:p>
        </w:tc>
        <w:tc>
          <w:tcPr>
            <w:tcW w:type="dxa" w:w="1871"/>
          </w:tcPr>
          <w:p>
            <w:pPr>
              <w:jc w:val="center"/>
            </w:pPr>
            <w:r>
              <w:rPr>
                <w:b w:val="0"/>
                <w:strike w:val="0"/>
                <w:sz w:val="22"/>
              </w:rPr>
              <w:t>0,20</w:t>
            </w:r>
          </w:p>
        </w:tc>
        <w:tc>
          <w:tcPr>
            <w:tcW w:type="dxa" w:w="1871"/>
          </w:tcPr>
          <w:p>
            <w:pPr>
              <w:jc w:val="center"/>
            </w:pPr>
            <w:r>
              <w:rPr>
                <w:b w:val="0"/>
                <w:strike w:val="0"/>
                <w:sz w:val="22"/>
              </w:rPr>
              <w:t>0,37</w:t>
            </w:r>
          </w:p>
        </w:tc>
        <w:tc>
          <w:tcPr>
            <w:tcW w:type="dxa" w:w="1871"/>
          </w:tcPr>
          <w:p>
            <w:r>
              <w:rPr>
                <w:b w:val="0"/>
                <w:strike w:val="0"/>
                <w:sz w:val="22"/>
              </w:rPr>
              <w:t>II bobda eng zaif bo‘g‘in, milliy va MHXS tafovuti eng katta</w:t>
            </w:r>
          </w:p>
        </w:tc>
      </w:tr>
      <w:tr>
        <w:tc>
          <w:tcPr>
            <w:tcW w:type="dxa" w:w="1871"/>
          </w:tcPr>
          <w:p>
            <w:r>
              <w:rPr>
                <w:b w:val="0"/>
                <w:strike w:val="0"/>
                <w:sz w:val="22"/>
              </w:rPr>
              <w:t>Likvidlik</w:t>
            </w:r>
          </w:p>
        </w:tc>
        <w:tc>
          <w:tcPr>
            <w:tcW w:type="dxa" w:w="1871"/>
          </w:tcPr>
          <w:p>
            <w:pPr>
              <w:jc w:val="center"/>
            </w:pPr>
            <w:r>
              <w:rPr>
                <w:b w:val="0"/>
                <w:strike w:val="0"/>
                <w:sz w:val="22"/>
              </w:rPr>
              <w:t>0,20</w:t>
            </w:r>
          </w:p>
        </w:tc>
        <w:tc>
          <w:tcPr>
            <w:tcW w:type="dxa" w:w="1871"/>
          </w:tcPr>
          <w:p>
            <w:pPr>
              <w:jc w:val="center"/>
            </w:pPr>
            <w:r>
              <w:rPr>
                <w:b w:val="0"/>
                <w:strike w:val="0"/>
                <w:sz w:val="22"/>
              </w:rPr>
              <w:t>0,20</w:t>
            </w:r>
          </w:p>
        </w:tc>
        <w:tc>
          <w:tcPr>
            <w:tcW w:type="dxa" w:w="1871"/>
          </w:tcPr>
          <w:p>
            <w:pPr>
              <w:jc w:val="center"/>
            </w:pPr>
            <w:r>
              <w:rPr>
                <w:b w:val="0"/>
                <w:strike w:val="0"/>
                <w:sz w:val="22"/>
              </w:rPr>
              <w:t>0,15</w:t>
            </w:r>
          </w:p>
        </w:tc>
        <w:tc>
          <w:tcPr>
            <w:tcW w:type="dxa" w:w="1871"/>
          </w:tcPr>
          <w:p>
            <w:r>
              <w:rPr>
                <w:b w:val="0"/>
                <w:strike w:val="0"/>
                <w:sz w:val="22"/>
              </w:rPr>
              <w:t>Bazel III ning ikki me’yori, tashqi moliyalashtirishga tayanish</w:t>
            </w:r>
          </w:p>
        </w:tc>
      </w:tr>
      <w:tr>
        <w:tc>
          <w:tcPr>
            <w:tcW w:type="dxa" w:w="1871"/>
          </w:tcPr>
          <w:p>
            <w:r>
              <w:rPr>
                <w:b w:val="0"/>
                <w:strike w:val="0"/>
                <w:sz w:val="22"/>
              </w:rPr>
              <w:t>Daromadlilik</w:t>
            </w:r>
          </w:p>
        </w:tc>
        <w:tc>
          <w:tcPr>
            <w:tcW w:type="dxa" w:w="1871"/>
          </w:tcPr>
          <w:p>
            <w:pPr>
              <w:jc w:val="center"/>
            </w:pPr>
            <w:r>
              <w:rPr>
                <w:b w:val="0"/>
                <w:strike w:val="0"/>
                <w:sz w:val="22"/>
              </w:rPr>
              <w:t>0,15</w:t>
            </w:r>
          </w:p>
        </w:tc>
        <w:tc>
          <w:tcPr>
            <w:tcW w:type="dxa" w:w="1871"/>
          </w:tcPr>
          <w:p>
            <w:pPr>
              <w:jc w:val="center"/>
            </w:pPr>
            <w:r>
              <w:rPr>
                <w:b w:val="0"/>
                <w:strike w:val="0"/>
                <w:sz w:val="22"/>
              </w:rPr>
              <w:t>0,20</w:t>
            </w:r>
          </w:p>
        </w:tc>
        <w:tc>
          <w:tcPr>
            <w:tcW w:type="dxa" w:w="1871"/>
          </w:tcPr>
          <w:p>
            <w:pPr>
              <w:jc w:val="center"/>
            </w:pPr>
            <w:r>
              <w:rPr>
                <w:b w:val="0"/>
                <w:strike w:val="0"/>
                <w:sz w:val="22"/>
              </w:rPr>
              <w:t>0,25</w:t>
            </w:r>
          </w:p>
        </w:tc>
        <w:tc>
          <w:tcPr>
            <w:tcW w:type="dxa" w:w="1871"/>
          </w:tcPr>
          <w:p>
            <w:r>
              <w:rPr>
                <w:b w:val="0"/>
                <w:strike w:val="0"/>
                <w:sz w:val="22"/>
              </w:rPr>
              <w:t>Kapitalni ichki manbadan to‘ldirish imkoniyati</w:t>
            </w:r>
            <w:r>
              <w:rPr>
                <w:b w:val="0"/>
                <w:strike w:val="0"/>
                <w:color w:val="FF0000"/>
                <w:sz w:val="22"/>
              </w:rPr>
              <w:t>; davlat banklarida davlat ko‘magi ta’sirida va ikki hisobotda keskin farq qiladi</w:t>
            </w:r>
          </w:p>
        </w:tc>
      </w:tr>
      <w:tr>
        <w:tc>
          <w:tcPr>
            <w:tcW w:type="dxa" w:w="1871"/>
          </w:tcPr>
          <w:p>
            <w:r>
              <w:rPr>
                <w:b w:val="0"/>
                <w:strike w:val="0"/>
                <w:sz w:val="22"/>
              </w:rPr>
              <w:t>Valyuta riskiga sezgirlik</w:t>
            </w:r>
          </w:p>
        </w:tc>
        <w:tc>
          <w:tcPr>
            <w:tcW w:type="dxa" w:w="1871"/>
          </w:tcPr>
          <w:p>
            <w:pPr>
              <w:jc w:val="center"/>
            </w:pPr>
            <w:r>
              <w:rPr>
                <w:b w:val="0"/>
                <w:strike w:val="0"/>
                <w:sz w:val="22"/>
              </w:rPr>
              <w:t>0,10</w:t>
            </w:r>
          </w:p>
        </w:tc>
        <w:tc>
          <w:tcPr>
            <w:tcW w:type="dxa" w:w="1871"/>
          </w:tcPr>
          <w:p>
            <w:pPr>
              <w:jc w:val="center"/>
            </w:pPr>
            <w:r>
              <w:rPr>
                <w:b w:val="0"/>
                <w:strike w:val="0"/>
                <w:sz w:val="22"/>
              </w:rPr>
              <w:t>0,20</w:t>
            </w:r>
          </w:p>
        </w:tc>
        <w:tc>
          <w:tcPr>
            <w:tcW w:type="dxa" w:w="1871"/>
          </w:tcPr>
          <w:p>
            <w:pPr>
              <w:jc w:val="center"/>
            </w:pPr>
            <w:r>
              <w:rPr>
                <w:b w:val="0"/>
                <w:strike w:val="0"/>
                <w:sz w:val="22"/>
              </w:rPr>
              <w:t>–</w:t>
            </w:r>
          </w:p>
        </w:tc>
        <w:tc>
          <w:tcPr>
            <w:tcW w:type="dxa" w:w="1871"/>
          </w:tcPr>
          <w:p>
            <w:r>
              <w:rPr>
                <w:b w:val="0"/>
                <w:strike w:val="0"/>
                <w:sz w:val="22"/>
              </w:rPr>
              <w:t>Dollarlashuv yuqori, ammo pasayish tendensiyasida</w:t>
            </w:r>
          </w:p>
        </w:tc>
      </w:tr>
    </w:tbl>
    <w:p>
      <w:r>
        <w:rPr>
          <w:b/>
          <w:strike w:val="0"/>
          <w:sz w:val="24"/>
        </w:rPr>
        <w:t>3) Jadvaldan keyingi xatboshi:</w:t>
      </w:r>
    </w:p>
    <w:p>
      <w:pPr>
        <w:spacing w:line="360" w:lineRule="auto"/>
        <w:ind w:firstLine="709"/>
        <w:jc w:val="both"/>
      </w:pPr>
      <w:r>
        <w:rPr>
          <w:b w:val="0"/>
          <w:strike w:val="0"/>
          <w:sz w:val="28"/>
        </w:rPr>
        <w:t xml:space="preserve">Jadval ma’lumotlari shuni ko‘rsatadiki, taklif etilayotgan vaznlar O‘zbekistonda CAMEL tizimi uchun T.M. Karaliyev va I.F. Sayfiddinov keltirgan nisbatga yaqin, biroq asosan </w:t>
      </w:r>
      <w:r>
        <w:rPr>
          <w:b w:val="0"/>
          <w:strike/>
          <w:color w:val="7F7F7F"/>
          <w:sz w:val="28"/>
        </w:rPr>
        <w:t>ikki jihatda</w:t>
      </w:r>
      <w:r>
        <w:rPr>
          <w:b w:val="0"/>
          <w:strike w:val="0"/>
          <w:sz w:val="28"/>
        </w:rPr>
        <w:t xml:space="preserve"> </w:t>
      </w:r>
      <w:r>
        <w:rPr>
          <w:b w:val="0"/>
          <w:strike w:val="0"/>
          <w:color w:val="FF0000"/>
          <w:sz w:val="28"/>
        </w:rPr>
        <w:t>uch jihatda</w:t>
      </w:r>
      <w:r>
        <w:rPr>
          <w:b w:val="0"/>
          <w:strike w:val="0"/>
          <w:sz w:val="28"/>
        </w:rPr>
        <w:t xml:space="preserve">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w:t>
      </w:r>
      <w:r>
        <w:rPr>
          <w:b w:val="0"/>
          <w:strike w:val="0"/>
          <w:color w:val="FF0000"/>
          <w:sz w:val="28"/>
        </w:rPr>
        <w:t xml:space="preserve"> Uchinchidan, daromadlilik blokining vazni 0,25 dan 0,15 ga kamaytirildi, bo‘shagan vazn esa kapital (0,23 dan 0,25 ga) va likvidlik (0,15 dan 0,20 ga) bloklariga taqsimlandi. Buning uch sababi bor: birinchidan, davlat banklarida foyda davlat ko‘magi va imtiyozli resurslar hisobiga shakllanib, bankning o‘z barqarorligini to‘liq aks ettirmaydi (3.3-§); ikkinchidan, daromadlilik ko‘rsatkichlari ikki hisobot o‘rtasida eng ko‘p farq qiladigan ko‘rsatkichlardan biri: “Aloqabank” ATB da besh yillik sof foyda milliy hisobotda MHXS dagidan 1,8 barobar ko‘p, “Mikrokreditbank” ATB da esa zarar ikki hisobotda turli yillarda tan olingan (2.3-§); uchinchidan, foyda taqsimlanmagan foyda orqali kapital blokida ham qisman aks etadi. Likvidlik vaznining oshirilishi esa tadqiqot obyektlarida kreditlarning depozitlarga nisbati 200 foizdan yuqori bo‘lib, kreditlar asosan tashqi qarzlar hisobiga moliyalashtirilishi bilan izohlanadi.</w:t>
      </w:r>
      <w:r>
        <w:rPr>
          <w:b w:val="0"/>
          <w:strike w:val="0"/>
          <w:sz w:val="28"/>
        </w:rPr>
        <w:t xml:space="preserve"> Vaznlarning muqobil variantlari esa keyinroq sezgirlik tahlilida qo‘llanadi. Vaznlarni tanlashning muqobil, ya’ni statistik usuli – L. Izzi va hammualliflar taklif etgan logit-regressiya koeffitsiyentlarini normallashtirish orqali vazn aniqlash – bank defoltlari bo‘yicha yetarli tarixiy ma’lumot talab qiladi, shu sababli u dissertatsiyaning to‘rtinchi bobida erta ogohlantirish tizimini ishlab chiqishda qo‘llanadi.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