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strike w:val="0"/>
        </w:rPr>
        <w:t>3.1.7-jadval</w:t>
      </w:r>
    </w:p>
    <w:p>
      <w:pPr>
        <w:jc w:val="center"/>
      </w:pPr>
      <w:r>
        <w:rPr>
          <w:b/>
          <w:strike w:val="0"/>
        </w:rPr>
        <w:t>Moliyaviy barqarorlikning integral indeksi va mavjud baholash metodikalarining qiyosiy tavsifi</w:t>
      </w:r>
      <w:r>
        <w:rPr>
          <w:b/>
          <w:strike w:val="0"/>
          <w:color w:val="FF0000"/>
        </w:rPr>
        <w:t>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trike/>
                <w:color w:val="7F7F7F"/>
                <w:sz w:val="20"/>
              </w:rPr>
              <w:t>Belgi</w:t>
            </w:r>
            <w:r>
              <w:rPr>
                <w:b/>
                <w:strike w:val="0"/>
                <w:sz w:val="20"/>
              </w:rPr>
              <w:t xml:space="preserve"> </w:t>
            </w:r>
            <w:r>
              <w:rPr>
                <w:b/>
                <w:strike w:val="0"/>
                <w:color w:val="FF0000"/>
                <w:sz w:val="20"/>
              </w:rPr>
              <w:t>Taqqoslash mezoni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trike w:val="0"/>
                <w:sz w:val="20"/>
              </w:rPr>
              <w:t>CAMELS (AQSh)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trike w:val="0"/>
                <w:sz w:val="20"/>
              </w:rPr>
              <w:t>Rossiya Banki metodikasi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trike w:val="0"/>
                <w:sz w:val="20"/>
              </w:rPr>
              <w:t>XVJ barqarorlik ko‘rsatkichlari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/>
                <w:strike w:val="0"/>
                <w:sz w:val="20"/>
              </w:rPr>
              <w:t>Taklif etilayotgan MBII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Natija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1–5 ballik kompozit reyting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Bloklar bo‘yicha ball, guruhlarga ajratish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Ko‘rsatkichlar to‘plami, yagona baho yo‘q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1–4 oraliqdagi uzluksiz indeks va 4 sinf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Ochiqlik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Nazorat siri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Metodika ochiq, natija yopiq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Ochiq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Metodika va ma’lumotlar ochiq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Xalqaro standartlarga bog‘liqlik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Qisman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Milliy normativlarga bog‘langan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/>
                <w:color w:val="7F7F7F"/>
                <w:sz w:val="20"/>
              </w:rPr>
              <w:t>XVJ standarti</w:t>
            </w:r>
            <w:r>
              <w:rPr>
                <w:b w:val="0"/>
                <w:strike w:val="0"/>
                <w:sz w:val="20"/>
              </w:rPr>
              <w:t xml:space="preserve"> </w:t>
            </w:r>
            <w:r>
              <w:rPr>
                <w:b w:val="0"/>
                <w:strike w:val="0"/>
                <w:color w:val="FF0000"/>
                <w:sz w:val="20"/>
              </w:rPr>
              <w:t>Bazel III ga yaqin ta’riflar (XVJ qo‘llanmasi, 2019)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Bazel III, MHXS 9, XVJ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Aktivlar sifati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Nazoratchi bahosi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Milliy tasnif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/>
                <w:color w:val="7F7F7F"/>
                <w:sz w:val="20"/>
              </w:rPr>
              <w:t>Milliy ta’rif</w:t>
            </w:r>
            <w:r>
              <w:rPr>
                <w:b w:val="0"/>
                <w:strike w:val="0"/>
                <w:sz w:val="20"/>
              </w:rPr>
              <w:t xml:space="preserve"> </w:t>
            </w:r>
            <w:r>
              <w:rPr>
                <w:b w:val="0"/>
                <w:strike w:val="0"/>
                <w:color w:val="FF0000"/>
                <w:sz w:val="20"/>
              </w:rPr>
              <w:t>90 kunlik mezon (amalda milliy ta’rif)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MHXS 9 bosqichlari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Hisobot standarti farqi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Hisobga olinmaydi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Hisobga olinmaydi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Hisobga olinmaydi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ΔMBII va tuzatish koeffitsiyentlari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Ball shkalasi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Pog‘onali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Pog‘onali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–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Uzluksiz (chiziqli interpolyatsiya)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color w:val="FF0000"/>
                <w:sz w:val="20"/>
              </w:rPr>
              <w:t>Vaznlar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Qat’iy belgilanmagan, nazoratchi mulohazasi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Har bir ko‘rsatkichga 1–3 vazn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Qo‘llanmaydi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Bloklar vaznlari 0,25/0,30/0,20/0,15/0,10, empirik tekshirilgan (3.2-§)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Valyuta riski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Bozor riski doirasida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Alohida blok yo‘q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Sof ochiq pozitsiya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Alohida blok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color w:val="FF0000"/>
                <w:sz w:val="20"/>
              </w:rPr>
              <w:t>Boshqaruv sifati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M komponenti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Boshqaruv sifati va shaffoflik guruhlari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Yo‘q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color w:val="FF0000"/>
                <w:sz w:val="20"/>
              </w:rPr>
              <w:t>Yo‘q (ochiq ma’lumotlarda baholanmaydi)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b w:val="0"/>
                <w:strike w:val="0"/>
                <w:sz w:val="20"/>
              </w:rPr>
              <w:t>Nazorat choralari bilan bog‘liqlik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Bevosita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Bevosita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Yo‘q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 w:val="0"/>
                <w:strike w:val="0"/>
                <w:sz w:val="20"/>
              </w:rPr>
              <w:t>Sinflar</w:t>
            </w:r>
            <w:r>
              <w:rPr>
                <w:b w:val="0"/>
                <w:strike w:val="0"/>
                <w:color w:val="FF0000"/>
                <w:sz w:val="20"/>
              </w:rPr>
              <w:t xml:space="preserve"> va erta ogohlantirish zonalari</w:t>
            </w:r>
            <w:r>
              <w:rPr>
                <w:b w:val="0"/>
                <w:strike w:val="0"/>
                <w:sz w:val="20"/>
              </w:rPr>
              <w:t xml:space="preserve"> bo‘yicha choralar</w:t>
            </w:r>
          </w:p>
        </w:tc>
      </w:tr>
    </w:tbl>
    <w:p/>
    <w:p>
      <w:pPr>
        <w:jc w:val="both"/>
      </w:pPr>
      <w:r>
        <w:rPr>
          <w:b w:val="0"/>
          <w:strike w:val="0"/>
          <w:sz w:val="20"/>
        </w:rPr>
        <w:t xml:space="preserve">¹ Tadqiqot natijasida muallif tomonidan quyidagi manbalar asosida ishlab chiqildi: </w:t>
      </w:r>
      <w:r>
        <w:rPr>
          <w:b w:val="0"/>
          <w:strike/>
          <w:color w:val="7F7F7F"/>
          <w:sz w:val="20"/>
        </w:rPr>
        <w:t>Оценка финансовой устойчивости кредитной организации: учебник / под ред. О.И. Лаврушина, И.Д. Мамоновой. – М.: КНОРУС, 2011. – С. 91–92, 135–154;</w:t>
      </w:r>
      <w:r>
        <w:rPr>
          <w:b w:val="0"/>
          <w:strike w:val="0"/>
          <w:sz w:val="20"/>
        </w:rPr>
        <w:t xml:space="preserve"> </w:t>
      </w:r>
      <w:r>
        <w:rPr>
          <w:b w:val="0"/>
          <w:strike w:val="0"/>
          <w:color w:val="FF0000"/>
          <w:sz w:val="20"/>
        </w:rPr>
        <w:t>Указание Банка России от 03.04.2017 № 4336-У “Об оценке экономического положения банков”. – https://www.cbr.ru;</w:t>
      </w:r>
      <w:r>
        <w:rPr>
          <w:b w:val="0"/>
          <w:strike w:val="0"/>
          <w:sz w:val="20"/>
        </w:rPr>
        <w:t xml:space="preserve"> Cargill T.F. … 2017. – P. 193; International Monetary Fund. 2019 Financial Soundness Indicators Compilation Guide …; Karaliyev T.M., Sayfiddinov I.F. … 2019. – B. 208–213.</w:t>
      </w:r>
    </w:p>
    <w:p>
      <w:pPr>
        <w:jc w:val="both"/>
      </w:pPr>
      <w:r>
        <w:rPr>
          <w:b/>
          <w:strike w:val="0"/>
        </w:rPr>
        <w:t>Jadvaldan keyingi xatboshi oxirida:</w:t>
      </w:r>
    </w:p>
    <w:p>
      <w:pPr>
        <w:jc w:val="both"/>
      </w:pPr>
      <w:r>
        <w:rPr>
          <w:b w:val="0"/>
          <w:strike w:val="0"/>
        </w:rPr>
        <w:t xml:space="preserve">… Metodikaning cheklovlarini ham qayd etish lozim: … MHXS variantida esa yuqori likvid aktivlar ulushi milliy balansdan olinadi. </w:t>
      </w:r>
      <w:r>
        <w:rPr>
          <w:b w:val="0"/>
          <w:strike/>
          <w:color w:val="7F7F7F"/>
        </w:rPr>
        <w:t>Bu cheklovlar indeksning bashorat kuchini tekshirish orqali dissertatsiyaning to‘rtinchi bobida qisman bartaraf etiladi.</w:t>
      </w:r>
      <w:r>
        <w:rPr>
          <w:b w:val="0"/>
          <w:strike w:val="0"/>
        </w:rPr>
        <w:t xml:space="preserve"> </w:t>
      </w:r>
      <w:r>
        <w:rPr>
          <w:b w:val="0"/>
          <w:strike w:val="0"/>
          <w:color w:val="FF0000"/>
        </w:rPr>
        <w:t>Bu cheklovlar 3.2-paragrafda vaznlar va sinflar chegaralarini empirik tekshirish hamda to‘rtinchi bobda indeksning bashorat kuchini baholash orqali qisman bartaraf etiladi.</w:t>
      </w:r>
    </w:p>
    <w:p>
      <w:pPr>
        <w:jc w:val="both"/>
      </w:pPr>
      <w:r>
        <w:rPr>
          <w:b w:val="0"/>
          <w:strike w:val="0"/>
          <w:color w:val="7F7F7F"/>
        </w:rPr>
        <w:t>Kulrang ustidan chizilgan – olib tashlanadi, qizil – qo‘shiladi.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