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trike w:val="0"/>
          <w:sz w:val="28"/>
        </w:rPr>
        <w:t>3.2.1-jadval (namuna)</w:t>
      </w:r>
    </w:p>
    <w:p>
      <w:pPr>
        <w:jc w:val="right"/>
      </w:pPr>
      <w:r>
        <w:rPr>
          <w:b w:val="0"/>
          <w:strike w:val="0"/>
          <w:sz w:val="24"/>
        </w:rPr>
        <w:t>3.2.1-jadval</w:t>
      </w:r>
    </w:p>
    <w:p>
      <w:pPr>
        <w:jc w:val="center"/>
      </w:pPr>
      <w:r>
        <w:rPr>
          <w:b/>
          <w:strike w:val="0"/>
          <w:sz w:val="28"/>
        </w:rPr>
        <w:t>Integral indeks vaznlarini aniqlashning empirik usullari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b/>
                <w:sz w:val="22"/>
              </w:rPr>
              <w:t>Usul</w:t>
            </w:r>
          </w:p>
        </w:tc>
        <w:tc>
          <w:tcPr>
            <w:tcW w:type="dxa" w:w="2339"/>
          </w:tcPr>
          <w:p>
            <w:r>
              <w:rPr>
                <w:b/>
                <w:sz w:val="22"/>
              </w:rPr>
              <w:t>Mazmuni</w:t>
            </w:r>
          </w:p>
        </w:tc>
        <w:tc>
          <w:tcPr>
            <w:tcW w:type="dxa" w:w="2339"/>
          </w:tcPr>
          <w:p>
            <w:r>
              <w:rPr>
                <w:b/>
                <w:sz w:val="22"/>
              </w:rPr>
              <w:t>Vazn nimani aks ettiradi</w:t>
            </w:r>
          </w:p>
        </w:tc>
        <w:tc>
          <w:tcPr>
            <w:tcW w:type="dxa" w:w="2339"/>
          </w:tcPr>
          <w:p>
            <w:r>
              <w:rPr>
                <w:b/>
                <w:sz w:val="22"/>
              </w:rPr>
              <w:t>Qo‘llangan ma’lumotlar</w:t>
            </w:r>
          </w:p>
        </w:tc>
      </w:tr>
      <w:tr>
        <w:tc>
          <w:tcPr>
            <w:tcW w:type="dxa" w:w="2339"/>
          </w:tcPr>
          <w:p>
            <w:r>
              <w:rPr>
                <w:b w:val="0"/>
                <w:sz w:val="22"/>
              </w:rPr>
              <w:t>Entropiya usuli</w:t>
            </w:r>
          </w:p>
        </w:tc>
        <w:tc>
          <w:tcPr>
            <w:tcW w:type="dxa" w:w="2339"/>
          </w:tcPr>
          <w:p>
            <w:r>
              <w:rPr>
                <w:b w:val="0"/>
                <w:color w:val="FF0000"/>
                <w:sz w:val="22"/>
              </w:rPr>
              <w:t>K. Shannon entropiyasi asosida har bir ko‘rsatkich ballarining 25 ta bank-yil kuzatuvi o‘rtasidagi tarqoqligi o‘lchanadi</w:t>
            </w:r>
          </w:p>
        </w:tc>
        <w:tc>
          <w:tcPr>
            <w:tcW w:type="dxa" w:w="2339"/>
          </w:tcPr>
          <w:p>
            <w:r>
              <w:rPr>
                <w:b w:val="0"/>
                <w:sz w:val="22"/>
              </w:rPr>
              <w:t>Banklarni bir-biridan qanchalik farqlashi</w:t>
            </w:r>
          </w:p>
        </w:tc>
        <w:tc>
          <w:tcPr>
            <w:tcW w:type="dxa" w:w="2339"/>
          </w:tcPr>
          <w:p>
            <w:r>
              <w:rPr>
                <w:b w:val="0"/>
                <w:sz w:val="22"/>
              </w:rPr>
              <w:t>5 bank, 2021–2025-yillar, 13 ko‘rsatkich (MHXS)</w:t>
            </w:r>
          </w:p>
        </w:tc>
      </w:tr>
      <w:tr>
        <w:tc>
          <w:tcPr>
            <w:tcW w:type="dxa" w:w="2339"/>
          </w:tcPr>
          <w:p>
            <w:r>
              <w:rPr>
                <w:b w:val="0"/>
                <w:sz w:val="22"/>
              </w:rPr>
              <w:t>Variatsiya koeffitsiyenti usuli</w:t>
            </w:r>
          </w:p>
        </w:tc>
        <w:tc>
          <w:tcPr>
            <w:tcW w:type="dxa" w:w="2339"/>
          </w:tcPr>
          <w:p>
            <w:r>
              <w:rPr>
                <w:b w:val="0"/>
                <w:sz w:val="22"/>
              </w:rPr>
              <w:t>Ko‘rsatkich ballarining standart chetlanishi o‘rtacha qiymatga nisbati</w:t>
            </w:r>
          </w:p>
        </w:tc>
        <w:tc>
          <w:tcPr>
            <w:tcW w:type="dxa" w:w="2339"/>
          </w:tcPr>
          <w:p>
            <w:r>
              <w:rPr>
                <w:b w:val="0"/>
                <w:sz w:val="22"/>
              </w:rPr>
              <w:t>Ko‘rsatkich qiymatlarining nisbiy o‘zgaruvchanligi</w:t>
            </w:r>
          </w:p>
        </w:tc>
        <w:tc>
          <w:tcPr>
            <w:tcW w:type="dxa" w:w="2339"/>
          </w:tcPr>
          <w:p>
            <w:r>
              <w:rPr>
                <w:b w:val="0"/>
                <w:sz w:val="22"/>
              </w:rPr>
              <w:t>5 bank, 2021–2025-yillar, 13 ko‘rsatkich (MHXS)</w:t>
            </w:r>
          </w:p>
        </w:tc>
      </w:tr>
      <w:tr>
        <w:tc>
          <w:tcPr>
            <w:tcW w:type="dxa" w:w="2339"/>
          </w:tcPr>
          <w:p>
            <w:r>
              <w:rPr>
                <w:b w:val="0"/>
                <w:sz w:val="22"/>
              </w:rPr>
              <w:t>Bosh komponentlar usuli</w:t>
            </w:r>
          </w:p>
        </w:tc>
        <w:tc>
          <w:tcPr>
            <w:tcW w:type="dxa" w:w="2339"/>
          </w:tcPr>
          <w:p>
            <w:r>
              <w:rPr>
                <w:b w:val="0"/>
                <w:sz w:val="22"/>
              </w:rPr>
              <w:t>Bloklar ballarining korrelyatsiya tuzilmasi asosida umumiy omillar ajratiladi</w:t>
            </w:r>
          </w:p>
        </w:tc>
        <w:tc>
          <w:tcPr>
            <w:tcW w:type="dxa" w:w="2339"/>
          </w:tcPr>
          <w:p>
            <w:r>
              <w:rPr>
                <w:b w:val="0"/>
                <w:sz w:val="22"/>
              </w:rPr>
              <w:t>Blokning umumiy barqarorlik omiliga hissasi</w:t>
            </w:r>
          </w:p>
        </w:tc>
        <w:tc>
          <w:tcPr>
            <w:tcW w:type="dxa" w:w="2339"/>
          </w:tcPr>
          <w:p>
            <w:r>
              <w:rPr>
                <w:b w:val="0"/>
                <w:sz w:val="22"/>
              </w:rPr>
              <w:t>5 bank, 2021–2025-yillar, 5 blok (MHXS)</w:t>
            </w:r>
          </w:p>
        </w:tc>
      </w:tr>
      <w:tr>
        <w:tc>
          <w:tcPr>
            <w:tcW w:type="dxa" w:w="2339"/>
          </w:tcPr>
          <w:p>
            <w:r>
              <w:rPr>
                <w:b w:val="0"/>
                <w:sz w:val="22"/>
              </w:rPr>
              <w:t>Logit (bashorat) usuli</w:t>
            </w:r>
          </w:p>
        </w:tc>
        <w:tc>
          <w:tcPr>
            <w:tcW w:type="dxa" w:w="2339"/>
          </w:tcPr>
          <w:p>
            <w:r>
              <w:rPr>
                <w:b w:val="0"/>
                <w:sz w:val="22"/>
              </w:rPr>
              <w:t>Muammo hodisasi ehtimoli bloklar ballariga regressiya qilinadi</w:t>
            </w:r>
          </w:p>
        </w:tc>
        <w:tc>
          <w:tcPr>
            <w:tcW w:type="dxa" w:w="2339"/>
          </w:tcPr>
          <w:p>
            <w:r>
              <w:rPr>
                <w:b w:val="0"/>
                <w:color w:val="FF0000"/>
                <w:sz w:val="22"/>
              </w:rPr>
              <w:t>Blokning muammolarni oldindan aniqlashdagi hissasi (koeffitsiyentlar modulining ulushi; kutilganiga teskari ishorali koeffitsiyentga ega blok vazni – 0)</w:t>
            </w:r>
          </w:p>
        </w:tc>
        <w:tc>
          <w:tcPr>
            <w:tcW w:type="dxa" w:w="2339"/>
          </w:tcPr>
          <w:p>
            <w:r>
              <w:rPr>
                <w:b w:val="0"/>
                <w:color w:val="FF0000"/>
                <w:sz w:val="22"/>
              </w:rPr>
              <w:t>25 bank, 2021–2024-yillar choraklik ma’lumotlari (308 kuzatuv), 8 ko‘rsatkichli panel indeksining 3 bloki (aktivlar sifati, likvidlik, daromadlilik), 4.1-paragrafdagi muammo hodisalari</w:t>
            </w:r>
          </w:p>
        </w:tc>
      </w:tr>
    </w:tbl>
    <w:p/>
    <w:p>
      <w:pPr>
        <w:jc w:val="both"/>
      </w:pPr>
      <w:r>
        <w:rPr>
          <w:b/>
          <w:strike w:val="0"/>
          <w:sz w:val="24"/>
        </w:rPr>
        <w:t>Matndagi o‘zgarishlar:</w:t>
      </w:r>
    </w:p>
    <w:p>
      <w:pPr>
        <w:jc w:val="both"/>
      </w:pPr>
      <w:r>
        <w:rPr>
          <w:b w:val="0"/>
          <w:strike w:val="0"/>
          <w:sz w:val="24"/>
        </w:rPr>
        <w:t>1) Jadvaldan keyingi xatboshida: …</w:t>
      </w:r>
      <w:r>
        <w:rPr>
          <w:b w:val="0"/>
          <w:strike w:val="0"/>
          <w:sz w:val="24"/>
        </w:rPr>
        <w:t>Logit usuli uchun 3.3-paragrafda shakllantirilgan 25 ta bank paneli qo‘llandi</w:t>
      </w:r>
      <w:r>
        <w:rPr>
          <w:b w:val="0"/>
          <w:strike w:val="0"/>
          <w:color w:val="FF0000"/>
          <w:sz w:val="24"/>
        </w:rPr>
        <w:t xml:space="preserve"> (panelning tarkibi 3.3-paragrafda, muammo hodisasining ta’rifi esa 4.1-paragrafda batafsil yoritiladi)</w:t>
      </w:r>
      <w:r>
        <w:rPr>
          <w:b w:val="0"/>
          <w:strike w:val="0"/>
          <w:sz w:val="24"/>
        </w:rPr>
        <w:t>, unda kapital bloki barcha banklarda bir xil ball olgani …</w:t>
      </w:r>
    </w:p>
    <w:p>
      <w:pPr>
        <w:jc w:val="both"/>
      </w:pPr>
      <w:r>
        <w:rPr>
          <w:b w:val="0"/>
          <w:strike w:val="0"/>
          <w:sz w:val="24"/>
        </w:rPr>
        <w:t>2) 3.2.2-jadval tahlilida: …</w:t>
      </w:r>
      <w:r>
        <w:rPr>
          <w:b w:val="0"/>
          <w:strike/>
          <w:color w:val="7F7F7F"/>
          <w:sz w:val="24"/>
        </w:rPr>
        <w:t>(0,31)</w:t>
      </w:r>
      <w:r>
        <w:rPr>
          <w:b w:val="0"/>
          <w:strike w:val="0"/>
          <w:sz w:val="24"/>
        </w:rPr>
        <w:t xml:space="preserve"> → </w:t>
      </w:r>
      <w:r>
        <w:rPr>
          <w:b w:val="0"/>
          <w:strike w:val="0"/>
          <w:color w:val="FF0000"/>
          <w:sz w:val="24"/>
        </w:rPr>
        <w:t>(0,30)</w:t>
      </w:r>
      <w:r>
        <w:rPr>
          <w:b w:val="0"/>
          <w:strike w:val="0"/>
          <w:sz w:val="24"/>
        </w:rPr>
        <w:t xml:space="preserve"> – jadvaldagi o‘rtacha bilan bir xil: (0,320 + 0,322 + 0,272) / 3 = 0,305.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