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trike w:val="0"/>
        </w:rPr>
        <w:t>3.2.3-jadval (namuna)</w:t>
      </w:r>
    </w:p>
    <w:p>
      <w:pPr>
        <w:jc w:val="both"/>
      </w:pPr>
      <w:r>
        <w:rPr>
          <w:b w:val="0"/>
          <w:strike w:val="0"/>
        </w:rPr>
        <w:t xml:space="preserve">1) Jadval birinchi ustuni sarlavhasi: </w:t>
      </w:r>
      <w:r>
        <w:rPr>
          <w:b w:val="0"/>
          <w:strike/>
          <w:color w:val="7F7F7F"/>
        </w:rPr>
        <w:t>Ko‘rsatkich</w:t>
      </w:r>
      <w:r>
        <w:rPr>
          <w:b w:val="0"/>
          <w:strike w:val="0"/>
        </w:rPr>
        <w:t xml:space="preserve"> → </w:t>
      </w:r>
      <w:r>
        <w:rPr>
          <w:b w:val="0"/>
          <w:strike w:val="0"/>
          <w:color w:val="FF0000"/>
        </w:rPr>
        <w:t>Bank / ko‘rsatkich</w:t>
      </w:r>
    </w:p>
    <w:p>
      <w:pPr>
        <w:jc w:val="both"/>
      </w:pPr>
      <w:r>
        <w:rPr>
          <w:b/>
          <w:strike w:val="0"/>
        </w:rPr>
        <w:t>2) Jadval nomidagi izoh (uzun ro‘yxat o‘rniga):</w:t>
      </w:r>
    </w:p>
    <w:p>
      <w:pPr>
        <w:jc w:val="both"/>
      </w:pPr>
      <w:r>
        <w:rPr>
          <w:b w:val="0"/>
          <w:strike w:val="0"/>
          <w:color w:val="FF0000"/>
        </w:rPr>
        <w:t>Tadqiqot natijasida muallif tomonidan “O‘zsanoatqurilishbank”, “Mikrokreditbank”, “Biznesni rivojlantirish banki”, “Xalq banki” va “Ipoteka-bank” ATBlarining 2021–2025-yillardagi MHXS bo‘yicha moliyaviy hisobotlari, “SNS” reyting agentligi bazasi va Markaziy bank statistikasi asosida hisoblandi.</w:t>
      </w:r>
    </w:p>
    <w:p>
      <w:pPr>
        <w:jc w:val="both"/>
      </w:pPr>
      <w:r>
        <w:rPr>
          <w:b/>
          <w:strike w:val="0"/>
        </w:rPr>
        <w:t>3) Jadval tahlilida:</w:t>
      </w:r>
    </w:p>
    <w:p>
      <w:pPr>
        <w:jc w:val="both"/>
      </w:pPr>
      <w:r>
        <w:rPr>
          <w:b w:val="0"/>
          <w:strike w:val="0"/>
        </w:rPr>
        <w:t xml:space="preserve">… Muammo hodisalarini bashorat qilish kuchi bo‘yicha empirik vaznlar tayanch vaznlardan </w:t>
      </w:r>
      <w:r>
        <w:rPr>
          <w:b w:val="0"/>
          <w:strike w:val="0"/>
        </w:rPr>
        <w:t>biroz ustun (</w:t>
      </w:r>
      <w:r>
        <w:rPr>
          <w:b w:val="0"/>
          <w:strike/>
          <w:color w:val="7F7F7F"/>
        </w:rPr>
        <w:t>AUC 0,864–0,907)</w:t>
      </w:r>
      <w:r>
        <w:rPr>
          <w:b w:val="0"/>
          <w:strike w:val="0"/>
        </w:rPr>
        <w:t xml:space="preserve"> </w:t>
      </w:r>
      <w:r>
        <w:rPr>
          <w:b w:val="0"/>
          <w:strike w:val="0"/>
          <w:color w:val="FF0000"/>
        </w:rPr>
        <w:t>AUC 0,865–0,907, tayanch vaznlarda – 0,864)</w:t>
      </w:r>
      <w:r>
        <w:rPr>
          <w:b w:val="0"/>
          <w:strike w:val="0"/>
        </w:rPr>
        <w:t xml:space="preserve">, biroq farq katta emas, tayanch vaznlarning bashorat kuchi esa </w:t>
      </w:r>
      <w:r>
        <w:rPr>
          <w:b w:val="0"/>
          <w:strike/>
          <w:color w:val="7F7F7F"/>
        </w:rPr>
        <w:t>bosh komponentlar usuli bilan bir xil</w:t>
      </w:r>
      <w:r>
        <w:rPr>
          <w:b w:val="0"/>
          <w:strike w:val="0"/>
        </w:rPr>
        <w:t xml:space="preserve"> </w:t>
      </w:r>
      <w:r>
        <w:rPr>
          <w:b w:val="0"/>
          <w:strike w:val="0"/>
          <w:color w:val="FF0000"/>
        </w:rPr>
        <w:t>bosh komponentlar usuli bilan deyarli bir xil</w:t>
      </w:r>
      <w:r>
        <w:rPr>
          <w:b w:val="0"/>
          <w:strike w:val="0"/>
        </w:rPr>
        <w:t>. …</w:t>
      </w:r>
    </w:p>
    <w:p>
      <w:pPr>
        <w:jc w:val="both"/>
      </w:pPr>
      <w:r>
        <w:rPr>
          <w:b w:val="0"/>
          <w:strike w:val="0"/>
        </w:rPr>
        <w:t xml:space="preserve">… atigi 0,007 ga yuqori, </w:t>
      </w:r>
      <w:r>
        <w:rPr>
          <w:b w:val="0"/>
          <w:strike w:val="0"/>
        </w:rPr>
        <w:t>ya’ni vaznlarni empirik usulda almashtirish bashorat kuchini sezilarli oshirmaydi.</w:t>
      </w:r>
      <w:r>
        <w:rPr>
          <w:b w:val="0"/>
          <w:strike w:val="0"/>
          <w:color w:val="FF0000"/>
        </w:rPr>
        <w:t xml:space="preserve"> Logit usulining nisbatan yuqori AUC qiymati (0,907) esa qisman uning vaznlari aynan shu panel ma’lumotlari va muammo hodisalari asosida baholangani bilan izohlanadi, shu sababli bu ustunlik tanlanmadan tashqari tekshiruvni talab qiladi.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