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4.2.1-rasm – tuzatilgan ko‘rinish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240000"/>
            <wp:effectExtent l="0" t="0" r="0" b="0"/>
            <wp:docPr id="1001" name="4.2.1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4.2.1-rasm. Bank tizimida muammoli kreditlar ulushining haqiqiy dinamikasi (2021–2025-yillar) va ssenariylar bo‘yicha prognozi (2026–2028-yillar), %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Haqiqiy (2021–2025)</c:v>
                </c:pt>
              </c:strCache>
            </c:strRef>
          </c:tx>
          <c:spPr>
            <a:ln w="28575">
              <a:solidFill>
                <a:srgbClr val="000000"/>
              </a:solidFill>
            </a:ln>
          </c:spPr>
          <c:marker>
            <c:symbol val="circle"/>
            <c:size val="5"/>
            <c:spPr>
              <a:solidFill>
                <a:srgbClr val="000000"/>
              </a:solidFill>
              <a:ln>
                <a:noFill/>
              </a:ln>
            </c:spPr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delete val="1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delete val="1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0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Sheet1!$A$2:$A$33</c:f>
              <c:numCache>
                <c:formatCode>General</c:formatCode>
                <c:ptCount val="32"/>
                <c:pt idx="0">
                  <c:v>2020.25</c:v>
                </c:pt>
                <c:pt idx="1">
                  <c:v>2020.5</c:v>
                </c:pt>
                <c:pt idx="2">
                  <c:v>2020.75</c:v>
                </c:pt>
                <c:pt idx="3">
                  <c:v>2021</c:v>
                </c:pt>
                <c:pt idx="4">
                  <c:v>2021.25</c:v>
                </c:pt>
                <c:pt idx="5">
                  <c:v>2021.5</c:v>
                </c:pt>
                <c:pt idx="6">
                  <c:v>2021.75</c:v>
                </c:pt>
                <c:pt idx="7">
                  <c:v>2022</c:v>
                </c:pt>
                <c:pt idx="8">
                  <c:v>2022.25</c:v>
                </c:pt>
                <c:pt idx="9">
                  <c:v>2022.5</c:v>
                </c:pt>
                <c:pt idx="10">
                  <c:v>2022.75</c:v>
                </c:pt>
                <c:pt idx="11">
                  <c:v>2023</c:v>
                </c:pt>
                <c:pt idx="12">
                  <c:v>2023.25</c:v>
                </c:pt>
                <c:pt idx="13">
                  <c:v>2023.5</c:v>
                </c:pt>
                <c:pt idx="14">
                  <c:v>2023.75</c:v>
                </c:pt>
                <c:pt idx="15">
                  <c:v>2024</c:v>
                </c:pt>
                <c:pt idx="16">
                  <c:v>2024.25</c:v>
                </c:pt>
                <c:pt idx="17">
                  <c:v>2024.5</c:v>
                </c:pt>
                <c:pt idx="18">
                  <c:v>2024.75</c:v>
                </c:pt>
                <c:pt idx="19">
                  <c:v>2025</c:v>
                </c:pt>
              </c:numCache>
            </c:numRef>
          </c:xVal>
          <c:yVal>
            <c:numRef>
              <c:f>Sheet1!$B$2:$B$33</c:f>
              <c:numCache>
                <c:formatCode>General</c:formatCode>
                <c:ptCount val="32"/>
                <c:pt idx="0">
                  <c:v>3.54</c:v>
                </c:pt>
                <c:pt idx="1">
                  <c:v>5.51</c:v>
                </c:pt>
                <c:pt idx="2">
                  <c:v>5.74</c:v>
                </c:pt>
                <c:pt idx="3">
                  <c:v>5.2</c:v>
                </c:pt>
                <c:pt idx="4">
                  <c:v>4.95</c:v>
                </c:pt>
                <c:pt idx="5">
                  <c:v>4.8899999999999997</c:v>
                </c:pt>
                <c:pt idx="6">
                  <c:v>4.72</c:v>
                </c:pt>
                <c:pt idx="7">
                  <c:v>3.59</c:v>
                </c:pt>
                <c:pt idx="8">
                  <c:v>3.51</c:v>
                </c:pt>
                <c:pt idx="9">
                  <c:v>3.38</c:v>
                </c:pt>
                <c:pt idx="10">
                  <c:v>3.73</c:v>
                </c:pt>
                <c:pt idx="11">
                  <c:v>3.53</c:v>
                </c:pt>
                <c:pt idx="12">
                  <c:v>4.5199999999999996</c:v>
                </c:pt>
                <c:pt idx="13">
                  <c:v>4.05</c:v>
                </c:pt>
                <c:pt idx="14">
                  <c:v>4.18</c:v>
                </c:pt>
                <c:pt idx="15">
                  <c:v>3.97</c:v>
                </c:pt>
                <c:pt idx="16">
                  <c:v>4.26</c:v>
                </c:pt>
                <c:pt idx="17">
                  <c:v>3.8</c:v>
                </c:pt>
                <c:pt idx="18">
                  <c:v>3.65</c:v>
                </c:pt>
                <c:pt idx="19">
                  <c:v>2.99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B-2E28-42F6-8C6E-2438EE1B80B0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Asosiy ssenariy</c:v>
                </c:pt>
              </c:strCache>
            </c:strRef>
          </c:tx>
          <c:spPr>
            <a:ln w="22225">
              <a:solidFill>
                <a:srgbClr val="2A78D6"/>
              </a:solidFill>
              <a:prstDash val="dash"/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Sheet1!$C$2:$C$33</c:f>
              <c:numCache>
                <c:formatCode>General</c:formatCode>
                <c:ptCount val="32"/>
                <c:pt idx="0">
                  <c:v>2025</c:v>
                </c:pt>
                <c:pt idx="1">
                  <c:v>2025.25</c:v>
                </c:pt>
                <c:pt idx="2">
                  <c:v>2025.5</c:v>
                </c:pt>
                <c:pt idx="3">
                  <c:v>2025.75</c:v>
                </c:pt>
                <c:pt idx="4">
                  <c:v>2026</c:v>
                </c:pt>
                <c:pt idx="5">
                  <c:v>2026.25</c:v>
                </c:pt>
                <c:pt idx="6">
                  <c:v>2026.5</c:v>
                </c:pt>
                <c:pt idx="7">
                  <c:v>2026.75</c:v>
                </c:pt>
                <c:pt idx="8">
                  <c:v>2027</c:v>
                </c:pt>
                <c:pt idx="9">
                  <c:v>2027.25</c:v>
                </c:pt>
                <c:pt idx="10">
                  <c:v>2027.5</c:v>
                </c:pt>
                <c:pt idx="11">
                  <c:v>2027.75</c:v>
                </c:pt>
                <c:pt idx="12">
                  <c:v>2028</c:v>
                </c:pt>
              </c:numCache>
            </c:numRef>
          </c:xVal>
          <c:yVal>
            <c:numRef>
              <c:f>Sheet1!$D$2:$D$33</c:f>
              <c:numCache>
                <c:formatCode>General</c:formatCode>
                <c:ptCount val="32"/>
                <c:pt idx="0">
                  <c:v>2.99</c:v>
                </c:pt>
                <c:pt idx="1">
                  <c:v>3.13</c:v>
                </c:pt>
                <c:pt idx="2">
                  <c:v>3.13</c:v>
                </c:pt>
                <c:pt idx="3">
                  <c:v>3.08</c:v>
                </c:pt>
                <c:pt idx="4">
                  <c:v>3.03</c:v>
                </c:pt>
                <c:pt idx="5">
                  <c:v>3.13</c:v>
                </c:pt>
                <c:pt idx="6">
                  <c:v>3.18</c:v>
                </c:pt>
                <c:pt idx="7">
                  <c:v>3.2</c:v>
                </c:pt>
                <c:pt idx="8">
                  <c:v>3.22</c:v>
                </c:pt>
                <c:pt idx="9">
                  <c:v>3.22</c:v>
                </c:pt>
                <c:pt idx="10">
                  <c:v>3.23</c:v>
                </c:pt>
                <c:pt idx="11">
                  <c:v>3.23</c:v>
                </c:pt>
                <c:pt idx="12">
                  <c:v>3.23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3B-2E28-42F6-8C6E-2438EE1B80B0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Ijobiy ssenariy</c:v>
                </c:pt>
              </c:strCache>
            </c:strRef>
          </c:tx>
          <c:spPr>
            <a:ln w="22225">
              <a:solidFill>
                <a:srgbClr val="70AD47"/>
              </a:solidFill>
              <a:prstDash val="dash"/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Sheet1!$E$2:$E$33</c:f>
              <c:numCache>
                <c:formatCode>General</c:formatCode>
                <c:ptCount val="32"/>
                <c:pt idx="0">
                  <c:v>2025</c:v>
                </c:pt>
                <c:pt idx="1">
                  <c:v>2025.25</c:v>
                </c:pt>
                <c:pt idx="2">
                  <c:v>2025.5</c:v>
                </c:pt>
                <c:pt idx="3">
                  <c:v>2025.75</c:v>
                </c:pt>
                <c:pt idx="4">
                  <c:v>2026</c:v>
                </c:pt>
                <c:pt idx="5">
                  <c:v>2026.25</c:v>
                </c:pt>
                <c:pt idx="6">
                  <c:v>2026.5</c:v>
                </c:pt>
                <c:pt idx="7">
                  <c:v>2026.75</c:v>
                </c:pt>
                <c:pt idx="8">
                  <c:v>2027</c:v>
                </c:pt>
                <c:pt idx="9">
                  <c:v>2027.25</c:v>
                </c:pt>
                <c:pt idx="10">
                  <c:v>2027.5</c:v>
                </c:pt>
                <c:pt idx="11">
                  <c:v>2027.75</c:v>
                </c:pt>
                <c:pt idx="12">
                  <c:v>2028</c:v>
                </c:pt>
              </c:numCache>
            </c:numRef>
          </c:xVal>
          <c:yVal>
            <c:numRef>
              <c:f>Sheet1!$F$2:$F$33</c:f>
              <c:numCache>
                <c:formatCode>General</c:formatCode>
                <c:ptCount val="32"/>
                <c:pt idx="0">
                  <c:v>2.99</c:v>
                </c:pt>
                <c:pt idx="1">
                  <c:v>3.13</c:v>
                </c:pt>
                <c:pt idx="2">
                  <c:v>3.13</c:v>
                </c:pt>
                <c:pt idx="3">
                  <c:v>3.08</c:v>
                </c:pt>
                <c:pt idx="4">
                  <c:v>3.03</c:v>
                </c:pt>
                <c:pt idx="5">
                  <c:v>2.96</c:v>
                </c:pt>
                <c:pt idx="6">
                  <c:v>2.93</c:v>
                </c:pt>
                <c:pt idx="7">
                  <c:v>2.92</c:v>
                </c:pt>
                <c:pt idx="8">
                  <c:v>2.91</c:v>
                </c:pt>
                <c:pt idx="9">
                  <c:v>2.9</c:v>
                </c:pt>
                <c:pt idx="10">
                  <c:v>2.9</c:v>
                </c:pt>
                <c:pt idx="11">
                  <c:v>2.9</c:v>
                </c:pt>
                <c:pt idx="12">
                  <c:v>2.9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5B-2E28-42F6-8C6E-2438EE1B80B0}"/>
            </c:ext>
          </c:extLst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Salbiy ssenariy</c:v>
                </c:pt>
              </c:strCache>
            </c:strRef>
          </c:tx>
          <c:spPr>
            <a:ln w="22225">
              <a:solidFill>
                <a:srgbClr val="FFC000"/>
              </a:solidFill>
              <a:prstDash val="dash"/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FFC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FFC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Sheet1!$G$2:$G$33</c:f>
              <c:numCache>
                <c:formatCode>General</c:formatCode>
                <c:ptCount val="32"/>
                <c:pt idx="0">
                  <c:v>2025</c:v>
                </c:pt>
                <c:pt idx="1">
                  <c:v>2025.25</c:v>
                </c:pt>
                <c:pt idx="2">
                  <c:v>2025.5</c:v>
                </c:pt>
                <c:pt idx="3">
                  <c:v>2025.75</c:v>
                </c:pt>
                <c:pt idx="4">
                  <c:v>2026</c:v>
                </c:pt>
                <c:pt idx="5">
                  <c:v>2026.25</c:v>
                </c:pt>
                <c:pt idx="6">
                  <c:v>2026.5</c:v>
                </c:pt>
                <c:pt idx="7">
                  <c:v>2026.75</c:v>
                </c:pt>
                <c:pt idx="8">
                  <c:v>2027</c:v>
                </c:pt>
                <c:pt idx="9">
                  <c:v>2027.25</c:v>
                </c:pt>
                <c:pt idx="10">
                  <c:v>2027.5</c:v>
                </c:pt>
                <c:pt idx="11">
                  <c:v>2027.75</c:v>
                </c:pt>
                <c:pt idx="12">
                  <c:v>2028</c:v>
                </c:pt>
              </c:numCache>
            </c:numRef>
          </c:xVal>
          <c:yVal>
            <c:numRef>
              <c:f>Sheet1!$H$2:$H$33</c:f>
              <c:numCache>
                <c:formatCode>General</c:formatCode>
                <c:ptCount val="32"/>
                <c:pt idx="0">
                  <c:v>2.99</c:v>
                </c:pt>
                <c:pt idx="1">
                  <c:v>3.13</c:v>
                </c:pt>
                <c:pt idx="2">
                  <c:v>3.13</c:v>
                </c:pt>
                <c:pt idx="3">
                  <c:v>3.08</c:v>
                </c:pt>
                <c:pt idx="4">
                  <c:v>3.03</c:v>
                </c:pt>
                <c:pt idx="5">
                  <c:v>3.49</c:v>
                </c:pt>
                <c:pt idx="6">
                  <c:v>3.72</c:v>
                </c:pt>
                <c:pt idx="7">
                  <c:v>3.84</c:v>
                </c:pt>
                <c:pt idx="8">
                  <c:v>3.89</c:v>
                </c:pt>
                <c:pt idx="9">
                  <c:v>3.77</c:v>
                </c:pt>
                <c:pt idx="10">
                  <c:v>3.71</c:v>
                </c:pt>
                <c:pt idx="11">
                  <c:v>3.68</c:v>
                </c:pt>
                <c:pt idx="12">
                  <c:v>3.66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7B-2E28-42F6-8C6E-2438EE1B80B0}"/>
            </c:ext>
          </c:extLst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Keskin salbiy ssenariy</c:v>
                </c:pt>
              </c:strCache>
            </c:strRef>
          </c:tx>
          <c:spPr>
            <a:ln w="22225">
              <a:solidFill>
                <a:srgbClr val="C00000"/>
              </a:solidFill>
              <a:prstDash val="dash"/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C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numFmt formatCode="0.00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C00000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Sheet1!$I$2:$I$33</c:f>
              <c:numCache>
                <c:formatCode>General</c:formatCode>
                <c:ptCount val="32"/>
                <c:pt idx="0">
                  <c:v>2025</c:v>
                </c:pt>
                <c:pt idx="1">
                  <c:v>2025.25</c:v>
                </c:pt>
                <c:pt idx="2">
                  <c:v>2025.5</c:v>
                </c:pt>
                <c:pt idx="3">
                  <c:v>2025.75</c:v>
                </c:pt>
                <c:pt idx="4">
                  <c:v>2026</c:v>
                </c:pt>
                <c:pt idx="5">
                  <c:v>2026.25</c:v>
                </c:pt>
                <c:pt idx="6">
                  <c:v>2026.5</c:v>
                </c:pt>
                <c:pt idx="7">
                  <c:v>2026.75</c:v>
                </c:pt>
                <c:pt idx="8">
                  <c:v>2027</c:v>
                </c:pt>
                <c:pt idx="9">
                  <c:v>2027.25</c:v>
                </c:pt>
                <c:pt idx="10">
                  <c:v>2027.5</c:v>
                </c:pt>
                <c:pt idx="11">
                  <c:v>2027.75</c:v>
                </c:pt>
                <c:pt idx="12">
                  <c:v>2028</c:v>
                </c:pt>
              </c:numCache>
            </c:numRef>
          </c:xVal>
          <c:yVal>
            <c:numRef>
              <c:f>Sheet1!$J$2:$J$33</c:f>
              <c:numCache>
                <c:formatCode>General</c:formatCode>
                <c:ptCount val="32"/>
                <c:pt idx="0">
                  <c:v>2.99</c:v>
                </c:pt>
                <c:pt idx="1">
                  <c:v>3.13</c:v>
                </c:pt>
                <c:pt idx="2">
                  <c:v>3.13</c:v>
                </c:pt>
                <c:pt idx="3">
                  <c:v>3.08</c:v>
                </c:pt>
                <c:pt idx="4">
                  <c:v>3.03</c:v>
                </c:pt>
                <c:pt idx="5">
                  <c:v>3.93</c:v>
                </c:pt>
                <c:pt idx="6">
                  <c:v>4.38</c:v>
                </c:pt>
                <c:pt idx="7">
                  <c:v>4.5999999999999996</c:v>
                </c:pt>
                <c:pt idx="8">
                  <c:v>4.71</c:v>
                </c:pt>
                <c:pt idx="9">
                  <c:v>4.17</c:v>
                </c:pt>
                <c:pt idx="10">
                  <c:v>3.91</c:v>
                </c:pt>
                <c:pt idx="11">
                  <c:v>3.77</c:v>
                </c:pt>
                <c:pt idx="12">
                  <c:v>3.71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9B-2E28-42F6-8C6E-2438EE1B80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3"/>
        <c:axId val="444"/>
      </c:scatterChart>
      <c:valAx>
        <c:axId val="333"/>
        <c:scaling>
          <c:orientation val="minMax"/>
          <c:max val="2028.6"/>
          <c:min val="2020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Yillar</a:t>
                </a:r>
              </a:p>
            </c:rich>
          </c:tx>
          <c:overlay val="0"/>
        </c:title>
        <c:numFmt formatCode="[&lt;2020.5]&quot;&quot;;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6"/>
          <c:min val="2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Muammoli kreditlar ulushi, %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333"/>
        <c:crosses val="autoZero"/>
        <c:crossBetween val="midCat"/>
        <c:majorUnit val="1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