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jc w:val="center"/>
      </w:pPr>
      <w:r>
        <w:rPr>
          <w:b/>
        </w:rPr>
        <w:t>4.2-§ uchun tijorat banklari darajasidagi prognoz (namuna)</w:t>
      </w:r>
    </w:p>
    <w:p>
      <w:pPr>
        <w:keepNext w:val="0"/>
        <w:jc w:val="both"/>
      </w:pPr>
      <w:r>
        <w:rPr>
          <w:b/>
        </w:rPr>
        <w:t>1. Uch bank bo‘yicha prognoz rasmi (4.2.3-rasmdan keyin, yangi 4.2.4-rasm)</w:t>
      </w:r>
    </w:p>
    <w:p>
      <w:pPr>
        <w:keepNext w:val="0"/>
        <w:ind w:firstLine="709"/>
        <w:jc w:val="both"/>
      </w:pPr>
      <w:r>
        <w:rPr>
          <w:b w:val="0"/>
        </w:rPr>
        <w:t>Tizim darajasidagi prognoz har bir tijorat bankiga qo‘llanilganda, ssenariylarning ta’siri banklar kesimida turlicha namoyon bo‘ladi. Ikkinchi bobda batafsil tahlil qilingan uch bank bo‘yicha natijalar 4.2.4-rasmda keltirilgan.</w:t>
      </w:r>
    </w:p>
    <w:p>
      <w:pPr>
        <w:keepNext/>
        <w:spacing w:line="240" w:lineRule="auto"/>
        <w:jc w:val="center"/>
      </w:pPr>
      <w:r>
        <w:rPr>
          <w:b/>
          <w:sz w:val="24"/>
        </w:rPr>
        <w:t>a) “O‘zsanoatqurilishbank” ATB</w:t>
      </w:r>
    </w:p>
    <w:p>
      <w:pPr>
        <w:keepNext/>
        <w:jc w:val="center"/>
      </w:pPr>
      <w:r xmlns:a="http://schemas.openxmlformats.org/drawingml/2006/main" xmlns:c="http://schemas.openxmlformats.org/drawingml/2006/chart">
        <w:rPr>
          <w:noProof/>
        </w:rPr>
        <w:drawing>
          <wp:inline distT="0" distB="0" distL="0" distR="0">
            <wp:extent cx="5760000" cy="2304000"/>
            <wp:effectExtent l="0" t="0" r="0" b="0"/>
            <wp:docPr id="1001" name="4.2.4-rasm 0"/>
            <wp:cNvGraphicFramePr/>
            <a:graphic>
              <a:graphicData uri="http://schemas.openxmlformats.org/drawingml/2006/chart">
                <c:chart r:id="rId9"/>
              </a:graphicData>
            </a:graphic>
          </wp:inline>
        </w:drawing>
      </w:r>
    </w:p>
    <w:p>
      <w:pPr>
        <w:keepNext/>
        <w:spacing w:line="240" w:lineRule="auto"/>
        <w:jc w:val="center"/>
      </w:pPr>
      <w:r>
        <w:rPr>
          <w:b/>
          <w:sz w:val="24"/>
        </w:rPr>
        <w:t>b) “Mikrokreditbank” ATB</w:t>
      </w:r>
    </w:p>
    <w:p>
      <w:pPr>
        <w:keepNext/>
        <w:jc w:val="center"/>
      </w:pPr>
      <w:r xmlns:a="http://schemas.openxmlformats.org/drawingml/2006/main" xmlns:c="http://schemas.openxmlformats.org/drawingml/2006/chart">
        <w:rPr>
          <w:noProof/>
        </w:rPr>
        <w:drawing>
          <wp:inline distT="0" distB="0" distL="0" distR="0">
            <wp:extent cx="5760000" cy="2304000"/>
            <wp:effectExtent l="0" t="0" r="0" b="0"/>
            <wp:docPr id="1002" name="4.2.4-rasm 1"/>
            <wp:cNvGraphicFramePr/>
            <a:graphic>
              <a:graphicData uri="http://schemas.openxmlformats.org/drawingml/2006/chart">
                <c:chart r:id="rId10"/>
              </a:graphicData>
            </a:graphic>
          </wp:inline>
        </w:drawing>
      </w:r>
    </w:p>
    <w:p>
      <w:pPr>
        <w:keepNext/>
        <w:spacing w:line="240" w:lineRule="auto"/>
        <w:jc w:val="center"/>
      </w:pPr>
      <w:r>
        <w:rPr>
          <w:b/>
          <w:sz w:val="24"/>
        </w:rPr>
        <w:t>v) “Aloqabank” ATB</w:t>
      </w:r>
    </w:p>
    <w:p>
      <w:pPr>
        <w:keepNext/>
        <w:jc w:val="center"/>
      </w:pPr>
      <w:r xmlns:a="http://schemas.openxmlformats.org/drawingml/2006/main" xmlns:c="http://schemas.openxmlformats.org/drawingml/2006/chart">
        <w:rPr>
          <w:noProof/>
        </w:rPr>
        <w:drawing>
          <wp:inline distT="0" distB="0" distL="0" distR="0">
            <wp:extent cx="5760000" cy="2880000"/>
            <wp:effectExtent l="0" t="0" r="0" b="0"/>
            <wp:docPr id="1003" name="4.2.4-rasm 2"/>
            <wp:cNvGraphicFramePr/>
            <a:graphic>
              <a:graphicData uri="http://schemas.openxmlformats.org/drawingml/2006/chart">
                <c:chart r:id="rId11"/>
              </a:graphicData>
            </a:graphic>
          </wp:inline>
        </w:drawing>
      </w:r>
    </w:p>
    <w:p>
      <w:pPr>
        <w:keepNext w:val="0"/>
        <w:jc w:val="center"/>
      </w:pPr>
      <w:r>
        <w:rPr>
          <w:b/>
        </w:rPr>
        <w:t>4.2.4-rasm. Tanlangan tijorat banklarida muammoli kreditlar ulushining haqiqiy dinamikasi (2021–2025-yillar) va ssenariylar bo‘yicha prognozi (2026–2028-yillar), %</w:t>
      </w:r>
    </w:p>
    <w:p>
      <w:pPr>
        <w:keepNext w:val="0"/>
        <w:spacing w:line="240" w:lineRule="auto"/>
        <w:jc w:val="both"/>
      </w:pPr>
      <w:r>
        <w:rPr>
          <w:b w:val="0"/>
          <w:sz w:val="24"/>
        </w:rPr>
        <w:t>Izoh: haqiqiy qiymatlar – choraklik, milliy hisobot; prognoz – tizim modeli bo‘yicha og‘ishning bankning 2025-yil IV choragidagi ulushiga proporsional taqsimlanishi.</w:t>
      </w:r>
    </w:p>
    <w:p>
      <w:pPr>
        <w:keepNext w:val="0"/>
        <w:ind w:firstLine="709"/>
        <w:jc w:val="both"/>
      </w:pPr>
      <w:r>
        <w:rPr>
          <w:b w:val="0"/>
        </w:rPr>
        <w:t>Rasmdan ko‘rinib turibdiki, “O‘zsanoatqurilishbank” va “Aloqabank” ATBlarda muammoli kreditlar ulushi 2025-yil oxirida deyarli bir xil (2,53 va 2,54 foiz) bo‘lib, keskin salbiy ssenariyda 2027-yil oxirida 3,99–4,00 foizgacha oshadi, ya’ni 5 foizlik erta ogohlantirish chegarasidan past qoladi. “Mikrokreditbank” ATB da esa ulush 2025-yilning o‘zida 4,41 foizni tashkil etib, salbiy ssenariyda 5,74 foizga, keskin salbiy ssenariyda 6,95 foizga yetadi va chegaradan sezilarli oshadi. Asosiy va ijobiy ssenariylarda esa uch bankning birortasida ham ulush 5 foizdan oshmaydi. Demak, bir xil makroiqtisodiy shok kredit portfeli sifati past bo‘lgan bankda ancha kuchli ta’sir ko‘rsatadi.</w:t>
      </w:r>
    </w:p>
    <w:p>
      <w:pPr>
        <w:keepNext w:val="0"/>
        <w:jc w:val="both"/>
      </w:pPr>
      <w:r>
        <w:rPr>
          <w:b/>
        </w:rPr>
        <w:t>2. Bank darajasidagi model bilan tekshiruv (4.2.4-jadvaldan keyin)</w:t>
      </w:r>
    </w:p>
    <w:p>
      <w:pPr>
        <w:keepNext w:val="0"/>
        <w:ind w:firstLine="709"/>
        <w:jc w:val="both"/>
      </w:pPr>
      <w:r>
        <w:rPr>
          <w:b w:val="0"/>
        </w:rPr>
        <w:t>Prognoz natijalari tanlangan usulga bog‘liq emasligini tekshirish uchun muammoli kreditlar ulushi har bir bank uchun bevosita 4.2.2-jadvaldagi 2-model (25 ta bank paneli) asosida ham prognoz qilindi. Bu modelda YaIM o‘sishining ta’siri o‘sha chorakning o‘zida namoyon bo‘ladi va barcha banklarda bir xil foiz punktga teng bo‘ladi, asosiy usulda esa tizim bo‘yicha og‘ish to‘rt chorakdan keyin namoyon bo‘lib, banklarga ularning ulushiga proporsional taqsimlanadi. Natijalar 4.2.5-jadvalda keltirilgan.</w:t>
      </w:r>
    </w:p>
    <w:p>
      <w:pPr>
        <w:keepNext w:val="0"/>
        <w:spacing w:line="240" w:lineRule="auto"/>
        <w:jc w:val="center"/>
      </w:pPr>
      <w:r>
        <w:rPr>
          <w:b/>
          <w:sz w:val="24"/>
        </w:rPr>
        <w:t>4.2.5-jadval. Bank darajasidagi prognozning ikki usul bo‘yicha natijalari: salbiy va keskin salbiy ssenariylar</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28"/>
          </w:tcPr>
          <w:p>
            <w:pPr>
              <w:spacing w:line="240" w:lineRule="auto"/>
              <w:jc w:val="center"/>
            </w:pPr>
            <w:r>
              <w:rPr>
                <w:b/>
                <w:sz w:val="22"/>
              </w:rPr>
              <w:t>Ssenariy, yil</w:t>
            </w:r>
          </w:p>
        </w:tc>
        <w:tc>
          <w:tcPr>
            <w:tcW w:type="dxa" w:w="2608"/>
          </w:tcPr>
          <w:p>
            <w:pPr>
              <w:spacing w:line="240" w:lineRule="auto"/>
              <w:jc w:val="center"/>
            </w:pPr>
            <w:r>
              <w:rPr>
                <w:b/>
                <w:sz w:val="22"/>
              </w:rPr>
              <w:t>Muammoli kreditlar ulushi (25 bank, o‘rtacha tortilgan), %: asosiy usul / bank modeli</w:t>
            </w:r>
          </w:p>
        </w:tc>
        <w:tc>
          <w:tcPr>
            <w:tcW w:type="dxa" w:w="2041"/>
          </w:tcPr>
          <w:p>
            <w:pPr>
              <w:spacing w:line="240" w:lineRule="auto"/>
              <w:jc w:val="center"/>
            </w:pPr>
            <w:r>
              <w:rPr>
                <w:b/>
                <w:sz w:val="22"/>
              </w:rPr>
              <w:t>Qizil zonadagi banklar soni: asosiy usul / bank modeli</w:t>
            </w:r>
          </w:p>
        </w:tc>
        <w:tc>
          <w:tcPr>
            <w:tcW w:type="dxa" w:w="2494"/>
          </w:tcPr>
          <w:p>
            <w:pPr>
              <w:spacing w:line="240" w:lineRule="auto"/>
              <w:jc w:val="center"/>
            </w:pPr>
            <w:r>
              <w:rPr>
                <w:b/>
                <w:sz w:val="22"/>
              </w:rPr>
              <w:t>Qizil zonadagi banklar aktivlari ulushi, %: asosiy usul / bank modeli</w:t>
            </w:r>
          </w:p>
        </w:tc>
      </w:tr>
      <w:tr>
        <w:tc>
          <w:tcPr>
            <w:tcW w:type="dxa" w:w="1928"/>
          </w:tcPr>
          <w:p>
            <w:pPr>
              <w:spacing w:line="240" w:lineRule="auto"/>
              <w:jc w:val="left"/>
            </w:pPr>
            <w:r>
              <w:rPr>
                <w:b w:val="0"/>
                <w:sz w:val="22"/>
              </w:rPr>
              <w:t>Salbiy, 2026</w:t>
            </w:r>
          </w:p>
        </w:tc>
        <w:tc>
          <w:tcPr>
            <w:tcW w:type="dxa" w:w="2608"/>
          </w:tcPr>
          <w:p>
            <w:pPr>
              <w:spacing w:line="240" w:lineRule="auto"/>
              <w:jc w:val="center"/>
            </w:pPr>
            <w:r>
              <w:rPr>
                <w:b w:val="0"/>
                <w:sz w:val="22"/>
              </w:rPr>
              <w:t>2,98 / 4,15</w:t>
            </w:r>
          </w:p>
        </w:tc>
        <w:tc>
          <w:tcPr>
            <w:tcW w:type="dxa" w:w="2041"/>
          </w:tcPr>
          <w:p>
            <w:pPr>
              <w:spacing w:line="240" w:lineRule="auto"/>
              <w:jc w:val="center"/>
            </w:pPr>
            <w:r>
              <w:rPr>
                <w:b w:val="0"/>
                <w:sz w:val="22"/>
              </w:rPr>
              <w:t>0 / 2</w:t>
            </w:r>
          </w:p>
        </w:tc>
        <w:tc>
          <w:tcPr>
            <w:tcW w:type="dxa" w:w="2494"/>
          </w:tcPr>
          <w:p>
            <w:pPr>
              <w:spacing w:line="240" w:lineRule="auto"/>
              <w:jc w:val="center"/>
            </w:pPr>
            <w:r>
              <w:rPr>
                <w:b w:val="0"/>
                <w:sz w:val="22"/>
              </w:rPr>
              <w:t>0,0 / 5,9</w:t>
            </w:r>
          </w:p>
        </w:tc>
      </w:tr>
      <w:tr>
        <w:tc>
          <w:tcPr>
            <w:tcW w:type="dxa" w:w="1928"/>
          </w:tcPr>
          <w:p>
            <w:pPr>
              <w:spacing w:line="240" w:lineRule="auto"/>
              <w:jc w:val="left"/>
            </w:pPr>
            <w:r>
              <w:rPr>
                <w:b w:val="0"/>
                <w:sz w:val="22"/>
              </w:rPr>
              <w:t>Salbiy, 2027</w:t>
            </w:r>
          </w:p>
        </w:tc>
        <w:tc>
          <w:tcPr>
            <w:tcW w:type="dxa" w:w="2608"/>
          </w:tcPr>
          <w:p>
            <w:pPr>
              <w:spacing w:line="240" w:lineRule="auto"/>
              <w:jc w:val="center"/>
            </w:pPr>
            <w:r>
              <w:rPr>
                <w:b w:val="0"/>
                <w:sz w:val="22"/>
              </w:rPr>
              <w:t>3,82 / 4,03</w:t>
            </w:r>
          </w:p>
        </w:tc>
        <w:tc>
          <w:tcPr>
            <w:tcW w:type="dxa" w:w="2041"/>
          </w:tcPr>
          <w:p>
            <w:pPr>
              <w:spacing w:line="240" w:lineRule="auto"/>
              <w:jc w:val="center"/>
            </w:pPr>
            <w:r>
              <w:rPr>
                <w:b w:val="0"/>
                <w:sz w:val="22"/>
              </w:rPr>
              <w:t>2 / 2</w:t>
            </w:r>
          </w:p>
        </w:tc>
        <w:tc>
          <w:tcPr>
            <w:tcW w:type="dxa" w:w="2494"/>
          </w:tcPr>
          <w:p>
            <w:pPr>
              <w:spacing w:line="240" w:lineRule="auto"/>
              <w:jc w:val="center"/>
            </w:pPr>
            <w:r>
              <w:rPr>
                <w:b w:val="0"/>
                <w:sz w:val="22"/>
              </w:rPr>
              <w:t>5,9 / 5,9</w:t>
            </w:r>
          </w:p>
        </w:tc>
      </w:tr>
      <w:tr>
        <w:tc>
          <w:tcPr>
            <w:tcW w:type="dxa" w:w="1928"/>
          </w:tcPr>
          <w:p>
            <w:pPr>
              <w:spacing w:line="240" w:lineRule="auto"/>
              <w:jc w:val="left"/>
            </w:pPr>
            <w:r>
              <w:rPr>
                <w:b w:val="0"/>
                <w:sz w:val="22"/>
              </w:rPr>
              <w:t>Salbiy, 2028</w:t>
            </w:r>
          </w:p>
        </w:tc>
        <w:tc>
          <w:tcPr>
            <w:tcW w:type="dxa" w:w="2608"/>
          </w:tcPr>
          <w:p>
            <w:pPr>
              <w:spacing w:line="240" w:lineRule="auto"/>
              <w:jc w:val="center"/>
            </w:pPr>
            <w:r>
              <w:rPr>
                <w:b w:val="0"/>
                <w:sz w:val="22"/>
              </w:rPr>
              <w:t>3,60 / 3,48</w:t>
            </w:r>
          </w:p>
        </w:tc>
        <w:tc>
          <w:tcPr>
            <w:tcW w:type="dxa" w:w="2041"/>
          </w:tcPr>
          <w:p>
            <w:pPr>
              <w:spacing w:line="240" w:lineRule="auto"/>
              <w:jc w:val="center"/>
            </w:pPr>
            <w:r>
              <w:rPr>
                <w:b w:val="0"/>
                <w:sz w:val="22"/>
              </w:rPr>
              <w:t>1 / 0</w:t>
            </w:r>
          </w:p>
        </w:tc>
        <w:tc>
          <w:tcPr>
            <w:tcW w:type="dxa" w:w="2494"/>
          </w:tcPr>
          <w:p>
            <w:pPr>
              <w:spacing w:line="240" w:lineRule="auto"/>
              <w:jc w:val="center"/>
            </w:pPr>
            <w:r>
              <w:rPr>
                <w:b w:val="0"/>
                <w:sz w:val="22"/>
              </w:rPr>
              <w:t>2,4 / 0,0</w:t>
            </w:r>
          </w:p>
        </w:tc>
      </w:tr>
      <w:tr>
        <w:tc>
          <w:tcPr>
            <w:tcW w:type="dxa" w:w="1928"/>
          </w:tcPr>
          <w:p>
            <w:pPr>
              <w:spacing w:line="240" w:lineRule="auto"/>
              <w:jc w:val="left"/>
            </w:pPr>
            <w:r>
              <w:rPr>
                <w:b w:val="0"/>
                <w:sz w:val="22"/>
              </w:rPr>
              <w:t>Keskin salbiy, 2026</w:t>
            </w:r>
          </w:p>
        </w:tc>
        <w:tc>
          <w:tcPr>
            <w:tcW w:type="dxa" w:w="2608"/>
          </w:tcPr>
          <w:p>
            <w:pPr>
              <w:spacing w:line="240" w:lineRule="auto"/>
              <w:jc w:val="center"/>
            </w:pPr>
            <w:r>
              <w:rPr>
                <w:b w:val="0"/>
                <w:sz w:val="22"/>
              </w:rPr>
              <w:t>2,98 / 5,24</w:t>
            </w:r>
          </w:p>
        </w:tc>
        <w:tc>
          <w:tcPr>
            <w:tcW w:type="dxa" w:w="2041"/>
          </w:tcPr>
          <w:p>
            <w:pPr>
              <w:spacing w:line="240" w:lineRule="auto"/>
              <w:jc w:val="center"/>
            </w:pPr>
            <w:r>
              <w:rPr>
                <w:b w:val="0"/>
                <w:sz w:val="22"/>
              </w:rPr>
              <w:t>0 / 4</w:t>
            </w:r>
          </w:p>
        </w:tc>
        <w:tc>
          <w:tcPr>
            <w:tcW w:type="dxa" w:w="2494"/>
          </w:tcPr>
          <w:p>
            <w:pPr>
              <w:spacing w:line="240" w:lineRule="auto"/>
              <w:jc w:val="center"/>
            </w:pPr>
            <w:r>
              <w:rPr>
                <w:b w:val="0"/>
                <w:sz w:val="22"/>
              </w:rPr>
              <w:t>0,0 / 24,3</w:t>
            </w:r>
          </w:p>
        </w:tc>
      </w:tr>
      <w:tr>
        <w:tc>
          <w:tcPr>
            <w:tcW w:type="dxa" w:w="1928"/>
          </w:tcPr>
          <w:p>
            <w:pPr>
              <w:spacing w:line="240" w:lineRule="auto"/>
              <w:jc w:val="left"/>
            </w:pPr>
            <w:r>
              <w:rPr>
                <w:b w:val="0"/>
                <w:sz w:val="22"/>
              </w:rPr>
              <w:t>Keskin salbiy, 2027</w:t>
            </w:r>
          </w:p>
        </w:tc>
        <w:tc>
          <w:tcPr>
            <w:tcW w:type="dxa" w:w="2608"/>
          </w:tcPr>
          <w:p>
            <w:pPr>
              <w:spacing w:line="240" w:lineRule="auto"/>
              <w:jc w:val="center"/>
            </w:pPr>
            <w:r>
              <w:rPr>
                <w:b w:val="0"/>
                <w:sz w:val="22"/>
              </w:rPr>
              <w:t>4,63 / 4,27</w:t>
            </w:r>
          </w:p>
        </w:tc>
        <w:tc>
          <w:tcPr>
            <w:tcW w:type="dxa" w:w="2041"/>
          </w:tcPr>
          <w:p>
            <w:pPr>
              <w:spacing w:line="240" w:lineRule="auto"/>
              <w:jc w:val="center"/>
            </w:pPr>
            <w:r>
              <w:rPr>
                <w:b w:val="0"/>
                <w:sz w:val="22"/>
              </w:rPr>
              <w:t>4 / 3</w:t>
            </w:r>
          </w:p>
        </w:tc>
        <w:tc>
          <w:tcPr>
            <w:tcW w:type="dxa" w:w="2494"/>
          </w:tcPr>
          <w:p>
            <w:pPr>
              <w:spacing w:line="240" w:lineRule="auto"/>
              <w:jc w:val="center"/>
            </w:pPr>
            <w:r>
              <w:rPr>
                <w:b w:val="0"/>
                <w:sz w:val="22"/>
              </w:rPr>
              <w:t>24,3 / 17,4</w:t>
            </w:r>
          </w:p>
        </w:tc>
      </w:tr>
      <w:tr>
        <w:tc>
          <w:tcPr>
            <w:tcW w:type="dxa" w:w="1928"/>
          </w:tcPr>
          <w:p>
            <w:pPr>
              <w:spacing w:line="240" w:lineRule="auto"/>
              <w:jc w:val="left"/>
            </w:pPr>
            <w:r>
              <w:rPr>
                <w:b w:val="0"/>
                <w:sz w:val="22"/>
              </w:rPr>
              <w:t>Keskin salbiy, 2028</w:t>
            </w:r>
          </w:p>
        </w:tc>
        <w:tc>
          <w:tcPr>
            <w:tcW w:type="dxa" w:w="2608"/>
          </w:tcPr>
          <w:p>
            <w:pPr>
              <w:spacing w:line="240" w:lineRule="auto"/>
              <w:jc w:val="center"/>
            </w:pPr>
            <w:r>
              <w:rPr>
                <w:b w:val="0"/>
                <w:sz w:val="22"/>
              </w:rPr>
              <w:t>3,65 / 3,53</w:t>
            </w:r>
          </w:p>
        </w:tc>
        <w:tc>
          <w:tcPr>
            <w:tcW w:type="dxa" w:w="2041"/>
          </w:tcPr>
          <w:p>
            <w:pPr>
              <w:spacing w:line="240" w:lineRule="auto"/>
              <w:jc w:val="center"/>
            </w:pPr>
            <w:r>
              <w:rPr>
                <w:b w:val="0"/>
                <w:sz w:val="22"/>
              </w:rPr>
              <w:t>2 / 0</w:t>
            </w:r>
          </w:p>
        </w:tc>
        <w:tc>
          <w:tcPr>
            <w:tcW w:type="dxa" w:w="2494"/>
          </w:tcPr>
          <w:p>
            <w:pPr>
              <w:spacing w:line="240" w:lineRule="auto"/>
              <w:jc w:val="center"/>
            </w:pPr>
            <w:r>
              <w:rPr>
                <w:b w:val="0"/>
                <w:sz w:val="22"/>
              </w:rPr>
              <w:t>5,9 / 0,0</w:t>
            </w:r>
          </w:p>
        </w:tc>
      </w:tr>
      <w:tr>
        <w:tc>
          <w:tcPr>
            <w:tcW w:type="dxa" w:w="1928"/>
          </w:tcPr>
          <w:p>
            <w:pPr>
              <w:spacing w:line="240" w:lineRule="auto"/>
              <w:jc w:val="left"/>
            </w:pPr>
            <w:r>
              <w:rPr>
                <w:b w:val="0"/>
                <w:sz w:val="22"/>
              </w:rPr>
              <w:t>Uch bank bo‘yicha eng yuqori ulush (keskin salbiy), %</w:t>
            </w:r>
          </w:p>
        </w:tc>
        <w:tc>
          <w:tcPr>
            <w:tcW w:type="dxa" w:w="7143"/>
            <w:gridSpan w:val="3"/>
          </w:tcPr>
          <w:p>
            <w:pPr>
              <w:spacing w:line="240" w:lineRule="auto"/>
              <w:jc w:val="center"/>
            </w:pPr>
            <w:r>
              <w:rPr>
                <w:b w:val="0"/>
                <w:sz w:val="22"/>
              </w:rPr>
              <w:t>SQB: 3,99 / 4,83; MKB: 6,95 / 6,71; Aloqabank: 4,00 / 4,84</w:t>
            </w:r>
          </w:p>
          <w:p>
            <w:pPr>
              <w:spacing w:line="240" w:lineRule="auto"/>
              <w:jc w:val="center"/>
            </w:pPr>
            <w:r>
              <w:rPr>
                <w:b w:val="0"/>
                <w:sz w:val="22"/>
              </w:rPr>
            </w:r>
          </w:p>
          <w:p>
            <w:pPr>
              <w:spacing w:line="240" w:lineRule="auto"/>
              <w:jc w:val="center"/>
            </w:pPr>
            <w:r>
              <w:rPr>
                <w:b w:val="0"/>
                <w:sz w:val="22"/>
              </w:rPr>
            </w:r>
          </w:p>
        </w:tc>
      </w:tr>
    </w:tbl>
    <w:p>
      <w:pPr>
        <w:keepNext w:val="0"/>
        <w:spacing w:line="240" w:lineRule="auto"/>
        <w:jc w:val="both"/>
      </w:pPr>
      <w:r>
        <w:rPr>
          <w:b w:val="0"/>
          <w:sz w:val="24"/>
        </w:rPr>
        <w:t>Izoh: asosiy usul – tizim modeli bo‘yicha og‘ishning banklarga proporsional taqsimlanishi (4.2.4-jadval); bank modeli – 2-model (muammoli kreditlar ulushi = bank effekti + 0,684 × oldingi chorak ulushi − 0,153 × YaIM o‘sishi); asosiy va ijobiy ssenariylarda ikkala usulda ham qizil zonada bank yo‘q.</w:t>
      </w:r>
    </w:p>
    <w:p>
      <w:pPr>
        <w:keepNext w:val="0"/>
        <w:ind w:firstLine="709"/>
        <w:jc w:val="both"/>
      </w:pPr>
      <w:r>
        <w:rPr>
          <w:b w:val="0"/>
        </w:rPr>
        <w:t>Jadvaldan ko‘rinib turibdiki, ikki usul bir xil asosiy natija beradi. Keskin salbiy ssenariyda qizil zonaga ikkala usulda ham aynan bir xil to‘rt bank – “Agrobank”, “Asaka bank”, “Mikrokreditbank” va “Turonbank” ATBlar tushadi, ularning aktivlari ulushi esa 24,3 foizni tashkil etadi. Salbiy ssenariyda ham ikkala usulda “Mikrokreditbank” va “Turonbank” ATBlar qizil zonaga tushadi. Usullar o‘rtasidagi farq asosan vaqtda namoyon bo‘ladi. Bank modelida shok o‘sha yilning o‘zida (2026-yil), asosiy usulda esa bir yildan keyin (2027-yil) eng yuqori ta’sir ko‘rsatadi. Bundan tashqari, bank modelida og‘ish barcha banklarga bir xil foiz punktda qo‘shilgani sababli muammoli kreditlar ulushi past bo‘lgan banklarda ta’sir kuchliroq, masalan, “O‘zsanoatqurilishbank” ATB da eng yuqori ulush 4,83 foizni tashkil etadi (3,99 foizga nisbatan). Demak, erta ogohlantirish zonalari bo‘yicha xulosalar prognoz usuliga bog‘liq emas, ya’ni barqaror hisoblanadi.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5"/>
            <c:spPr>
              <a:solidFill>
                <a:srgbClr val="000000"/>
              </a:solidFill>
              <a:ln>
                <a:noFill/>
              </a:ln>
            </c:spPr>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numFmt formatCode="0.00" sourceLinked="0"/>
              <c:spPr>
                <a:noFill/>
                <a:ln>
                  <a:noFill/>
                </a:ln>
              </c:spPr>
              <c:txPr>
                <a:bodyPr/>
                <a:lstStyle/>
                <a:p>
                  <a:pPr>
                    <a:defRPr sz="1000" b="1">
                      <a:solidFill>
                        <a:srgbClr val="000000"/>
                      </a:solidFill>
                      <a:latin typeface="Times New Roman"/>
                      <a:cs typeface="Times New Roman"/>
                    </a:defRPr>
                  </a:pPr>
                  <a:endParaRPr lang="uz-Latn-UZ"/>
                </a:p>
              </c:txPr>
              <c:dLblPos val="b"/>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Sheet1!$A$2:$A$18</c:f>
              <c:numCache>
                <c:formatCode>General</c:formatCode>
                <c:ptCount val="17"/>
                <c:pt idx="0">
                  <c:v>2021.0</c:v>
                </c:pt>
                <c:pt idx="1">
                  <c:v>2021.25</c:v>
                </c:pt>
                <c:pt idx="2">
                  <c:v>2021.5</c:v>
                </c:pt>
                <c:pt idx="3">
                  <c:v>2021.75</c:v>
                </c:pt>
                <c:pt idx="4">
                  <c:v>2022.0</c:v>
                </c:pt>
                <c:pt idx="5">
                  <c:v>2022.25</c:v>
                </c:pt>
                <c:pt idx="6">
                  <c:v>2022.5</c:v>
                </c:pt>
                <c:pt idx="7">
                  <c:v>2022.75</c:v>
                </c:pt>
                <c:pt idx="8">
                  <c:v>2023.0</c:v>
                </c:pt>
                <c:pt idx="9">
                  <c:v>2023.25</c:v>
                </c:pt>
                <c:pt idx="10">
                  <c:v>2023.5</c:v>
                </c:pt>
                <c:pt idx="11">
                  <c:v>2023.75</c:v>
                </c:pt>
                <c:pt idx="12">
                  <c:v>2024.0</c:v>
                </c:pt>
                <c:pt idx="13">
                  <c:v>2024.25</c:v>
                </c:pt>
                <c:pt idx="14">
                  <c:v>2024.5</c:v>
                </c:pt>
                <c:pt idx="15">
                  <c:v>2024.75</c:v>
                </c:pt>
                <c:pt idx="16">
                  <c:v>2025.0</c:v>
                </c:pt>
              </c:numCache>
            </c:numRef>
          </c:xVal>
          <c:yVal>
            <c:numRef>
              <c:f>Sheet1!$B$2:$B$18</c:f>
              <c:numCache>
                <c:formatCode>General</c:formatCode>
                <c:ptCount val="17"/>
                <c:pt idx="0">
                  <c:v>3.78</c:v>
                </c:pt>
                <c:pt idx="1">
                  <c:v>3.76</c:v>
                </c:pt>
                <c:pt idx="2">
                  <c:v>3.68</c:v>
                </c:pt>
                <c:pt idx="3">
                  <c:v>3.64</c:v>
                </c:pt>
                <c:pt idx="4">
                  <c:v>2.83</c:v>
                </c:pt>
                <c:pt idx="5">
                  <c:v>2.93</c:v>
                </c:pt>
                <c:pt idx="6">
                  <c:v>2.91</c:v>
                </c:pt>
                <c:pt idx="7">
                  <c:v>2.82</c:v>
                </c:pt>
                <c:pt idx="8">
                  <c:v>2.25</c:v>
                </c:pt>
                <c:pt idx="9">
                  <c:v>3.96</c:v>
                </c:pt>
                <c:pt idx="10">
                  <c:v>3.94</c:v>
                </c:pt>
                <c:pt idx="11">
                  <c:v>3.1</c:v>
                </c:pt>
                <c:pt idx="12">
                  <c:v>2.82</c:v>
                </c:pt>
                <c:pt idx="13">
                  <c:v>4.07</c:v>
                </c:pt>
                <c:pt idx="14">
                  <c:v>3.7</c:v>
                </c:pt>
                <c:pt idx="15">
                  <c:v>3.44</c:v>
                </c:pt>
                <c:pt idx="16">
                  <c:v>2.53</c:v>
                </c:pt>
              </c:numCache>
            </c:numRef>
          </c:yVal>
          <c:smooth val="0"/>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Sheet1!$C$2:$C$14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Sheet1!$D$2:$D$14</c:f>
              <c:numCache>
                <c:formatCode>General</c:formatCode>
                <c:ptCount val="13"/>
                <c:pt idx="0">
                  <c:v>2.53</c:v>
                </c:pt>
                <c:pt idx="1">
                  <c:v>2.65</c:v>
                </c:pt>
                <c:pt idx="2">
                  <c:v>2.65</c:v>
                </c:pt>
                <c:pt idx="3">
                  <c:v>2.61</c:v>
                </c:pt>
                <c:pt idx="4">
                  <c:v>2.56</c:v>
                </c:pt>
                <c:pt idx="5">
                  <c:v>2.65</c:v>
                </c:pt>
                <c:pt idx="6">
                  <c:v>2.69</c:v>
                </c:pt>
                <c:pt idx="7">
                  <c:v>2.71</c:v>
                </c:pt>
                <c:pt idx="8">
                  <c:v>2.72</c:v>
                </c:pt>
                <c:pt idx="9">
                  <c:v>2.72</c:v>
                </c:pt>
                <c:pt idx="10">
                  <c:v>2.73</c:v>
                </c:pt>
                <c:pt idx="11">
                  <c:v>2.73</c:v>
                </c:pt>
                <c:pt idx="12">
                  <c:v>2.73</c:v>
                </c:pt>
              </c:numCache>
            </c:numRef>
          </c:yVal>
          <c:smooth val="0"/>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Sheet1!$E$2:$E$14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Sheet1!$F$2:$F$14</c:f>
              <c:numCache>
                <c:formatCode>General</c:formatCode>
                <c:ptCount val="13"/>
                <c:pt idx="0">
                  <c:v>2.53</c:v>
                </c:pt>
                <c:pt idx="1">
                  <c:v>2.65</c:v>
                </c:pt>
                <c:pt idx="2">
                  <c:v>2.65</c:v>
                </c:pt>
                <c:pt idx="3">
                  <c:v>2.61</c:v>
                </c:pt>
                <c:pt idx="4">
                  <c:v>2.56</c:v>
                </c:pt>
                <c:pt idx="5">
                  <c:v>2.5</c:v>
                </c:pt>
                <c:pt idx="6">
                  <c:v>2.48</c:v>
                </c:pt>
                <c:pt idx="7">
                  <c:v>2.47</c:v>
                </c:pt>
                <c:pt idx="8">
                  <c:v>2.46</c:v>
                </c:pt>
                <c:pt idx="9">
                  <c:v>2.45</c:v>
                </c:pt>
                <c:pt idx="10">
                  <c:v>2.45</c:v>
                </c:pt>
                <c:pt idx="11">
                  <c:v>2.45</c:v>
                </c:pt>
                <c:pt idx="12">
                  <c:v>2.45</c:v>
                </c:pt>
              </c:numCache>
            </c:numRef>
          </c:yVal>
          <c:smooth val="0"/>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Sheet1!$G$2:$G$14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Sheet1!$H$2:$H$14</c:f>
              <c:numCache>
                <c:formatCode>General</c:formatCode>
                <c:ptCount val="13"/>
                <c:pt idx="0">
                  <c:v>2.53</c:v>
                </c:pt>
                <c:pt idx="1">
                  <c:v>2.65</c:v>
                </c:pt>
                <c:pt idx="2">
                  <c:v>2.65</c:v>
                </c:pt>
                <c:pt idx="3">
                  <c:v>2.61</c:v>
                </c:pt>
                <c:pt idx="4">
                  <c:v>2.56</c:v>
                </c:pt>
                <c:pt idx="5">
                  <c:v>2.95</c:v>
                </c:pt>
                <c:pt idx="6">
                  <c:v>3.15</c:v>
                </c:pt>
                <c:pt idx="7">
                  <c:v>3.25</c:v>
                </c:pt>
                <c:pt idx="8">
                  <c:v>3.29</c:v>
                </c:pt>
                <c:pt idx="9">
                  <c:v>3.19</c:v>
                </c:pt>
                <c:pt idx="10">
                  <c:v>3.14</c:v>
                </c:pt>
                <c:pt idx="11">
                  <c:v>3.11</c:v>
                </c:pt>
                <c:pt idx="12">
                  <c:v>3.1</c:v>
                </c:pt>
              </c:numCache>
            </c:numRef>
          </c:yVal>
          <c:smooth val="0"/>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Sheet1!$I$2:$I$14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Sheet1!$J$2:$J$14</c:f>
              <c:numCache>
                <c:formatCode>General</c:formatCode>
                <c:ptCount val="13"/>
                <c:pt idx="0">
                  <c:v>2.53</c:v>
                </c:pt>
                <c:pt idx="1">
                  <c:v>2.65</c:v>
                </c:pt>
                <c:pt idx="2">
                  <c:v>2.65</c:v>
                </c:pt>
                <c:pt idx="3">
                  <c:v>2.61</c:v>
                </c:pt>
                <c:pt idx="4">
                  <c:v>2.56</c:v>
                </c:pt>
                <c:pt idx="5">
                  <c:v>3.33</c:v>
                </c:pt>
                <c:pt idx="6">
                  <c:v>3.71</c:v>
                </c:pt>
                <c:pt idx="7">
                  <c:v>3.89</c:v>
                </c:pt>
                <c:pt idx="8">
                  <c:v>3.99</c:v>
                </c:pt>
                <c:pt idx="9">
                  <c:v>3.53</c:v>
                </c:pt>
                <c:pt idx="10">
                  <c:v>3.31</c:v>
                </c:pt>
                <c:pt idx="11">
                  <c:v>3.19</c:v>
                </c:pt>
                <c:pt idx="12">
                  <c:v>3.14</c:v>
                </c:pt>
              </c:numCache>
            </c:numRef>
          </c:yVal>
          <c:smooth val="0"/>
        </c:ser>
        <c:axId val="333"/>
        <c:axId val="444"/>
      </c:scatterChart>
      <c:valAx>
        <c:axId val="333"/>
        <c:scaling>
          <c:orientation val="minMax"/>
          <c:max val="2028.6"/>
          <c:min val="2021"/>
        </c:scaling>
        <c:delete val="0"/>
        <c:axPos val="b"/>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5.0"/>
          <c:min val="1.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Ulush,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5"/>
            <c:spPr>
              <a:solidFill>
                <a:srgbClr val="000000"/>
              </a:solidFill>
              <a:ln>
                <a:noFill/>
              </a:ln>
            </c:spPr>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numFmt formatCode="0.00" sourceLinked="0"/>
              <c:spPr>
                <a:noFill/>
                <a:ln>
                  <a:noFill/>
                </a:ln>
              </c:spPr>
              <c:txPr>
                <a:bodyPr/>
                <a:lstStyle/>
                <a:p>
                  <a:pPr>
                    <a:defRPr sz="1000" b="1">
                      <a:solidFill>
                        <a:srgbClr val="000000"/>
                      </a:solidFill>
                      <a:latin typeface="Times New Roman"/>
                      <a:cs typeface="Times New Roman"/>
                    </a:defRPr>
                  </a:pPr>
                  <a:endParaRPr lang="uz-Latn-UZ"/>
                </a:p>
              </c:txPr>
              <c:dLblPos val="b"/>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Sheet1!$A$2:$A$18</c:f>
              <c:numCache>
                <c:formatCode>General</c:formatCode>
                <c:ptCount val="17"/>
                <c:pt idx="0">
                  <c:v>2021.0</c:v>
                </c:pt>
                <c:pt idx="1">
                  <c:v>2021.25</c:v>
                </c:pt>
                <c:pt idx="2">
                  <c:v>2021.5</c:v>
                </c:pt>
                <c:pt idx="3">
                  <c:v>2021.75</c:v>
                </c:pt>
                <c:pt idx="4">
                  <c:v>2022.0</c:v>
                </c:pt>
                <c:pt idx="5">
                  <c:v>2022.25</c:v>
                </c:pt>
                <c:pt idx="6">
                  <c:v>2022.5</c:v>
                </c:pt>
                <c:pt idx="7">
                  <c:v>2022.75</c:v>
                </c:pt>
                <c:pt idx="8">
                  <c:v>2023.0</c:v>
                </c:pt>
                <c:pt idx="9">
                  <c:v>2023.25</c:v>
                </c:pt>
                <c:pt idx="10">
                  <c:v>2023.5</c:v>
                </c:pt>
                <c:pt idx="11">
                  <c:v>2023.75</c:v>
                </c:pt>
                <c:pt idx="12">
                  <c:v>2024.0</c:v>
                </c:pt>
                <c:pt idx="13">
                  <c:v>2024.25</c:v>
                </c:pt>
                <c:pt idx="14">
                  <c:v>2024.5</c:v>
                </c:pt>
                <c:pt idx="15">
                  <c:v>2024.75</c:v>
                </c:pt>
                <c:pt idx="16">
                  <c:v>2025.0</c:v>
                </c:pt>
              </c:numCache>
            </c:numRef>
          </c:xVal>
          <c:yVal>
            <c:numRef>
              <c:f>Sheet1!$B$2:$B$18</c:f>
              <c:numCache>
                <c:formatCode>General</c:formatCode>
                <c:ptCount val="17"/>
                <c:pt idx="0">
                  <c:v>5.94</c:v>
                </c:pt>
                <c:pt idx="1">
                  <c:v>5.97</c:v>
                </c:pt>
                <c:pt idx="2">
                  <c:v>5.91</c:v>
                </c:pt>
                <c:pt idx="3">
                  <c:v>5.57</c:v>
                </c:pt>
                <c:pt idx="4">
                  <c:v>4.77</c:v>
                </c:pt>
                <c:pt idx="5">
                  <c:v>5.36</c:v>
                </c:pt>
                <c:pt idx="6">
                  <c:v>5.18</c:v>
                </c:pt>
                <c:pt idx="7">
                  <c:v>5.14</c:v>
                </c:pt>
                <c:pt idx="8">
                  <c:v>5.99</c:v>
                </c:pt>
                <c:pt idx="9">
                  <c:v>6.7</c:v>
                </c:pt>
                <c:pt idx="10">
                  <c:v>6.81</c:v>
                </c:pt>
                <c:pt idx="11">
                  <c:v>6.7</c:v>
                </c:pt>
                <c:pt idx="12">
                  <c:v>4.62</c:v>
                </c:pt>
                <c:pt idx="13">
                  <c:v>6.61</c:v>
                </c:pt>
                <c:pt idx="14">
                  <c:v>6.01</c:v>
                </c:pt>
                <c:pt idx="15">
                  <c:v>4.91</c:v>
                </c:pt>
                <c:pt idx="16">
                  <c:v>4.41</c:v>
                </c:pt>
              </c:numCache>
            </c:numRef>
          </c:yVal>
          <c:smooth val="0"/>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Sheet1!$C$2:$C$14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Sheet1!$D$2:$D$14</c:f>
              <c:numCache>
                <c:formatCode>General</c:formatCode>
                <c:ptCount val="13"/>
                <c:pt idx="0">
                  <c:v>4.41</c:v>
                </c:pt>
                <c:pt idx="1">
                  <c:v>4.62</c:v>
                </c:pt>
                <c:pt idx="2">
                  <c:v>4.62</c:v>
                </c:pt>
                <c:pt idx="3">
                  <c:v>4.54</c:v>
                </c:pt>
                <c:pt idx="4">
                  <c:v>4.47</c:v>
                </c:pt>
                <c:pt idx="5">
                  <c:v>4.62</c:v>
                </c:pt>
                <c:pt idx="6">
                  <c:v>4.69</c:v>
                </c:pt>
                <c:pt idx="7">
                  <c:v>4.72</c:v>
                </c:pt>
                <c:pt idx="8">
                  <c:v>4.75</c:v>
                </c:pt>
                <c:pt idx="9">
                  <c:v>4.75</c:v>
                </c:pt>
                <c:pt idx="10">
                  <c:v>4.76</c:v>
                </c:pt>
                <c:pt idx="11">
                  <c:v>4.76</c:v>
                </c:pt>
                <c:pt idx="12">
                  <c:v>4.76</c:v>
                </c:pt>
              </c:numCache>
            </c:numRef>
          </c:yVal>
          <c:smooth val="0"/>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Sheet1!$E$2:$E$14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Sheet1!$F$2:$F$14</c:f>
              <c:numCache>
                <c:formatCode>General</c:formatCode>
                <c:ptCount val="13"/>
                <c:pt idx="0">
                  <c:v>4.41</c:v>
                </c:pt>
                <c:pt idx="1">
                  <c:v>4.62</c:v>
                </c:pt>
                <c:pt idx="2">
                  <c:v>4.62</c:v>
                </c:pt>
                <c:pt idx="3">
                  <c:v>4.54</c:v>
                </c:pt>
                <c:pt idx="4">
                  <c:v>4.47</c:v>
                </c:pt>
                <c:pt idx="5">
                  <c:v>4.37</c:v>
                </c:pt>
                <c:pt idx="6">
                  <c:v>4.32</c:v>
                </c:pt>
                <c:pt idx="7">
                  <c:v>4.31</c:v>
                </c:pt>
                <c:pt idx="8">
                  <c:v>4.29</c:v>
                </c:pt>
                <c:pt idx="9">
                  <c:v>4.28</c:v>
                </c:pt>
                <c:pt idx="10">
                  <c:v>4.28</c:v>
                </c:pt>
                <c:pt idx="11">
                  <c:v>4.28</c:v>
                </c:pt>
                <c:pt idx="12">
                  <c:v>4.28</c:v>
                </c:pt>
              </c:numCache>
            </c:numRef>
          </c:yVal>
          <c:smooth val="0"/>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Sheet1!$G$2:$G$14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Sheet1!$H$2:$H$14</c:f>
              <c:numCache>
                <c:formatCode>General</c:formatCode>
                <c:ptCount val="13"/>
                <c:pt idx="0">
                  <c:v>4.41</c:v>
                </c:pt>
                <c:pt idx="1">
                  <c:v>4.62</c:v>
                </c:pt>
                <c:pt idx="2">
                  <c:v>4.62</c:v>
                </c:pt>
                <c:pt idx="3">
                  <c:v>4.54</c:v>
                </c:pt>
                <c:pt idx="4">
                  <c:v>4.47</c:v>
                </c:pt>
                <c:pt idx="5">
                  <c:v>5.15</c:v>
                </c:pt>
                <c:pt idx="6">
                  <c:v>5.49</c:v>
                </c:pt>
                <c:pt idx="7">
                  <c:v>5.66</c:v>
                </c:pt>
                <c:pt idx="8">
                  <c:v>5.74</c:v>
                </c:pt>
                <c:pt idx="9">
                  <c:v>5.56</c:v>
                </c:pt>
                <c:pt idx="10">
                  <c:v>5.47</c:v>
                </c:pt>
                <c:pt idx="11">
                  <c:v>5.43</c:v>
                </c:pt>
                <c:pt idx="12">
                  <c:v>5.4</c:v>
                </c:pt>
              </c:numCache>
            </c:numRef>
          </c:yVal>
          <c:smooth val="0"/>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Sheet1!$I$2:$I$14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Sheet1!$J$2:$J$14</c:f>
              <c:numCache>
                <c:formatCode>General</c:formatCode>
                <c:ptCount val="13"/>
                <c:pt idx="0">
                  <c:v>4.41</c:v>
                </c:pt>
                <c:pt idx="1">
                  <c:v>4.62</c:v>
                </c:pt>
                <c:pt idx="2">
                  <c:v>4.62</c:v>
                </c:pt>
                <c:pt idx="3">
                  <c:v>4.54</c:v>
                </c:pt>
                <c:pt idx="4">
                  <c:v>4.47</c:v>
                </c:pt>
                <c:pt idx="5">
                  <c:v>5.8</c:v>
                </c:pt>
                <c:pt idx="6">
                  <c:v>6.46</c:v>
                </c:pt>
                <c:pt idx="7">
                  <c:v>6.78</c:v>
                </c:pt>
                <c:pt idx="8">
                  <c:v>6.95</c:v>
                </c:pt>
                <c:pt idx="9">
                  <c:v>6.15</c:v>
                </c:pt>
                <c:pt idx="10">
                  <c:v>5.77</c:v>
                </c:pt>
                <c:pt idx="11">
                  <c:v>5.56</c:v>
                </c:pt>
                <c:pt idx="12">
                  <c:v>5.47</c:v>
                </c:pt>
              </c:numCache>
            </c:numRef>
          </c:yVal>
          <c:smooth val="0"/>
        </c:ser>
        <c:axId val="333"/>
        <c:axId val="444"/>
      </c:scatterChart>
      <c:valAx>
        <c:axId val="333"/>
        <c:scaling>
          <c:orientation val="minMax"/>
          <c:max val="2028.6"/>
          <c:min val="2021"/>
        </c:scaling>
        <c:delete val="0"/>
        <c:axPos val="b"/>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8.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Ulush,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5"/>
            <c:spPr>
              <a:solidFill>
                <a:srgbClr val="000000"/>
              </a:solidFill>
              <a:ln>
                <a:noFill/>
              </a:ln>
            </c:spPr>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delete val="1"/>
            </c:dLbl>
            <c:dLbl>
              <c:idx val="13"/>
              <c:delete val="1"/>
            </c:dLbl>
            <c:dLbl>
              <c:idx val="14"/>
              <c:delete val="1"/>
            </c:dLbl>
            <c:dLbl>
              <c:idx val="15"/>
              <c:delete val="1"/>
            </c:dLbl>
            <c:dLbl>
              <c:idx val="16"/>
              <c:numFmt formatCode="0.00" sourceLinked="0"/>
              <c:spPr>
                <a:noFill/>
                <a:ln>
                  <a:noFill/>
                </a:ln>
              </c:spPr>
              <c:txPr>
                <a:bodyPr/>
                <a:lstStyle/>
                <a:p>
                  <a:pPr>
                    <a:defRPr sz="1000" b="1">
                      <a:solidFill>
                        <a:srgbClr val="000000"/>
                      </a:solidFill>
                      <a:latin typeface="Times New Roman"/>
                      <a:cs typeface="Times New Roman"/>
                    </a:defRPr>
                  </a:pPr>
                  <a:endParaRPr lang="uz-Latn-UZ"/>
                </a:p>
              </c:txPr>
              <c:dLblPos val="b"/>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Sheet1!$A$2:$A$18</c:f>
              <c:numCache>
                <c:formatCode>General</c:formatCode>
                <c:ptCount val="17"/>
                <c:pt idx="0">
                  <c:v>2021.0</c:v>
                </c:pt>
                <c:pt idx="1">
                  <c:v>2021.25</c:v>
                </c:pt>
                <c:pt idx="2">
                  <c:v>2021.5</c:v>
                </c:pt>
                <c:pt idx="3">
                  <c:v>2021.75</c:v>
                </c:pt>
                <c:pt idx="4">
                  <c:v>2022.0</c:v>
                </c:pt>
                <c:pt idx="5">
                  <c:v>2022.25</c:v>
                </c:pt>
                <c:pt idx="6">
                  <c:v>2022.5</c:v>
                </c:pt>
                <c:pt idx="7">
                  <c:v>2022.75</c:v>
                </c:pt>
                <c:pt idx="8">
                  <c:v>2023.0</c:v>
                </c:pt>
                <c:pt idx="9">
                  <c:v>2023.25</c:v>
                </c:pt>
                <c:pt idx="10">
                  <c:v>2023.5</c:v>
                </c:pt>
                <c:pt idx="11">
                  <c:v>2023.75</c:v>
                </c:pt>
                <c:pt idx="12">
                  <c:v>2024.0</c:v>
                </c:pt>
                <c:pt idx="13">
                  <c:v>2024.25</c:v>
                </c:pt>
                <c:pt idx="14">
                  <c:v>2024.5</c:v>
                </c:pt>
                <c:pt idx="15">
                  <c:v>2024.75</c:v>
                </c:pt>
                <c:pt idx="16">
                  <c:v>2025.0</c:v>
                </c:pt>
              </c:numCache>
            </c:numRef>
          </c:xVal>
          <c:yVal>
            <c:numRef>
              <c:f>Sheet1!$B$2:$B$18</c:f>
              <c:numCache>
                <c:formatCode>General</c:formatCode>
                <c:ptCount val="17"/>
                <c:pt idx="0">
                  <c:v>4.05</c:v>
                </c:pt>
                <c:pt idx="1">
                  <c:v>3.36</c:v>
                </c:pt>
                <c:pt idx="2">
                  <c:v>3.18</c:v>
                </c:pt>
                <c:pt idx="3">
                  <c:v>3.24</c:v>
                </c:pt>
                <c:pt idx="4">
                  <c:v>2.03</c:v>
                </c:pt>
                <c:pt idx="5">
                  <c:v>1.78</c:v>
                </c:pt>
                <c:pt idx="6">
                  <c:v>1.47</c:v>
                </c:pt>
                <c:pt idx="7">
                  <c:v>2.38</c:v>
                </c:pt>
                <c:pt idx="8">
                  <c:v>1.52</c:v>
                </c:pt>
                <c:pt idx="9">
                  <c:v>3.99</c:v>
                </c:pt>
                <c:pt idx="10">
                  <c:v>4.09</c:v>
                </c:pt>
                <c:pt idx="11">
                  <c:v>2.81</c:v>
                </c:pt>
                <c:pt idx="12">
                  <c:v>1.87</c:v>
                </c:pt>
                <c:pt idx="13">
                  <c:v>2.57</c:v>
                </c:pt>
                <c:pt idx="14">
                  <c:v>2.42</c:v>
                </c:pt>
                <c:pt idx="15">
                  <c:v>2.37</c:v>
                </c:pt>
                <c:pt idx="16">
                  <c:v>2.54</c:v>
                </c:pt>
              </c:numCache>
            </c:numRef>
          </c:yVal>
          <c:smooth val="0"/>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2A78D6"/>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Sheet1!$C$2:$C$14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Sheet1!$D$2:$D$14</c:f>
              <c:numCache>
                <c:formatCode>General</c:formatCode>
                <c:ptCount val="13"/>
                <c:pt idx="0">
                  <c:v>2.54</c:v>
                </c:pt>
                <c:pt idx="1">
                  <c:v>2.66</c:v>
                </c:pt>
                <c:pt idx="2">
                  <c:v>2.66</c:v>
                </c:pt>
                <c:pt idx="3">
                  <c:v>2.61</c:v>
                </c:pt>
                <c:pt idx="4">
                  <c:v>2.57</c:v>
                </c:pt>
                <c:pt idx="5">
                  <c:v>2.66</c:v>
                </c:pt>
                <c:pt idx="6">
                  <c:v>2.7</c:v>
                </c:pt>
                <c:pt idx="7">
                  <c:v>2.72</c:v>
                </c:pt>
                <c:pt idx="8">
                  <c:v>2.73</c:v>
                </c:pt>
                <c:pt idx="9">
                  <c:v>2.73</c:v>
                </c:pt>
                <c:pt idx="10">
                  <c:v>2.74</c:v>
                </c:pt>
                <c:pt idx="11">
                  <c:v>2.74</c:v>
                </c:pt>
                <c:pt idx="12">
                  <c:v>2.74</c:v>
                </c:pt>
              </c:numCache>
            </c:numRef>
          </c:yVal>
          <c:smooth val="0"/>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70AD47"/>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Sheet1!$E$2:$E$14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Sheet1!$F$2:$F$14</c:f>
              <c:numCache>
                <c:formatCode>General</c:formatCode>
                <c:ptCount val="13"/>
                <c:pt idx="0">
                  <c:v>2.54</c:v>
                </c:pt>
                <c:pt idx="1">
                  <c:v>2.66</c:v>
                </c:pt>
                <c:pt idx="2">
                  <c:v>2.66</c:v>
                </c:pt>
                <c:pt idx="3">
                  <c:v>2.61</c:v>
                </c:pt>
                <c:pt idx="4">
                  <c:v>2.57</c:v>
                </c:pt>
                <c:pt idx="5">
                  <c:v>2.51</c:v>
                </c:pt>
                <c:pt idx="6">
                  <c:v>2.49</c:v>
                </c:pt>
                <c:pt idx="7">
                  <c:v>2.48</c:v>
                </c:pt>
                <c:pt idx="8">
                  <c:v>2.47</c:v>
                </c:pt>
                <c:pt idx="9">
                  <c:v>2.46</c:v>
                </c:pt>
                <c:pt idx="10">
                  <c:v>2.46</c:v>
                </c:pt>
                <c:pt idx="11">
                  <c:v>2.46</c:v>
                </c:pt>
                <c:pt idx="12">
                  <c:v>2.46</c:v>
                </c:pt>
              </c:numCache>
            </c:numRef>
          </c:yVal>
          <c:smooth val="0"/>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FFC000"/>
                      </a:solidFill>
                      <a:latin typeface="Times New Roman"/>
                      <a:cs typeface="Times New Roman"/>
                    </a:defRPr>
                  </a:pPr>
                  <a:endParaRPr lang="uz-Latn-UZ"/>
                </a:p>
              </c:txPr>
              <c:dLblPos val="r"/>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Sheet1!$G$2:$G$14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Sheet1!$H$2:$H$14</c:f>
              <c:numCache>
                <c:formatCode>General</c:formatCode>
                <c:ptCount val="13"/>
                <c:pt idx="0">
                  <c:v>2.54</c:v>
                </c:pt>
                <c:pt idx="1">
                  <c:v>2.66</c:v>
                </c:pt>
                <c:pt idx="2">
                  <c:v>2.66</c:v>
                </c:pt>
                <c:pt idx="3">
                  <c:v>2.61</c:v>
                </c:pt>
                <c:pt idx="4">
                  <c:v>2.57</c:v>
                </c:pt>
                <c:pt idx="5">
                  <c:v>2.96</c:v>
                </c:pt>
                <c:pt idx="6">
                  <c:v>3.16</c:v>
                </c:pt>
                <c:pt idx="7">
                  <c:v>3.26</c:v>
                </c:pt>
                <c:pt idx="8">
                  <c:v>3.3</c:v>
                </c:pt>
                <c:pt idx="9">
                  <c:v>3.2</c:v>
                </c:pt>
                <c:pt idx="10">
                  <c:v>3.15</c:v>
                </c:pt>
                <c:pt idx="11">
                  <c:v>3.12</c:v>
                </c:pt>
                <c:pt idx="12">
                  <c:v>3.11</c:v>
                </c:pt>
              </c:numCache>
            </c:numRef>
          </c:yVal>
          <c:smooth val="0"/>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dLbl>
              <c:idx val="9"/>
              <c:delete val="1"/>
            </c:dLbl>
            <c:dLbl>
              <c:idx val="10"/>
              <c:delete val="1"/>
            </c:dLbl>
            <c:dLbl>
              <c:idx val="11"/>
              <c:delete val="1"/>
            </c:dLbl>
            <c:dLbl>
              <c:idx val="12"/>
              <c:numFmt formatCode="0.00" sourceLinked="0"/>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dLbl>
            <c:spPr>
              <a:noFill/>
              <a:ln>
                <a:noFill/>
              </a:ln>
            </c:spPr>
            <c:showLegendKey val="0"/>
            <c:showVal val="0"/>
            <c:showCatName val="0"/>
            <c:showSerName val="0"/>
            <c:showPercent val="0"/>
            <c:showBubbleSize val="0"/>
          </c:dLbls>
          <c:xVal>
            <c:numRef>
              <c:f>Sheet1!$I$2:$I$14</c:f>
              <c:numCache>
                <c:formatCode>General</c:formatCode>
                <c:ptCount val="13"/>
                <c:pt idx="0">
                  <c:v>2025.0</c:v>
                </c:pt>
                <c:pt idx="1">
                  <c:v>2025.25</c:v>
                </c:pt>
                <c:pt idx="2">
                  <c:v>2025.5</c:v>
                </c:pt>
                <c:pt idx="3">
                  <c:v>2025.75</c:v>
                </c:pt>
                <c:pt idx="4">
                  <c:v>2026.0</c:v>
                </c:pt>
                <c:pt idx="5">
                  <c:v>2026.25</c:v>
                </c:pt>
                <c:pt idx="6">
                  <c:v>2026.5</c:v>
                </c:pt>
                <c:pt idx="7">
                  <c:v>2026.75</c:v>
                </c:pt>
                <c:pt idx="8">
                  <c:v>2027.0</c:v>
                </c:pt>
                <c:pt idx="9">
                  <c:v>2027.25</c:v>
                </c:pt>
                <c:pt idx="10">
                  <c:v>2027.5</c:v>
                </c:pt>
                <c:pt idx="11">
                  <c:v>2027.75</c:v>
                </c:pt>
                <c:pt idx="12">
                  <c:v>2028.0</c:v>
                </c:pt>
              </c:numCache>
            </c:numRef>
          </c:xVal>
          <c:yVal>
            <c:numRef>
              <c:f>Sheet1!$J$2:$J$14</c:f>
              <c:numCache>
                <c:formatCode>General</c:formatCode>
                <c:ptCount val="13"/>
                <c:pt idx="0">
                  <c:v>2.54</c:v>
                </c:pt>
                <c:pt idx="1">
                  <c:v>2.66</c:v>
                </c:pt>
                <c:pt idx="2">
                  <c:v>2.66</c:v>
                </c:pt>
                <c:pt idx="3">
                  <c:v>2.61</c:v>
                </c:pt>
                <c:pt idx="4">
                  <c:v>2.57</c:v>
                </c:pt>
                <c:pt idx="5">
                  <c:v>3.34</c:v>
                </c:pt>
                <c:pt idx="6">
                  <c:v>3.72</c:v>
                </c:pt>
                <c:pt idx="7">
                  <c:v>3.9</c:v>
                </c:pt>
                <c:pt idx="8">
                  <c:v>4.0</c:v>
                </c:pt>
                <c:pt idx="9">
                  <c:v>3.54</c:v>
                </c:pt>
                <c:pt idx="10">
                  <c:v>3.32</c:v>
                </c:pt>
                <c:pt idx="11">
                  <c:v>3.2</c:v>
                </c:pt>
                <c:pt idx="12">
                  <c:v>3.15</c:v>
                </c:pt>
              </c:numCache>
            </c:numRef>
          </c:yVal>
          <c:smooth val="0"/>
        </c:ser>
        <c:axId val="333"/>
        <c:axId val="444"/>
      </c:scatterChart>
      <c:valAx>
        <c:axId val="333"/>
        <c:scaling>
          <c:orientation val="minMax"/>
          <c:max val="2028.6"/>
          <c:min val="2021"/>
        </c:scaling>
        <c:delete val="0"/>
        <c:axPos val="b"/>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5.0"/>
          <c:min val="1.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Ulush,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