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4.2-§ uchun model chizmalari (namuna)</w:t>
      </w:r>
    </w:p>
    <w:p>
      <w:pPr>
        <w:jc w:val="both"/>
      </w:pPr>
      <w:r>
        <w:rPr>
          <w:b/>
        </w:rPr>
        <w:t>A. Satellit modelning asosi – nuqtalar va regressiya chizig‘i (4.2.2-jadvaldan oldin)</w:t>
      </w:r>
    </w:p>
    <w:p>
      <w:pPr>
        <w:ind w:firstLine="709"/>
        <w:jc w:val="both"/>
      </w:pPr>
      <w:r>
        <w:rPr>
          <w:b w:val="0"/>
        </w:rPr>
        <w:t>Muammoli kreditlar ulushi va to‘rt chorak oldingi YaIM o‘sishi o‘rtasidagi bog‘liqlik 4.2.1-rasmda keltirilgan. Rasmdan ko‘rinib turibdiki, nuqtalar manfiy qiyalikka ega regressiya chizig‘i atrofida joylashgan (korrelyatsiya koeffitsiyenti −0,53, 1 foiz punkt sekinroq o‘sish keyingi yili ulushni 0,17 foiz punktga oshiradi). Eng yuqori qiymatlar 2020-yildagi pandemiya shokidan keyingi 2021-yil choraklariga to‘g‘ri keladi.</w:t>
      </w:r>
    </w:p>
    <w:p>
      <w:pPr>
        <w:keepNext/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240000"/>
            <wp:effectExtent l="0" t="0" r="0" b="0"/>
            <wp:docPr id="1001" name="A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</w:rPr>
        <w:t>4.2.1-rasm. Muammoli kreditlar ulushi va to‘rt chorak oldingi YaIM o‘sish sur’ati o‘rtasidagi bog‘liqlik, 2021–2025-yillar</w:t>
      </w:r>
    </w:p>
    <w:p>
      <w:pPr>
        <w:jc w:val="both"/>
      </w:pPr>
      <w:r>
        <w:rPr>
          <w:b w:val="0"/>
          <w:sz w:val="24"/>
        </w:rPr>
        <w:t>Izoh: har bir nuqta – bir chorak; regressiya chizig‘i y = 5,14 − 0,172x (R² = 0,28, n = 20); oldingi chorak darajasi hisobga olingan baho (−0,151) 4.2.2-jadvalda.</w:t>
      </w:r>
    </w:p>
    <w:p>
      <w:pPr>
        <w:jc w:val="both"/>
      </w:pPr>
      <w:r>
        <w:rPr>
          <w:b/>
        </w:rPr>
        <w:t>B. Bank darajasida kredit riski va daromadlilik – nuqtalar buluti (4.2.2-jadvaldan keyin)</w:t>
      </w:r>
    </w:p>
    <w:p>
      <w:pPr>
        <w:ind w:firstLine="709"/>
        <w:jc w:val="both"/>
      </w:pPr>
      <w:r>
        <w:rPr>
          <w:b w:val="0"/>
        </w:rPr>
        <w:t>Bank darajasidagi uchinchi model asosidagi bog‘liqlik 4.2.2-rasmda keltirilgan. Unda 25 ta bankning 394 ta choraklik kuzatuvi aks ettirilgan. Nuqtalar keng sochilgan bo‘lsa-da, muammoli kreditlar ulushi yuqori bo‘lgan banklarda aktivlar rentabelligi past ekani yaqqol ko‘rinadi (korrelyatsiya koeffitsiyenti −0,46).</w:t>
      </w:r>
    </w:p>
    <w:p>
      <w:pPr>
        <w:keepNext/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420000"/>
            <wp:effectExtent l="0" t="0" r="0" b="0"/>
            <wp:docPr id="1002" name="B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pPr>
        <w:jc w:val="center"/>
      </w:pPr>
      <w:r>
        <w:rPr>
          <w:b/>
        </w:rPr>
        <w:t>4.2.2-rasm. Tanlangan 25 ta bankda muammoli kreditlar ulushi va aktivlar rentabelligi o‘rtasidagi bog‘liqlik, 2022–2025-yillar</w:t>
      </w:r>
    </w:p>
    <w:p>
      <w:pPr>
        <w:jc w:val="both"/>
      </w:pPr>
      <w:r>
        <w:rPr>
          <w:b w:val="0"/>
          <w:sz w:val="24"/>
        </w:rPr>
        <w:t>Izoh: har bir nuqta – bir bankning bir choragi; ko‘rsatkichlar 1 va 99 foizlik chegaralarda vinzorlangan; regressiya chizig‘i barcha kuzatuvlar bo‘yicha y = 4,35 − 0,49x (R² = 0,21); bank effektlari hisobga olingan baho (−0,201) 4.2.2-jadvalda.</w:t>
      </w:r>
    </w:p>
    <w:p>
      <w:pPr>
        <w:jc w:val="both"/>
      </w:pPr>
      <w:r>
        <w:rPr>
          <w:b/>
        </w:rPr>
        <w:t>C. Orqaga tekshiruv – haqiqiy va prognoz qiymatlar (4.2.3-jadvaldan keyin)</w:t>
      </w:r>
    </w:p>
    <w:p>
      <w:pPr>
        <w:keepNext/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240000"/>
            <wp:effectExtent l="0" t="0" r="0" b="0"/>
            <wp:docPr id="1003" name="C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pPr>
        <w:jc w:val="center"/>
      </w:pPr>
      <w:r>
        <w:rPr>
          <w:b/>
        </w:rPr>
        <w:t>4.2.3-rasm. Bank tizimida muammoli kreditlar ulushining haqiqiy qiymatlari va orqaga tekshiruvdagi bir yil oldinga prognozlar, %</w:t>
      </w:r>
    </w:p>
    <w:p>
      <w:pPr>
        <w:jc w:val="both"/>
      </w:pPr>
      <w:r>
        <w:rPr>
          <w:b w:val="0"/>
          <w:sz w:val="24"/>
        </w:rPr>
        <w:t>Izoh: har bir prognoz oldingi yil oxirigacha bo‘lgan ma’lumotlar asosida baholangan model va haqiqiy YaIM o‘sishi bilan tuzilgan; qavs ichida 2023–2025-yillardagi o‘rtacha mutlaq xato (4.2.3-jadval).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2021-yil</c:v>
                </c:pt>
              </c:strCache>
            </c:strRef>
          </c:tx>
          <c:spPr>
            <a:ln>
              <a:noFill/>
            </a:ln>
          </c:spPr>
          <c:marker>
            <c:symbol val="circle"/>
            <c:size val="8"/>
            <c:spPr>
              <a:solidFill>
                <a:srgbClr val="C00000"/>
              </a:solidFill>
              <a:ln>
                <a:noFill/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4.9</c:v>
                </c:pt>
                <c:pt idx="1">
                  <c:v>0.8</c:v>
                </c:pt>
                <c:pt idx="2">
                  <c:v>0.0</c:v>
                </c:pt>
                <c:pt idx="3">
                  <c:v>1.6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3.54</c:v>
                </c:pt>
                <c:pt idx="1">
                  <c:v>5.51</c:v>
                </c:pt>
                <c:pt idx="2">
                  <c:v>5.74</c:v>
                </c:pt>
                <c:pt idx="3">
                  <c:v>5.2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2022-yil</c:v>
                </c:pt>
              </c:strCache>
            </c:strRef>
          </c:tx>
          <c:spPr>
            <a:ln>
              <a:noFill/>
            </a:ln>
          </c:spPr>
          <c:marker>
            <c:symbol val="circle"/>
            <c:size val="8"/>
            <c:spPr>
              <a:solidFill>
                <a:srgbClr val="EB6834"/>
              </a:solidFill>
              <a:ln>
                <a:noFill/>
              </a:ln>
            </c:spPr>
          </c:marker>
          <c:xVal>
            <c:numRef>
              <c:f>Sheet1!$C$2:$C$5</c:f>
              <c:numCache>
                <c:formatCode>General</c:formatCode>
                <c:ptCount val="4"/>
                <c:pt idx="0">
                  <c:v>4.8</c:v>
                </c:pt>
                <c:pt idx="1">
                  <c:v>8.4</c:v>
                </c:pt>
                <c:pt idx="2">
                  <c:v>8.8</c:v>
                </c:pt>
                <c:pt idx="3">
                  <c:v>8.0</c:v>
                </c:pt>
              </c:numCache>
            </c:numRef>
          </c:xVal>
          <c:yVal>
            <c:numRef>
              <c:f>Sheet1!$D$2:$D$5</c:f>
              <c:numCache>
                <c:formatCode>General</c:formatCode>
                <c:ptCount val="4"/>
                <c:pt idx="0">
                  <c:v>4.95</c:v>
                </c:pt>
                <c:pt idx="1">
                  <c:v>4.89</c:v>
                </c:pt>
                <c:pt idx="2">
                  <c:v>4.72</c:v>
                </c:pt>
                <c:pt idx="3">
                  <c:v>3.59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2023-yil</c:v>
                </c:pt>
              </c:strCache>
            </c:strRef>
          </c:tx>
          <c:spPr>
            <a:ln>
              <a:noFill/>
            </a:ln>
          </c:spPr>
          <c:marker>
            <c:symbol val="circle"/>
            <c:size val="8"/>
            <c:spPr>
              <a:solidFill>
                <a:srgbClr val="BF9000"/>
              </a:solidFill>
              <a:ln>
                <a:noFill/>
              </a:ln>
            </c:spPr>
          </c:marker>
          <c:xVal>
            <c:numRef>
              <c:f>Sheet1!$E$2:$E$5</c:f>
              <c:numCache>
                <c:formatCode>General</c:formatCode>
                <c:ptCount val="4"/>
                <c:pt idx="0">
                  <c:v>5.1</c:v>
                </c:pt>
                <c:pt idx="1">
                  <c:v>4.5</c:v>
                </c:pt>
                <c:pt idx="2">
                  <c:v>5.3</c:v>
                </c:pt>
                <c:pt idx="3">
                  <c:v>6.0</c:v>
                </c:pt>
              </c:numCache>
            </c:numRef>
          </c:xVal>
          <c:yVal>
            <c:numRef>
              <c:f>Sheet1!$F$2:$F$5</c:f>
              <c:numCache>
                <c:formatCode>General</c:formatCode>
                <c:ptCount val="4"/>
                <c:pt idx="0">
                  <c:v>3.51</c:v>
                </c:pt>
                <c:pt idx="1">
                  <c:v>3.38</c:v>
                </c:pt>
                <c:pt idx="2">
                  <c:v>3.73</c:v>
                </c:pt>
                <c:pt idx="3">
                  <c:v>3.53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Sheet1!$H$1</c:f>
              <c:strCache>
                <c:ptCount val="1"/>
                <c:pt idx="0">
                  <c:v>2024-yil</c:v>
                </c:pt>
              </c:strCache>
            </c:strRef>
          </c:tx>
          <c:spPr>
            <a:ln>
              <a:noFill/>
            </a:ln>
          </c:spPr>
          <c:marker>
            <c:symbol val="circle"/>
            <c:size val="8"/>
            <c:spPr>
              <a:solidFill>
                <a:srgbClr val="70AD47"/>
              </a:solidFill>
              <a:ln>
                <a:noFill/>
              </a:ln>
            </c:spPr>
          </c:marker>
          <c:xVal>
            <c:numRef>
              <c:f>Sheet1!$G$2:$G$5</c:f>
              <c:numCache>
                <c:formatCode>General</c:formatCode>
                <c:ptCount val="4"/>
                <c:pt idx="0">
                  <c:v>6.5</c:v>
                </c:pt>
                <c:pt idx="1">
                  <c:v>7.1</c:v>
                </c:pt>
                <c:pt idx="2">
                  <c:v>6.5</c:v>
                </c:pt>
                <c:pt idx="3">
                  <c:v>6.31</c:v>
                </c:pt>
              </c:numCache>
            </c:numRef>
          </c:xVal>
          <c:yVal>
            <c:numRef>
              <c:f>Sheet1!$H$2:$H$5</c:f>
              <c:numCache>
                <c:formatCode>General</c:formatCode>
                <c:ptCount val="4"/>
                <c:pt idx="0">
                  <c:v>4.52</c:v>
                </c:pt>
                <c:pt idx="1">
                  <c:v>4.05</c:v>
                </c:pt>
                <c:pt idx="2">
                  <c:v>4.18</c:v>
                </c:pt>
                <c:pt idx="3">
                  <c:v>3.97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Sheet1!$J$1</c:f>
              <c:strCache>
                <c:ptCount val="1"/>
                <c:pt idx="0">
                  <c:v>2025-yil</c:v>
                </c:pt>
              </c:strCache>
            </c:strRef>
          </c:tx>
          <c:spPr>
            <a:ln>
              <a:noFill/>
            </a:ln>
          </c:spPr>
          <c:marker>
            <c:symbol val="circle"/>
            <c:size val="8"/>
            <c:spPr>
              <a:solidFill>
                <a:srgbClr val="2A78D6"/>
              </a:solidFill>
              <a:ln>
                <a:noFill/>
              </a:ln>
            </c:spPr>
          </c:marker>
          <c:xVal>
            <c:numRef>
              <c:f>Sheet1!$I$2:$I$5</c:f>
              <c:numCache>
                <c:formatCode>General</c:formatCode>
                <c:ptCount val="4"/>
                <c:pt idx="0">
                  <c:v>6.6</c:v>
                </c:pt>
                <c:pt idx="1">
                  <c:v>6.7</c:v>
                </c:pt>
                <c:pt idx="2">
                  <c:v>6.6</c:v>
                </c:pt>
                <c:pt idx="3">
                  <c:v>6.7</c:v>
                </c:pt>
              </c:numCache>
            </c:numRef>
          </c:xVal>
          <c:yVal>
            <c:numRef>
              <c:f>Sheet1!$J$2:$J$5</c:f>
              <c:numCache>
                <c:formatCode>General</c:formatCode>
                <c:ptCount val="4"/>
                <c:pt idx="0">
                  <c:v>4.26</c:v>
                </c:pt>
                <c:pt idx="1">
                  <c:v>3.8</c:v>
                </c:pt>
                <c:pt idx="2">
                  <c:v>3.65</c:v>
                </c:pt>
                <c:pt idx="3">
                  <c:v>2.99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Sheet1!$L$1</c:f>
              <c:strCache>
                <c:ptCount val="1"/>
                <c:pt idx="0">
                  <c:v>Regressiya chizig‘i</c:v>
                </c:pt>
              </c:strCache>
            </c:strRef>
          </c:tx>
          <c:spPr>
            <a:ln w="19050">
              <a:solidFill>
                <a:srgbClr val="000000"/>
              </a:solidFill>
            </a:ln>
          </c:spPr>
          <c:marker>
            <c:symbol val="none"/>
          </c:marker>
          <c:xVal>
            <c:numRef>
              <c:f>Sheet1!$K$2:$K$3</c:f>
              <c:numCache>
                <c:formatCode>General</c:formatCode>
                <c:ptCount val="2"/>
                <c:pt idx="0">
                  <c:v>0.0</c:v>
                </c:pt>
                <c:pt idx="1">
                  <c:v>9.0</c:v>
                </c:pt>
              </c:numCache>
            </c:numRef>
          </c:xVal>
          <c:yVal>
            <c:numRef>
              <c:f>Sheet1!$L$2:$L$3</c:f>
              <c:numCache>
                <c:formatCode>General</c:formatCode>
                <c:ptCount val="2"/>
                <c:pt idx="0">
                  <c:v>5.143</c:v>
                </c:pt>
                <c:pt idx="1">
                  <c:v>3.592</c:v>
                </c:pt>
              </c:numCache>
            </c:numRef>
          </c:yVal>
          <c:smooth val="0"/>
        </c:ser>
        <c:axId val="333"/>
        <c:axId val="444"/>
      </c:scatterChart>
      <c:valAx>
        <c:axId val="333"/>
        <c:scaling>
          <c:orientation val="minMax"/>
          <c:max val="10"/>
          <c:min val="0"/>
        </c:scaling>
        <c:delete val="0"/>
        <c:axPos val="b"/>
        <c:title>
          <c:tx>
            <c:rich>
              <a:bodyPr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YaIM real o‘sish sur’ati (4 chorak oldin),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444"/>
        <c:crosses val="autoZero"/>
        <c:crossBetween val="midCat"/>
        <c:majorUnit val="2"/>
      </c:valAx>
      <c:valAx>
        <c:axId val="444"/>
        <c:scaling>
          <c:orientation val="minMax"/>
          <c:max val="6"/>
          <c:min val="2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Muammoli kreditlar ulushi, %</a:t>
                </a:r>
              </a:p>
            </c:rich>
          </c:tx>
          <c:overlay val="0"/>
        </c:title>
        <c:numFmt formatCode="0.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333"/>
        <c:crosses val="autoZero"/>
        <c:crossBetween val="midCat"/>
        <c:majorUnit val="1"/>
      </c:valAx>
      <c:spPr>
        <a:noFill/>
        <a:ln>
          <a:noFill/>
        </a:ln>
      </c:spPr>
    </c:plotArea>
    <c:legend>
      <c:legendPos val="r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Boshqa banklar (246 ta kuzatuv)</c:v>
                </c:pt>
              </c:strCache>
            </c:strRef>
          </c:tx>
          <c:spPr>
            <a:ln>
              <a:noFill/>
            </a:ln>
          </c:spPr>
          <c:marker>
            <c:symbol val="circle"/>
            <c:size val="5"/>
            <c:spPr>
              <a:solidFill>
                <a:srgbClr val="2A78D6"/>
              </a:solidFill>
              <a:ln>
                <a:noFill/>
              </a:ln>
            </c:spPr>
          </c:marker>
          <c:xVal>
            <c:numRef>
              <c:f>Sheet1!$A$2:$A$247</c:f>
              <c:numCache>
                <c:formatCode>General</c:formatCode>
                <c:ptCount val="246"/>
                <c:pt idx="0">
                  <c:v>1.51</c:v>
                </c:pt>
                <c:pt idx="1">
                  <c:v>2.14</c:v>
                </c:pt>
                <c:pt idx="2">
                  <c:v>2.26</c:v>
                </c:pt>
                <c:pt idx="3">
                  <c:v>2.45</c:v>
                </c:pt>
                <c:pt idx="4">
                  <c:v>3.15</c:v>
                </c:pt>
                <c:pt idx="5">
                  <c:v>1.68</c:v>
                </c:pt>
                <c:pt idx="6">
                  <c:v>1.62</c:v>
                </c:pt>
                <c:pt idx="7">
                  <c:v>2.01</c:v>
                </c:pt>
                <c:pt idx="8">
                  <c:v>2.56</c:v>
                </c:pt>
                <c:pt idx="9">
                  <c:v>2.46</c:v>
                </c:pt>
                <c:pt idx="10">
                  <c:v>2.46</c:v>
                </c:pt>
                <c:pt idx="11">
                  <c:v>2.44</c:v>
                </c:pt>
                <c:pt idx="12">
                  <c:v>2.76</c:v>
                </c:pt>
                <c:pt idx="13">
                  <c:v>3.76</c:v>
                </c:pt>
                <c:pt idx="14">
                  <c:v>4.35</c:v>
                </c:pt>
                <c:pt idx="15">
                  <c:v>4.75</c:v>
                </c:pt>
                <c:pt idx="16">
                  <c:v>6.83</c:v>
                </c:pt>
                <c:pt idx="17">
                  <c:v>6.63</c:v>
                </c:pt>
                <c:pt idx="18">
                  <c:v>3.01</c:v>
                </c:pt>
                <c:pt idx="19">
                  <c:v>1.42</c:v>
                </c:pt>
                <c:pt idx="20">
                  <c:v>2.4</c:v>
                </c:pt>
                <c:pt idx="21">
                  <c:v>3.01</c:v>
                </c:pt>
                <c:pt idx="22">
                  <c:v>2.5</c:v>
                </c:pt>
                <c:pt idx="23">
                  <c:v>1.49</c:v>
                </c:pt>
                <c:pt idx="24">
                  <c:v>1.56</c:v>
                </c:pt>
                <c:pt idx="25">
                  <c:v>2.2</c:v>
                </c:pt>
                <c:pt idx="26">
                  <c:v>2.8</c:v>
                </c:pt>
                <c:pt idx="27">
                  <c:v>2.01</c:v>
                </c:pt>
                <c:pt idx="28">
                  <c:v>1.25</c:v>
                </c:pt>
                <c:pt idx="29">
                  <c:v>0.61</c:v>
                </c:pt>
                <c:pt idx="30">
                  <c:v>0.81</c:v>
                </c:pt>
                <c:pt idx="31">
                  <c:v>1.15</c:v>
                </c:pt>
                <c:pt idx="32">
                  <c:v>0.91</c:v>
                </c:pt>
                <c:pt idx="33">
                  <c:v>1.36</c:v>
                </c:pt>
                <c:pt idx="34">
                  <c:v>0.85</c:v>
                </c:pt>
                <c:pt idx="35">
                  <c:v>1.56</c:v>
                </c:pt>
                <c:pt idx="36">
                  <c:v>1.71</c:v>
                </c:pt>
                <c:pt idx="37">
                  <c:v>0.52</c:v>
                </c:pt>
                <c:pt idx="38">
                  <c:v>0.73</c:v>
                </c:pt>
                <c:pt idx="39">
                  <c:v>0.65</c:v>
                </c:pt>
                <c:pt idx="40">
                  <c:v>0.79</c:v>
                </c:pt>
                <c:pt idx="41">
                  <c:v>0.6</c:v>
                </c:pt>
                <c:pt idx="42">
                  <c:v>0.9</c:v>
                </c:pt>
                <c:pt idx="43">
                  <c:v>1.92</c:v>
                </c:pt>
                <c:pt idx="44">
                  <c:v>2.69</c:v>
                </c:pt>
                <c:pt idx="45">
                  <c:v>3.27</c:v>
                </c:pt>
                <c:pt idx="46">
                  <c:v>4.18</c:v>
                </c:pt>
                <c:pt idx="47">
                  <c:v>3.21</c:v>
                </c:pt>
                <c:pt idx="48">
                  <c:v>7.72</c:v>
                </c:pt>
                <c:pt idx="49">
                  <c:v>7.69</c:v>
                </c:pt>
                <c:pt idx="50">
                  <c:v>9.26</c:v>
                </c:pt>
                <c:pt idx="51">
                  <c:v>17.53</c:v>
                </c:pt>
                <c:pt idx="52">
                  <c:v>4.67</c:v>
                </c:pt>
                <c:pt idx="53">
                  <c:v>8.46</c:v>
                </c:pt>
                <c:pt idx="54">
                  <c:v>14.83</c:v>
                </c:pt>
                <c:pt idx="55">
                  <c:v>14.87</c:v>
                </c:pt>
                <c:pt idx="56">
                  <c:v>14.77</c:v>
                </c:pt>
                <c:pt idx="57">
                  <c:v>17.53</c:v>
                </c:pt>
                <c:pt idx="58">
                  <c:v>16.73</c:v>
                </c:pt>
                <c:pt idx="59">
                  <c:v>9.87</c:v>
                </c:pt>
                <c:pt idx="60">
                  <c:v>4.92</c:v>
                </c:pt>
                <c:pt idx="61">
                  <c:v>0.86</c:v>
                </c:pt>
                <c:pt idx="62">
                  <c:v>0.64</c:v>
                </c:pt>
                <c:pt idx="63">
                  <c:v>0.68</c:v>
                </c:pt>
                <c:pt idx="64">
                  <c:v>0.59</c:v>
                </c:pt>
                <c:pt idx="65">
                  <c:v>0.6</c:v>
                </c:pt>
                <c:pt idx="66">
                  <c:v>0.59</c:v>
                </c:pt>
                <c:pt idx="67">
                  <c:v>0.64</c:v>
                </c:pt>
                <c:pt idx="68">
                  <c:v>0.63</c:v>
                </c:pt>
                <c:pt idx="69">
                  <c:v>1.22</c:v>
                </c:pt>
                <c:pt idx="70">
                  <c:v>1.22</c:v>
                </c:pt>
                <c:pt idx="71">
                  <c:v>1.44</c:v>
                </c:pt>
                <c:pt idx="72">
                  <c:v>1.66</c:v>
                </c:pt>
                <c:pt idx="73">
                  <c:v>1.49</c:v>
                </c:pt>
                <c:pt idx="74">
                  <c:v>1.46</c:v>
                </c:pt>
                <c:pt idx="75">
                  <c:v>1.4</c:v>
                </c:pt>
                <c:pt idx="76">
                  <c:v>0.8</c:v>
                </c:pt>
                <c:pt idx="77">
                  <c:v>1.97</c:v>
                </c:pt>
                <c:pt idx="78">
                  <c:v>1.99</c:v>
                </c:pt>
                <c:pt idx="79">
                  <c:v>1.62</c:v>
                </c:pt>
                <c:pt idx="80">
                  <c:v>0.55</c:v>
                </c:pt>
                <c:pt idx="81">
                  <c:v>0.77</c:v>
                </c:pt>
                <c:pt idx="82">
                  <c:v>1.37</c:v>
                </c:pt>
                <c:pt idx="83">
                  <c:v>1.47</c:v>
                </c:pt>
                <c:pt idx="84">
                  <c:v>1.06</c:v>
                </c:pt>
                <c:pt idx="85">
                  <c:v>2.06</c:v>
                </c:pt>
                <c:pt idx="86">
                  <c:v>1.6</c:v>
                </c:pt>
                <c:pt idx="87">
                  <c:v>1.46</c:v>
                </c:pt>
                <c:pt idx="88">
                  <c:v>1.37</c:v>
                </c:pt>
                <c:pt idx="89">
                  <c:v>1.73</c:v>
                </c:pt>
                <c:pt idx="90">
                  <c:v>2.76</c:v>
                </c:pt>
                <c:pt idx="91">
                  <c:v>2.73</c:v>
                </c:pt>
                <c:pt idx="92">
                  <c:v>2.52</c:v>
                </c:pt>
                <c:pt idx="93">
                  <c:v>3.19</c:v>
                </c:pt>
                <c:pt idx="94">
                  <c:v>3.39</c:v>
                </c:pt>
                <c:pt idx="95">
                  <c:v>3.19</c:v>
                </c:pt>
                <c:pt idx="96">
                  <c:v>1.87</c:v>
                </c:pt>
                <c:pt idx="97">
                  <c:v>2.1</c:v>
                </c:pt>
                <c:pt idx="98">
                  <c:v>2.77</c:v>
                </c:pt>
                <c:pt idx="99">
                  <c:v>2.48</c:v>
                </c:pt>
                <c:pt idx="100">
                  <c:v>2.14</c:v>
                </c:pt>
                <c:pt idx="101">
                  <c:v>0.88</c:v>
                </c:pt>
                <c:pt idx="102">
                  <c:v>1.38</c:v>
                </c:pt>
                <c:pt idx="103">
                  <c:v>1.49</c:v>
                </c:pt>
                <c:pt idx="104">
                  <c:v>1.53</c:v>
                </c:pt>
                <c:pt idx="105">
                  <c:v>1.46</c:v>
                </c:pt>
                <c:pt idx="106">
                  <c:v>1.48</c:v>
                </c:pt>
                <c:pt idx="107">
                  <c:v>1.39</c:v>
                </c:pt>
                <c:pt idx="108">
                  <c:v>1.12</c:v>
                </c:pt>
                <c:pt idx="109">
                  <c:v>7.37</c:v>
                </c:pt>
                <c:pt idx="110">
                  <c:v>4.65</c:v>
                </c:pt>
                <c:pt idx="111">
                  <c:v>7.46</c:v>
                </c:pt>
                <c:pt idx="112">
                  <c:v>7.55</c:v>
                </c:pt>
                <c:pt idx="113">
                  <c:v>12.34</c:v>
                </c:pt>
                <c:pt idx="114">
                  <c:v>10.19</c:v>
                </c:pt>
                <c:pt idx="115">
                  <c:v>10.24</c:v>
                </c:pt>
                <c:pt idx="116">
                  <c:v>6.6</c:v>
                </c:pt>
                <c:pt idx="117">
                  <c:v>6.29</c:v>
                </c:pt>
                <c:pt idx="118">
                  <c:v>3.55</c:v>
                </c:pt>
                <c:pt idx="119">
                  <c:v>0.0</c:v>
                </c:pt>
                <c:pt idx="120">
                  <c:v>0.0</c:v>
                </c:pt>
                <c:pt idx="121">
                  <c:v>0.0</c:v>
                </c:pt>
                <c:pt idx="122">
                  <c:v>0.0</c:v>
                </c:pt>
                <c:pt idx="123">
                  <c:v>0.0</c:v>
                </c:pt>
                <c:pt idx="124">
                  <c:v>0.0</c:v>
                </c:pt>
                <c:pt idx="125">
                  <c:v>0.0</c:v>
                </c:pt>
                <c:pt idx="126">
                  <c:v>0.0</c:v>
                </c:pt>
                <c:pt idx="127">
                  <c:v>0.0</c:v>
                </c:pt>
                <c:pt idx="128">
                  <c:v>0.0</c:v>
                </c:pt>
                <c:pt idx="129">
                  <c:v>0.0</c:v>
                </c:pt>
                <c:pt idx="130">
                  <c:v>0.0</c:v>
                </c:pt>
                <c:pt idx="131">
                  <c:v>0.0</c:v>
                </c:pt>
                <c:pt idx="132">
                  <c:v>0.0</c:v>
                </c:pt>
                <c:pt idx="133">
                  <c:v>0.0</c:v>
                </c:pt>
                <c:pt idx="134">
                  <c:v>0.0</c:v>
                </c:pt>
                <c:pt idx="135">
                  <c:v>2.49</c:v>
                </c:pt>
                <c:pt idx="136">
                  <c:v>2.03</c:v>
                </c:pt>
                <c:pt idx="137">
                  <c:v>2.01</c:v>
                </c:pt>
                <c:pt idx="138">
                  <c:v>1.17</c:v>
                </c:pt>
                <c:pt idx="139">
                  <c:v>0.74</c:v>
                </c:pt>
                <c:pt idx="140">
                  <c:v>0.69</c:v>
                </c:pt>
                <c:pt idx="141">
                  <c:v>1.18</c:v>
                </c:pt>
                <c:pt idx="142">
                  <c:v>1.41</c:v>
                </c:pt>
                <c:pt idx="143">
                  <c:v>1.89</c:v>
                </c:pt>
                <c:pt idx="144">
                  <c:v>2.93</c:v>
                </c:pt>
                <c:pt idx="145">
                  <c:v>3.06</c:v>
                </c:pt>
                <c:pt idx="146">
                  <c:v>4.55</c:v>
                </c:pt>
                <c:pt idx="147">
                  <c:v>5.06</c:v>
                </c:pt>
                <c:pt idx="148">
                  <c:v>5.49</c:v>
                </c:pt>
                <c:pt idx="149">
                  <c:v>4.39</c:v>
                </c:pt>
                <c:pt idx="150">
                  <c:v>2.81</c:v>
                </c:pt>
                <c:pt idx="151">
                  <c:v>1.04</c:v>
                </c:pt>
                <c:pt idx="152">
                  <c:v>0.85</c:v>
                </c:pt>
                <c:pt idx="153">
                  <c:v>0.68</c:v>
                </c:pt>
                <c:pt idx="154">
                  <c:v>0.64</c:v>
                </c:pt>
                <c:pt idx="155">
                  <c:v>0.65</c:v>
                </c:pt>
                <c:pt idx="156">
                  <c:v>0.3</c:v>
                </c:pt>
                <c:pt idx="157">
                  <c:v>0.21</c:v>
                </c:pt>
                <c:pt idx="158">
                  <c:v>0.3</c:v>
                </c:pt>
                <c:pt idx="159">
                  <c:v>0.39</c:v>
                </c:pt>
                <c:pt idx="160">
                  <c:v>0.11</c:v>
                </c:pt>
                <c:pt idx="161">
                  <c:v>0.19</c:v>
                </c:pt>
                <c:pt idx="162">
                  <c:v>0.18</c:v>
                </c:pt>
                <c:pt idx="163">
                  <c:v>1.13</c:v>
                </c:pt>
                <c:pt idx="164">
                  <c:v>1.91</c:v>
                </c:pt>
                <c:pt idx="165">
                  <c:v>1.44</c:v>
                </c:pt>
                <c:pt idx="166">
                  <c:v>0.15</c:v>
                </c:pt>
                <c:pt idx="167">
                  <c:v>2.47</c:v>
                </c:pt>
                <c:pt idx="168">
                  <c:v>8.6</c:v>
                </c:pt>
                <c:pt idx="169">
                  <c:v>10.5</c:v>
                </c:pt>
                <c:pt idx="170">
                  <c:v>7.31</c:v>
                </c:pt>
                <c:pt idx="171">
                  <c:v>3.37</c:v>
                </c:pt>
                <c:pt idx="172">
                  <c:v>1.58</c:v>
                </c:pt>
                <c:pt idx="173">
                  <c:v>2.12</c:v>
                </c:pt>
                <c:pt idx="174">
                  <c:v>2.6</c:v>
                </c:pt>
                <c:pt idx="175">
                  <c:v>3.84</c:v>
                </c:pt>
                <c:pt idx="176">
                  <c:v>3.48</c:v>
                </c:pt>
                <c:pt idx="177">
                  <c:v>3.41</c:v>
                </c:pt>
                <c:pt idx="178">
                  <c:v>2.33</c:v>
                </c:pt>
                <c:pt idx="179">
                  <c:v>2.39</c:v>
                </c:pt>
                <c:pt idx="180">
                  <c:v>2.46</c:v>
                </c:pt>
                <c:pt idx="181">
                  <c:v>2.76</c:v>
                </c:pt>
                <c:pt idx="182">
                  <c:v>2.78</c:v>
                </c:pt>
                <c:pt idx="183">
                  <c:v>2.57</c:v>
                </c:pt>
                <c:pt idx="184">
                  <c:v>2.43</c:v>
                </c:pt>
                <c:pt idx="185">
                  <c:v>2.08</c:v>
                </c:pt>
                <c:pt idx="186">
                  <c:v>1.95</c:v>
                </c:pt>
                <c:pt idx="187">
                  <c:v>2.27</c:v>
                </c:pt>
                <c:pt idx="188">
                  <c:v>2.22</c:v>
                </c:pt>
                <c:pt idx="189">
                  <c:v>1.94</c:v>
                </c:pt>
                <c:pt idx="190">
                  <c:v>2.05</c:v>
                </c:pt>
                <c:pt idx="191">
                  <c:v>2.5</c:v>
                </c:pt>
                <c:pt idx="192">
                  <c:v>2.85</c:v>
                </c:pt>
                <c:pt idx="193">
                  <c:v>2.14</c:v>
                </c:pt>
                <c:pt idx="194">
                  <c:v>3.3</c:v>
                </c:pt>
                <c:pt idx="195">
                  <c:v>4.08</c:v>
                </c:pt>
                <c:pt idx="196">
                  <c:v>4.49</c:v>
                </c:pt>
                <c:pt idx="197">
                  <c:v>5.71</c:v>
                </c:pt>
                <c:pt idx="198">
                  <c:v>1.76</c:v>
                </c:pt>
                <c:pt idx="199">
                  <c:v>1.94</c:v>
                </c:pt>
                <c:pt idx="200">
                  <c:v>3.97</c:v>
                </c:pt>
                <c:pt idx="201">
                  <c:v>3.78</c:v>
                </c:pt>
                <c:pt idx="202">
                  <c:v>5.38</c:v>
                </c:pt>
                <c:pt idx="203">
                  <c:v>3.55</c:v>
                </c:pt>
                <c:pt idx="204">
                  <c:v>2.55</c:v>
                </c:pt>
                <c:pt idx="205">
                  <c:v>2.04</c:v>
                </c:pt>
                <c:pt idx="206">
                  <c:v>2.6</c:v>
                </c:pt>
                <c:pt idx="207">
                  <c:v>1.75</c:v>
                </c:pt>
                <c:pt idx="208">
                  <c:v>2.79</c:v>
                </c:pt>
                <c:pt idx="209">
                  <c:v>3.43</c:v>
                </c:pt>
                <c:pt idx="210">
                  <c:v>3.24</c:v>
                </c:pt>
                <c:pt idx="211">
                  <c:v>3.71</c:v>
                </c:pt>
                <c:pt idx="212">
                  <c:v>3.26</c:v>
                </c:pt>
                <c:pt idx="213">
                  <c:v>3.51</c:v>
                </c:pt>
                <c:pt idx="214">
                  <c:v>4.29</c:v>
                </c:pt>
                <c:pt idx="215">
                  <c:v>4.49</c:v>
                </c:pt>
                <c:pt idx="216">
                  <c:v>4.55</c:v>
                </c:pt>
                <c:pt idx="217">
                  <c:v>1.87</c:v>
                </c:pt>
                <c:pt idx="218">
                  <c:v>0.93</c:v>
                </c:pt>
                <c:pt idx="219">
                  <c:v>0.65</c:v>
                </c:pt>
                <c:pt idx="220">
                  <c:v>0.59</c:v>
                </c:pt>
                <c:pt idx="221">
                  <c:v>3.04</c:v>
                </c:pt>
                <c:pt idx="222">
                  <c:v>0.88</c:v>
                </c:pt>
                <c:pt idx="223">
                  <c:v>0.8</c:v>
                </c:pt>
                <c:pt idx="224">
                  <c:v>1.23</c:v>
                </c:pt>
                <c:pt idx="225">
                  <c:v>1.12</c:v>
                </c:pt>
                <c:pt idx="226">
                  <c:v>0.88</c:v>
                </c:pt>
                <c:pt idx="227">
                  <c:v>0.94</c:v>
                </c:pt>
                <c:pt idx="228">
                  <c:v>0.58</c:v>
                </c:pt>
                <c:pt idx="229">
                  <c:v>0.52</c:v>
                </c:pt>
                <c:pt idx="230">
                  <c:v>4.03</c:v>
                </c:pt>
                <c:pt idx="231">
                  <c:v>4.41</c:v>
                </c:pt>
                <c:pt idx="232">
                  <c:v>6.12</c:v>
                </c:pt>
                <c:pt idx="233">
                  <c:v>2.91</c:v>
                </c:pt>
                <c:pt idx="234">
                  <c:v>5.02</c:v>
                </c:pt>
                <c:pt idx="235">
                  <c:v>2.55</c:v>
                </c:pt>
                <c:pt idx="236">
                  <c:v>1.6</c:v>
                </c:pt>
                <c:pt idx="237">
                  <c:v>2.24</c:v>
                </c:pt>
                <c:pt idx="238">
                  <c:v>2.38</c:v>
                </c:pt>
                <c:pt idx="239">
                  <c:v>1.47</c:v>
                </c:pt>
                <c:pt idx="240">
                  <c:v>3.34</c:v>
                </c:pt>
                <c:pt idx="241">
                  <c:v>3.28</c:v>
                </c:pt>
                <c:pt idx="242">
                  <c:v>3.58</c:v>
                </c:pt>
                <c:pt idx="243">
                  <c:v>4.58</c:v>
                </c:pt>
                <c:pt idx="244">
                  <c:v>3.54</c:v>
                </c:pt>
                <c:pt idx="245">
                  <c:v>3.86</c:v>
                </c:pt>
              </c:numCache>
            </c:numRef>
          </c:xVal>
          <c:yVal>
            <c:numRef>
              <c:f>Sheet1!$B$2:$B$247</c:f>
              <c:numCache>
                <c:formatCode>General</c:formatCode>
                <c:ptCount val="246"/>
                <c:pt idx="0">
                  <c:v>-4.76</c:v>
                </c:pt>
                <c:pt idx="1">
                  <c:v>-0.22</c:v>
                </c:pt>
                <c:pt idx="2">
                  <c:v>3.24</c:v>
                </c:pt>
                <c:pt idx="3">
                  <c:v>4.34</c:v>
                </c:pt>
                <c:pt idx="4">
                  <c:v>0.94</c:v>
                </c:pt>
                <c:pt idx="5">
                  <c:v>4.75</c:v>
                </c:pt>
                <c:pt idx="6">
                  <c:v>3.89</c:v>
                </c:pt>
                <c:pt idx="7">
                  <c:v>3.94</c:v>
                </c:pt>
                <c:pt idx="8">
                  <c:v>0.89</c:v>
                </c:pt>
                <c:pt idx="9">
                  <c:v>1.81</c:v>
                </c:pt>
                <c:pt idx="10">
                  <c:v>3.26</c:v>
                </c:pt>
                <c:pt idx="11">
                  <c:v>3.93</c:v>
                </c:pt>
                <c:pt idx="12">
                  <c:v>4.26</c:v>
                </c:pt>
                <c:pt idx="13">
                  <c:v>-0.48</c:v>
                </c:pt>
                <c:pt idx="14">
                  <c:v>4.09</c:v>
                </c:pt>
                <c:pt idx="15">
                  <c:v>1.84</c:v>
                </c:pt>
                <c:pt idx="16">
                  <c:v>4.05</c:v>
                </c:pt>
                <c:pt idx="17">
                  <c:v>3.91</c:v>
                </c:pt>
                <c:pt idx="18">
                  <c:v>5.3</c:v>
                </c:pt>
                <c:pt idx="19">
                  <c:v>4.38</c:v>
                </c:pt>
                <c:pt idx="20">
                  <c:v>4.87</c:v>
                </c:pt>
                <c:pt idx="21">
                  <c:v>5.11</c:v>
                </c:pt>
                <c:pt idx="22">
                  <c:v>0.09</c:v>
                </c:pt>
                <c:pt idx="23">
                  <c:v>9.32</c:v>
                </c:pt>
                <c:pt idx="24">
                  <c:v>5.0</c:v>
                </c:pt>
                <c:pt idx="25">
                  <c:v>3.87</c:v>
                </c:pt>
                <c:pt idx="26">
                  <c:v>7.51</c:v>
                </c:pt>
                <c:pt idx="27">
                  <c:v>4.8</c:v>
                </c:pt>
                <c:pt idx="28">
                  <c:v>5.42</c:v>
                </c:pt>
                <c:pt idx="29">
                  <c:v>6.18</c:v>
                </c:pt>
                <c:pt idx="30">
                  <c:v>6.1</c:v>
                </c:pt>
                <c:pt idx="31">
                  <c:v>6.56</c:v>
                </c:pt>
                <c:pt idx="32">
                  <c:v>6.28</c:v>
                </c:pt>
                <c:pt idx="33">
                  <c:v>6.62</c:v>
                </c:pt>
                <c:pt idx="34">
                  <c:v>8.04</c:v>
                </c:pt>
                <c:pt idx="35">
                  <c:v>7.7</c:v>
                </c:pt>
                <c:pt idx="36">
                  <c:v>9.13</c:v>
                </c:pt>
                <c:pt idx="37">
                  <c:v>9.22</c:v>
                </c:pt>
                <c:pt idx="38">
                  <c:v>7.97</c:v>
                </c:pt>
                <c:pt idx="39">
                  <c:v>4.66</c:v>
                </c:pt>
                <c:pt idx="40">
                  <c:v>6.68</c:v>
                </c:pt>
                <c:pt idx="41">
                  <c:v>4.76</c:v>
                </c:pt>
                <c:pt idx="42">
                  <c:v>4.96</c:v>
                </c:pt>
                <c:pt idx="43">
                  <c:v>4.65</c:v>
                </c:pt>
                <c:pt idx="44">
                  <c:v>5.26</c:v>
                </c:pt>
                <c:pt idx="45">
                  <c:v>6.26</c:v>
                </c:pt>
                <c:pt idx="46">
                  <c:v>5.88</c:v>
                </c:pt>
                <c:pt idx="47">
                  <c:v>5.58</c:v>
                </c:pt>
                <c:pt idx="48">
                  <c:v>0.29</c:v>
                </c:pt>
                <c:pt idx="49">
                  <c:v>0.88</c:v>
                </c:pt>
                <c:pt idx="50">
                  <c:v>0.15</c:v>
                </c:pt>
                <c:pt idx="51">
                  <c:v>-0.8</c:v>
                </c:pt>
                <c:pt idx="52">
                  <c:v>0.18</c:v>
                </c:pt>
                <c:pt idx="53">
                  <c:v>0.18</c:v>
                </c:pt>
                <c:pt idx="54">
                  <c:v>0.15</c:v>
                </c:pt>
                <c:pt idx="55">
                  <c:v>0.0</c:v>
                </c:pt>
                <c:pt idx="56">
                  <c:v>-9.84</c:v>
                </c:pt>
                <c:pt idx="57">
                  <c:v>-1.85</c:v>
                </c:pt>
                <c:pt idx="58">
                  <c:v>0.3</c:v>
                </c:pt>
                <c:pt idx="59">
                  <c:v>1.03</c:v>
                </c:pt>
                <c:pt idx="60">
                  <c:v>0.41</c:v>
                </c:pt>
                <c:pt idx="61">
                  <c:v>4.03</c:v>
                </c:pt>
                <c:pt idx="62">
                  <c:v>5.52</c:v>
                </c:pt>
                <c:pt idx="63">
                  <c:v>5.79</c:v>
                </c:pt>
                <c:pt idx="64">
                  <c:v>5.08</c:v>
                </c:pt>
                <c:pt idx="65">
                  <c:v>5.92</c:v>
                </c:pt>
                <c:pt idx="66">
                  <c:v>6.66</c:v>
                </c:pt>
                <c:pt idx="67">
                  <c:v>7.88</c:v>
                </c:pt>
                <c:pt idx="68">
                  <c:v>5.59</c:v>
                </c:pt>
                <c:pt idx="69">
                  <c:v>5.98</c:v>
                </c:pt>
                <c:pt idx="70">
                  <c:v>6.16</c:v>
                </c:pt>
                <c:pt idx="71">
                  <c:v>5.96</c:v>
                </c:pt>
                <c:pt idx="72">
                  <c:v>5.59</c:v>
                </c:pt>
                <c:pt idx="73">
                  <c:v>5.4</c:v>
                </c:pt>
                <c:pt idx="74">
                  <c:v>5.36</c:v>
                </c:pt>
                <c:pt idx="75">
                  <c:v>5.71</c:v>
                </c:pt>
                <c:pt idx="76">
                  <c:v>5.11</c:v>
                </c:pt>
                <c:pt idx="77">
                  <c:v>10.2</c:v>
                </c:pt>
                <c:pt idx="78">
                  <c:v>-4.34</c:v>
                </c:pt>
                <c:pt idx="79">
                  <c:v>3.55</c:v>
                </c:pt>
                <c:pt idx="80">
                  <c:v>3.45</c:v>
                </c:pt>
                <c:pt idx="81">
                  <c:v>1.57</c:v>
                </c:pt>
                <c:pt idx="82">
                  <c:v>7.61</c:v>
                </c:pt>
                <c:pt idx="83">
                  <c:v>-0.82</c:v>
                </c:pt>
                <c:pt idx="84">
                  <c:v>2.89</c:v>
                </c:pt>
                <c:pt idx="85">
                  <c:v>1.62</c:v>
                </c:pt>
                <c:pt idx="86">
                  <c:v>2.22</c:v>
                </c:pt>
                <c:pt idx="87">
                  <c:v>2.18</c:v>
                </c:pt>
                <c:pt idx="88">
                  <c:v>3.05</c:v>
                </c:pt>
                <c:pt idx="89">
                  <c:v>2.24</c:v>
                </c:pt>
                <c:pt idx="90">
                  <c:v>2.2</c:v>
                </c:pt>
                <c:pt idx="91">
                  <c:v>1.88</c:v>
                </c:pt>
                <c:pt idx="92">
                  <c:v>-2.41</c:v>
                </c:pt>
                <c:pt idx="93">
                  <c:v>5.44</c:v>
                </c:pt>
                <c:pt idx="94">
                  <c:v>5.03</c:v>
                </c:pt>
                <c:pt idx="95">
                  <c:v>4.88</c:v>
                </c:pt>
                <c:pt idx="96">
                  <c:v>2.14</c:v>
                </c:pt>
                <c:pt idx="97">
                  <c:v>5.98</c:v>
                </c:pt>
                <c:pt idx="98">
                  <c:v>2.28</c:v>
                </c:pt>
                <c:pt idx="99">
                  <c:v>8.22</c:v>
                </c:pt>
                <c:pt idx="100">
                  <c:v>3.81</c:v>
                </c:pt>
                <c:pt idx="101">
                  <c:v>5.37</c:v>
                </c:pt>
                <c:pt idx="102">
                  <c:v>4.55</c:v>
                </c:pt>
                <c:pt idx="103">
                  <c:v>4.52</c:v>
                </c:pt>
                <c:pt idx="104">
                  <c:v>4.04</c:v>
                </c:pt>
                <c:pt idx="105">
                  <c:v>4.84</c:v>
                </c:pt>
                <c:pt idx="106">
                  <c:v>3.45</c:v>
                </c:pt>
                <c:pt idx="107">
                  <c:v>4.34</c:v>
                </c:pt>
                <c:pt idx="108">
                  <c:v>2.65</c:v>
                </c:pt>
                <c:pt idx="109">
                  <c:v>-2.23</c:v>
                </c:pt>
                <c:pt idx="110">
                  <c:v>3.13</c:v>
                </c:pt>
                <c:pt idx="111">
                  <c:v>0.03</c:v>
                </c:pt>
                <c:pt idx="112">
                  <c:v>1.56</c:v>
                </c:pt>
                <c:pt idx="113">
                  <c:v>-0.02</c:v>
                </c:pt>
                <c:pt idx="114">
                  <c:v>-3.33</c:v>
                </c:pt>
                <c:pt idx="115">
                  <c:v>-0.24</c:v>
                </c:pt>
                <c:pt idx="116">
                  <c:v>-2.86</c:v>
                </c:pt>
                <c:pt idx="117">
                  <c:v>3.91</c:v>
                </c:pt>
                <c:pt idx="118">
                  <c:v>2.26</c:v>
                </c:pt>
                <c:pt idx="119">
                  <c:v>1.97</c:v>
                </c:pt>
                <c:pt idx="120">
                  <c:v>2.42</c:v>
                </c:pt>
                <c:pt idx="121">
                  <c:v>3.15</c:v>
                </c:pt>
                <c:pt idx="122">
                  <c:v>3.08</c:v>
                </c:pt>
                <c:pt idx="123">
                  <c:v>4.28</c:v>
                </c:pt>
                <c:pt idx="124">
                  <c:v>5.06</c:v>
                </c:pt>
                <c:pt idx="125">
                  <c:v>4.7</c:v>
                </c:pt>
                <c:pt idx="126">
                  <c:v>5.35</c:v>
                </c:pt>
                <c:pt idx="127">
                  <c:v>4.59</c:v>
                </c:pt>
                <c:pt idx="128">
                  <c:v>5.94</c:v>
                </c:pt>
                <c:pt idx="129">
                  <c:v>5.88</c:v>
                </c:pt>
                <c:pt idx="130">
                  <c:v>5.16</c:v>
                </c:pt>
                <c:pt idx="131">
                  <c:v>6.12</c:v>
                </c:pt>
                <c:pt idx="132">
                  <c:v>5.9</c:v>
                </c:pt>
                <c:pt idx="133">
                  <c:v>5.68</c:v>
                </c:pt>
                <c:pt idx="134">
                  <c:v>6.07</c:v>
                </c:pt>
                <c:pt idx="135">
                  <c:v>3.57</c:v>
                </c:pt>
                <c:pt idx="136">
                  <c:v>7.13</c:v>
                </c:pt>
                <c:pt idx="137">
                  <c:v>5.21</c:v>
                </c:pt>
                <c:pt idx="138">
                  <c:v>4.09</c:v>
                </c:pt>
                <c:pt idx="139">
                  <c:v>4.76</c:v>
                </c:pt>
                <c:pt idx="140">
                  <c:v>4.1</c:v>
                </c:pt>
                <c:pt idx="141">
                  <c:v>5.06</c:v>
                </c:pt>
                <c:pt idx="142">
                  <c:v>5.09</c:v>
                </c:pt>
                <c:pt idx="143">
                  <c:v>3.62</c:v>
                </c:pt>
                <c:pt idx="144">
                  <c:v>3.17</c:v>
                </c:pt>
                <c:pt idx="145">
                  <c:v>1.9</c:v>
                </c:pt>
                <c:pt idx="146">
                  <c:v>2.02</c:v>
                </c:pt>
                <c:pt idx="147">
                  <c:v>6.13</c:v>
                </c:pt>
                <c:pt idx="148">
                  <c:v>-1.03</c:v>
                </c:pt>
                <c:pt idx="149">
                  <c:v>4.32</c:v>
                </c:pt>
                <c:pt idx="150">
                  <c:v>4.62</c:v>
                </c:pt>
                <c:pt idx="151">
                  <c:v>5.35</c:v>
                </c:pt>
                <c:pt idx="152">
                  <c:v>6.36</c:v>
                </c:pt>
                <c:pt idx="153">
                  <c:v>4.91</c:v>
                </c:pt>
                <c:pt idx="154">
                  <c:v>5.24</c:v>
                </c:pt>
                <c:pt idx="155">
                  <c:v>5.04</c:v>
                </c:pt>
                <c:pt idx="156">
                  <c:v>6.21</c:v>
                </c:pt>
                <c:pt idx="157">
                  <c:v>6.21</c:v>
                </c:pt>
                <c:pt idx="158">
                  <c:v>5.13</c:v>
                </c:pt>
                <c:pt idx="159">
                  <c:v>5.92</c:v>
                </c:pt>
                <c:pt idx="160">
                  <c:v>7.11</c:v>
                </c:pt>
                <c:pt idx="161">
                  <c:v>7.73</c:v>
                </c:pt>
                <c:pt idx="162">
                  <c:v>5.29</c:v>
                </c:pt>
                <c:pt idx="163">
                  <c:v>6.41</c:v>
                </c:pt>
                <c:pt idx="164">
                  <c:v>5.2</c:v>
                </c:pt>
                <c:pt idx="165">
                  <c:v>5.82</c:v>
                </c:pt>
                <c:pt idx="166">
                  <c:v>5.36</c:v>
                </c:pt>
                <c:pt idx="167">
                  <c:v>-3.69</c:v>
                </c:pt>
                <c:pt idx="168">
                  <c:v>5.45</c:v>
                </c:pt>
                <c:pt idx="169">
                  <c:v>-1.4</c:v>
                </c:pt>
                <c:pt idx="170">
                  <c:v>0.16</c:v>
                </c:pt>
                <c:pt idx="171">
                  <c:v>-2.78</c:v>
                </c:pt>
                <c:pt idx="172">
                  <c:v>2.42</c:v>
                </c:pt>
                <c:pt idx="173">
                  <c:v>1.59</c:v>
                </c:pt>
                <c:pt idx="174">
                  <c:v>1.31</c:v>
                </c:pt>
                <c:pt idx="175">
                  <c:v>-0.43</c:v>
                </c:pt>
                <c:pt idx="176">
                  <c:v>-0.5</c:v>
                </c:pt>
                <c:pt idx="177">
                  <c:v>1.02</c:v>
                </c:pt>
                <c:pt idx="178">
                  <c:v>2.0</c:v>
                </c:pt>
                <c:pt idx="179">
                  <c:v>0.05</c:v>
                </c:pt>
                <c:pt idx="180">
                  <c:v>0.16</c:v>
                </c:pt>
                <c:pt idx="181">
                  <c:v>0.26</c:v>
                </c:pt>
                <c:pt idx="182">
                  <c:v>2.73</c:v>
                </c:pt>
                <c:pt idx="183">
                  <c:v>-9.84</c:v>
                </c:pt>
                <c:pt idx="184">
                  <c:v>-9.64</c:v>
                </c:pt>
                <c:pt idx="185">
                  <c:v>-0.26</c:v>
                </c:pt>
                <c:pt idx="186">
                  <c:v>0.66</c:v>
                </c:pt>
                <c:pt idx="187">
                  <c:v>1.87</c:v>
                </c:pt>
                <c:pt idx="188">
                  <c:v>-0.59</c:v>
                </c:pt>
                <c:pt idx="189">
                  <c:v>2.72</c:v>
                </c:pt>
                <c:pt idx="190">
                  <c:v>6.17</c:v>
                </c:pt>
                <c:pt idx="191">
                  <c:v>4.76</c:v>
                </c:pt>
                <c:pt idx="192">
                  <c:v>6.73</c:v>
                </c:pt>
                <c:pt idx="193">
                  <c:v>3.09</c:v>
                </c:pt>
                <c:pt idx="194">
                  <c:v>1.18</c:v>
                </c:pt>
                <c:pt idx="195">
                  <c:v>2.14</c:v>
                </c:pt>
                <c:pt idx="196">
                  <c:v>-2.01</c:v>
                </c:pt>
                <c:pt idx="197">
                  <c:v>-0.83</c:v>
                </c:pt>
                <c:pt idx="198">
                  <c:v>7.43</c:v>
                </c:pt>
                <c:pt idx="199">
                  <c:v>10.2</c:v>
                </c:pt>
                <c:pt idx="200">
                  <c:v>8.6</c:v>
                </c:pt>
                <c:pt idx="201">
                  <c:v>5.32</c:v>
                </c:pt>
                <c:pt idx="202">
                  <c:v>8.15</c:v>
                </c:pt>
                <c:pt idx="203">
                  <c:v>10.2</c:v>
                </c:pt>
                <c:pt idx="204">
                  <c:v>10.0</c:v>
                </c:pt>
                <c:pt idx="205">
                  <c:v>9.01</c:v>
                </c:pt>
                <c:pt idx="206">
                  <c:v>7.99</c:v>
                </c:pt>
                <c:pt idx="207">
                  <c:v>8.15</c:v>
                </c:pt>
                <c:pt idx="208">
                  <c:v>6.03</c:v>
                </c:pt>
                <c:pt idx="209">
                  <c:v>9.6</c:v>
                </c:pt>
                <c:pt idx="210">
                  <c:v>6.97</c:v>
                </c:pt>
                <c:pt idx="211">
                  <c:v>6.44</c:v>
                </c:pt>
                <c:pt idx="212">
                  <c:v>6.68</c:v>
                </c:pt>
                <c:pt idx="213">
                  <c:v>7.3</c:v>
                </c:pt>
                <c:pt idx="214">
                  <c:v>3.21</c:v>
                </c:pt>
                <c:pt idx="215">
                  <c:v>10.2</c:v>
                </c:pt>
                <c:pt idx="216">
                  <c:v>10.19</c:v>
                </c:pt>
                <c:pt idx="217">
                  <c:v>0.75</c:v>
                </c:pt>
                <c:pt idx="218">
                  <c:v>6.86</c:v>
                </c:pt>
                <c:pt idx="219">
                  <c:v>7.2</c:v>
                </c:pt>
                <c:pt idx="220">
                  <c:v>3.32</c:v>
                </c:pt>
                <c:pt idx="221">
                  <c:v>1.01</c:v>
                </c:pt>
                <c:pt idx="222">
                  <c:v>7.88</c:v>
                </c:pt>
                <c:pt idx="223">
                  <c:v>5.21</c:v>
                </c:pt>
                <c:pt idx="224">
                  <c:v>6.92</c:v>
                </c:pt>
                <c:pt idx="225">
                  <c:v>4.05</c:v>
                </c:pt>
                <c:pt idx="226">
                  <c:v>8.83</c:v>
                </c:pt>
                <c:pt idx="227">
                  <c:v>7.84</c:v>
                </c:pt>
                <c:pt idx="228">
                  <c:v>6.59</c:v>
                </c:pt>
                <c:pt idx="229">
                  <c:v>2.88</c:v>
                </c:pt>
                <c:pt idx="230">
                  <c:v>3.77</c:v>
                </c:pt>
                <c:pt idx="231">
                  <c:v>5.76</c:v>
                </c:pt>
                <c:pt idx="232">
                  <c:v>1.89</c:v>
                </c:pt>
                <c:pt idx="233">
                  <c:v>5.07</c:v>
                </c:pt>
                <c:pt idx="234">
                  <c:v>2.45</c:v>
                </c:pt>
                <c:pt idx="235">
                  <c:v>-0.1</c:v>
                </c:pt>
                <c:pt idx="236">
                  <c:v>4.25</c:v>
                </c:pt>
                <c:pt idx="237">
                  <c:v>2.46</c:v>
                </c:pt>
                <c:pt idx="238">
                  <c:v>2.38</c:v>
                </c:pt>
                <c:pt idx="239">
                  <c:v>1.97</c:v>
                </c:pt>
                <c:pt idx="240">
                  <c:v>2.96</c:v>
                </c:pt>
                <c:pt idx="241">
                  <c:v>1.53</c:v>
                </c:pt>
                <c:pt idx="242">
                  <c:v>1.07</c:v>
                </c:pt>
                <c:pt idx="243">
                  <c:v>2.02</c:v>
                </c:pt>
                <c:pt idx="244">
                  <c:v>3.11</c:v>
                </c:pt>
                <c:pt idx="245">
                  <c:v>1.11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Davlat ulushi mavjud banklar (148 ta kuzatuv)</c:v>
                </c:pt>
              </c:strCache>
            </c:strRef>
          </c:tx>
          <c:spPr>
            <a:ln>
              <a:noFill/>
            </a:ln>
          </c:spPr>
          <c:marker>
            <c:symbol val="circle"/>
            <c:size val="5"/>
            <c:spPr>
              <a:solidFill>
                <a:srgbClr val="C00000"/>
              </a:solidFill>
              <a:ln>
                <a:noFill/>
              </a:ln>
            </c:spPr>
          </c:marker>
          <c:xVal>
            <c:numRef>
              <c:f>Sheet1!$C$2:$C$149</c:f>
              <c:numCache>
                <c:formatCode>General</c:formatCode>
                <c:ptCount val="148"/>
                <c:pt idx="0">
                  <c:v>4.5</c:v>
                </c:pt>
                <c:pt idx="1">
                  <c:v>4.53</c:v>
                </c:pt>
                <c:pt idx="2">
                  <c:v>4.6</c:v>
                </c:pt>
                <c:pt idx="3">
                  <c:v>3.84</c:v>
                </c:pt>
                <c:pt idx="4">
                  <c:v>3.99</c:v>
                </c:pt>
                <c:pt idx="5">
                  <c:v>3.79</c:v>
                </c:pt>
                <c:pt idx="6">
                  <c:v>3.55</c:v>
                </c:pt>
                <c:pt idx="7">
                  <c:v>3.8</c:v>
                </c:pt>
                <c:pt idx="8">
                  <c:v>3.75</c:v>
                </c:pt>
                <c:pt idx="9">
                  <c:v>3.43</c:v>
                </c:pt>
                <c:pt idx="10">
                  <c:v>3.46</c:v>
                </c:pt>
                <c:pt idx="11">
                  <c:v>4.88</c:v>
                </c:pt>
                <c:pt idx="12">
                  <c:v>4.49</c:v>
                </c:pt>
                <c:pt idx="13">
                  <c:v>3.78</c:v>
                </c:pt>
                <c:pt idx="14">
                  <c:v>3.36</c:v>
                </c:pt>
                <c:pt idx="15">
                  <c:v>3.33</c:v>
                </c:pt>
                <c:pt idx="16">
                  <c:v>3.36</c:v>
                </c:pt>
                <c:pt idx="17">
                  <c:v>3.18</c:v>
                </c:pt>
                <c:pt idx="18">
                  <c:v>3.24</c:v>
                </c:pt>
                <c:pt idx="19">
                  <c:v>2.03</c:v>
                </c:pt>
                <c:pt idx="20">
                  <c:v>1.78</c:v>
                </c:pt>
                <c:pt idx="21">
                  <c:v>1.47</c:v>
                </c:pt>
                <c:pt idx="22">
                  <c:v>2.38</c:v>
                </c:pt>
                <c:pt idx="23">
                  <c:v>1.52</c:v>
                </c:pt>
                <c:pt idx="24">
                  <c:v>3.99</c:v>
                </c:pt>
                <c:pt idx="25">
                  <c:v>4.09</c:v>
                </c:pt>
                <c:pt idx="26">
                  <c:v>2.81</c:v>
                </c:pt>
                <c:pt idx="27">
                  <c:v>1.87</c:v>
                </c:pt>
                <c:pt idx="28">
                  <c:v>2.57</c:v>
                </c:pt>
                <c:pt idx="29">
                  <c:v>2.42</c:v>
                </c:pt>
                <c:pt idx="30">
                  <c:v>2.37</c:v>
                </c:pt>
                <c:pt idx="31">
                  <c:v>2.54</c:v>
                </c:pt>
                <c:pt idx="32">
                  <c:v>4.77</c:v>
                </c:pt>
                <c:pt idx="33">
                  <c:v>4.76</c:v>
                </c:pt>
                <c:pt idx="34">
                  <c:v>4.75</c:v>
                </c:pt>
                <c:pt idx="35">
                  <c:v>4.65</c:v>
                </c:pt>
                <c:pt idx="36">
                  <c:v>4.37</c:v>
                </c:pt>
                <c:pt idx="37">
                  <c:v>4.24</c:v>
                </c:pt>
                <c:pt idx="38">
                  <c:v>4.41</c:v>
                </c:pt>
                <c:pt idx="39">
                  <c:v>4.41</c:v>
                </c:pt>
                <c:pt idx="40">
                  <c:v>4.61</c:v>
                </c:pt>
                <c:pt idx="41">
                  <c:v>4.65</c:v>
                </c:pt>
                <c:pt idx="42">
                  <c:v>4.77</c:v>
                </c:pt>
                <c:pt idx="43">
                  <c:v>4.53</c:v>
                </c:pt>
                <c:pt idx="44">
                  <c:v>4.72</c:v>
                </c:pt>
                <c:pt idx="45">
                  <c:v>4.55</c:v>
                </c:pt>
                <c:pt idx="46">
                  <c:v>4.71</c:v>
                </c:pt>
                <c:pt idx="47">
                  <c:v>3.62</c:v>
                </c:pt>
                <c:pt idx="48">
                  <c:v>4.93</c:v>
                </c:pt>
                <c:pt idx="49">
                  <c:v>4.89</c:v>
                </c:pt>
                <c:pt idx="50">
                  <c:v>4.51</c:v>
                </c:pt>
                <c:pt idx="51">
                  <c:v>4.49</c:v>
                </c:pt>
                <c:pt idx="52">
                  <c:v>4.5</c:v>
                </c:pt>
                <c:pt idx="53">
                  <c:v>4.17</c:v>
                </c:pt>
                <c:pt idx="54">
                  <c:v>8.88</c:v>
                </c:pt>
                <c:pt idx="55">
                  <c:v>16.07</c:v>
                </c:pt>
                <c:pt idx="56">
                  <c:v>12.47</c:v>
                </c:pt>
                <c:pt idx="57">
                  <c:v>10.85</c:v>
                </c:pt>
                <c:pt idx="58">
                  <c:v>8.5</c:v>
                </c:pt>
                <c:pt idx="59">
                  <c:v>8.05</c:v>
                </c:pt>
                <c:pt idx="60">
                  <c:v>6.1</c:v>
                </c:pt>
                <c:pt idx="61">
                  <c:v>5.94</c:v>
                </c:pt>
                <c:pt idx="62">
                  <c:v>4.52</c:v>
                </c:pt>
                <c:pt idx="63">
                  <c:v>3.01</c:v>
                </c:pt>
                <c:pt idx="64">
                  <c:v>2.88</c:v>
                </c:pt>
                <c:pt idx="65">
                  <c:v>2.82</c:v>
                </c:pt>
                <c:pt idx="66">
                  <c:v>2.48</c:v>
                </c:pt>
                <c:pt idx="67">
                  <c:v>2.97</c:v>
                </c:pt>
                <c:pt idx="68">
                  <c:v>3.19</c:v>
                </c:pt>
                <c:pt idx="69">
                  <c:v>5.97</c:v>
                </c:pt>
                <c:pt idx="70">
                  <c:v>5.91</c:v>
                </c:pt>
                <c:pt idx="71">
                  <c:v>5.57</c:v>
                </c:pt>
                <c:pt idx="72">
                  <c:v>4.77</c:v>
                </c:pt>
                <c:pt idx="73">
                  <c:v>5.36</c:v>
                </c:pt>
                <c:pt idx="74">
                  <c:v>5.18</c:v>
                </c:pt>
                <c:pt idx="75">
                  <c:v>5.14</c:v>
                </c:pt>
                <c:pt idx="76">
                  <c:v>5.99</c:v>
                </c:pt>
                <c:pt idx="77">
                  <c:v>6.7</c:v>
                </c:pt>
                <c:pt idx="78">
                  <c:v>6.81</c:v>
                </c:pt>
                <c:pt idx="79">
                  <c:v>6.7</c:v>
                </c:pt>
                <c:pt idx="80">
                  <c:v>4.62</c:v>
                </c:pt>
                <c:pt idx="81">
                  <c:v>6.61</c:v>
                </c:pt>
                <c:pt idx="82">
                  <c:v>6.01</c:v>
                </c:pt>
                <c:pt idx="83">
                  <c:v>4.91</c:v>
                </c:pt>
                <c:pt idx="84">
                  <c:v>4.41</c:v>
                </c:pt>
                <c:pt idx="85">
                  <c:v>4.24</c:v>
                </c:pt>
                <c:pt idx="86">
                  <c:v>4.13</c:v>
                </c:pt>
                <c:pt idx="87">
                  <c:v>3.81</c:v>
                </c:pt>
                <c:pt idx="88">
                  <c:v>2.88</c:v>
                </c:pt>
                <c:pt idx="89">
                  <c:v>2.84</c:v>
                </c:pt>
                <c:pt idx="90">
                  <c:v>3.21</c:v>
                </c:pt>
                <c:pt idx="91">
                  <c:v>3.12</c:v>
                </c:pt>
                <c:pt idx="92">
                  <c:v>3.9</c:v>
                </c:pt>
                <c:pt idx="93">
                  <c:v>2.88</c:v>
                </c:pt>
                <c:pt idx="94">
                  <c:v>2.85</c:v>
                </c:pt>
                <c:pt idx="95">
                  <c:v>3.03</c:v>
                </c:pt>
                <c:pt idx="96">
                  <c:v>3.18</c:v>
                </c:pt>
                <c:pt idx="97">
                  <c:v>2.9</c:v>
                </c:pt>
                <c:pt idx="98">
                  <c:v>3.33</c:v>
                </c:pt>
                <c:pt idx="99">
                  <c:v>2.84</c:v>
                </c:pt>
                <c:pt idx="100">
                  <c:v>3.76</c:v>
                </c:pt>
                <c:pt idx="101">
                  <c:v>3.68</c:v>
                </c:pt>
                <c:pt idx="102">
                  <c:v>3.64</c:v>
                </c:pt>
                <c:pt idx="103">
                  <c:v>2.83</c:v>
                </c:pt>
                <c:pt idx="104">
                  <c:v>2.93</c:v>
                </c:pt>
                <c:pt idx="105">
                  <c:v>2.91</c:v>
                </c:pt>
                <c:pt idx="106">
                  <c:v>2.82</c:v>
                </c:pt>
                <c:pt idx="107">
                  <c:v>2.25</c:v>
                </c:pt>
                <c:pt idx="108">
                  <c:v>3.96</c:v>
                </c:pt>
                <c:pt idx="109">
                  <c:v>3.94</c:v>
                </c:pt>
                <c:pt idx="110">
                  <c:v>3.1</c:v>
                </c:pt>
                <c:pt idx="111">
                  <c:v>2.82</c:v>
                </c:pt>
                <c:pt idx="112">
                  <c:v>4.07</c:v>
                </c:pt>
                <c:pt idx="113">
                  <c:v>3.7</c:v>
                </c:pt>
                <c:pt idx="114">
                  <c:v>3.44</c:v>
                </c:pt>
                <c:pt idx="115">
                  <c:v>2.53</c:v>
                </c:pt>
                <c:pt idx="116">
                  <c:v>3.85</c:v>
                </c:pt>
                <c:pt idx="117">
                  <c:v>2.94</c:v>
                </c:pt>
                <c:pt idx="118">
                  <c:v>4.29</c:v>
                </c:pt>
                <c:pt idx="119">
                  <c:v>2.57</c:v>
                </c:pt>
                <c:pt idx="120">
                  <c:v>2.51</c:v>
                </c:pt>
                <c:pt idx="121">
                  <c:v>2.42</c:v>
                </c:pt>
                <c:pt idx="122">
                  <c:v>2.81</c:v>
                </c:pt>
                <c:pt idx="123">
                  <c:v>2.28</c:v>
                </c:pt>
                <c:pt idx="124">
                  <c:v>2.43</c:v>
                </c:pt>
                <c:pt idx="125">
                  <c:v>2.59</c:v>
                </c:pt>
                <c:pt idx="126">
                  <c:v>2.74</c:v>
                </c:pt>
                <c:pt idx="127">
                  <c:v>2.82</c:v>
                </c:pt>
                <c:pt idx="128">
                  <c:v>3.12</c:v>
                </c:pt>
                <c:pt idx="129">
                  <c:v>2.81</c:v>
                </c:pt>
                <c:pt idx="130">
                  <c:v>2.82</c:v>
                </c:pt>
                <c:pt idx="131">
                  <c:v>3.41</c:v>
                </c:pt>
                <c:pt idx="132">
                  <c:v>17.53</c:v>
                </c:pt>
                <c:pt idx="133">
                  <c:v>17.53</c:v>
                </c:pt>
                <c:pt idx="134">
                  <c:v>16.38</c:v>
                </c:pt>
                <c:pt idx="135">
                  <c:v>11.93</c:v>
                </c:pt>
                <c:pt idx="136">
                  <c:v>10.34</c:v>
                </c:pt>
                <c:pt idx="137">
                  <c:v>9.76</c:v>
                </c:pt>
                <c:pt idx="138">
                  <c:v>9.15</c:v>
                </c:pt>
                <c:pt idx="139">
                  <c:v>7.56</c:v>
                </c:pt>
                <c:pt idx="140">
                  <c:v>7.22</c:v>
                </c:pt>
                <c:pt idx="141">
                  <c:v>5.84</c:v>
                </c:pt>
                <c:pt idx="142">
                  <c:v>5.31</c:v>
                </c:pt>
                <c:pt idx="143">
                  <c:v>4.23</c:v>
                </c:pt>
                <c:pt idx="144">
                  <c:v>4.19</c:v>
                </c:pt>
                <c:pt idx="145">
                  <c:v>3.95</c:v>
                </c:pt>
                <c:pt idx="146">
                  <c:v>3.61</c:v>
                </c:pt>
                <c:pt idx="147">
                  <c:v>3.07</c:v>
                </c:pt>
              </c:numCache>
            </c:numRef>
          </c:xVal>
          <c:yVal>
            <c:numRef>
              <c:f>Sheet1!$D$2:$D$149</c:f>
              <c:numCache>
                <c:formatCode>General</c:formatCode>
                <c:ptCount val="148"/>
                <c:pt idx="0">
                  <c:v>0.45</c:v>
                </c:pt>
                <c:pt idx="1">
                  <c:v>0.31</c:v>
                </c:pt>
                <c:pt idx="2">
                  <c:v>0.34</c:v>
                </c:pt>
                <c:pt idx="3">
                  <c:v>3.99</c:v>
                </c:pt>
                <c:pt idx="4">
                  <c:v>0.48</c:v>
                </c:pt>
                <c:pt idx="5">
                  <c:v>-0.24</c:v>
                </c:pt>
                <c:pt idx="6">
                  <c:v>0.49</c:v>
                </c:pt>
                <c:pt idx="7">
                  <c:v>3.99</c:v>
                </c:pt>
                <c:pt idx="8">
                  <c:v>0.2</c:v>
                </c:pt>
                <c:pt idx="9">
                  <c:v>-0.09</c:v>
                </c:pt>
                <c:pt idx="10">
                  <c:v>0.02</c:v>
                </c:pt>
                <c:pt idx="11">
                  <c:v>0.24</c:v>
                </c:pt>
                <c:pt idx="12">
                  <c:v>0.08</c:v>
                </c:pt>
                <c:pt idx="13">
                  <c:v>0.08</c:v>
                </c:pt>
                <c:pt idx="14">
                  <c:v>-0.01</c:v>
                </c:pt>
                <c:pt idx="15">
                  <c:v>0.26</c:v>
                </c:pt>
                <c:pt idx="16">
                  <c:v>0.68</c:v>
                </c:pt>
                <c:pt idx="17">
                  <c:v>2.8</c:v>
                </c:pt>
                <c:pt idx="18">
                  <c:v>1.38</c:v>
                </c:pt>
                <c:pt idx="19">
                  <c:v>1.75</c:v>
                </c:pt>
                <c:pt idx="20">
                  <c:v>0.97</c:v>
                </c:pt>
                <c:pt idx="21">
                  <c:v>3.83</c:v>
                </c:pt>
                <c:pt idx="22">
                  <c:v>0.71</c:v>
                </c:pt>
                <c:pt idx="23">
                  <c:v>9.14</c:v>
                </c:pt>
                <c:pt idx="24">
                  <c:v>0.36</c:v>
                </c:pt>
                <c:pt idx="25">
                  <c:v>2.08</c:v>
                </c:pt>
                <c:pt idx="26">
                  <c:v>-1.84</c:v>
                </c:pt>
                <c:pt idx="27">
                  <c:v>3.14</c:v>
                </c:pt>
                <c:pt idx="28">
                  <c:v>1.19</c:v>
                </c:pt>
                <c:pt idx="29">
                  <c:v>2.03</c:v>
                </c:pt>
                <c:pt idx="30">
                  <c:v>0.71</c:v>
                </c:pt>
                <c:pt idx="31">
                  <c:v>-0.09</c:v>
                </c:pt>
                <c:pt idx="32">
                  <c:v>0.06</c:v>
                </c:pt>
                <c:pt idx="33">
                  <c:v>0.11</c:v>
                </c:pt>
                <c:pt idx="34">
                  <c:v>0.23</c:v>
                </c:pt>
                <c:pt idx="35">
                  <c:v>0.18</c:v>
                </c:pt>
                <c:pt idx="36">
                  <c:v>1.39</c:v>
                </c:pt>
                <c:pt idx="37">
                  <c:v>-0.29</c:v>
                </c:pt>
                <c:pt idx="38">
                  <c:v>0.08</c:v>
                </c:pt>
                <c:pt idx="39">
                  <c:v>-0.0</c:v>
                </c:pt>
                <c:pt idx="40">
                  <c:v>0.46</c:v>
                </c:pt>
                <c:pt idx="41">
                  <c:v>0.04</c:v>
                </c:pt>
                <c:pt idx="42">
                  <c:v>-0.05</c:v>
                </c:pt>
                <c:pt idx="43">
                  <c:v>-0.16</c:v>
                </c:pt>
                <c:pt idx="44">
                  <c:v>0.11</c:v>
                </c:pt>
                <c:pt idx="45">
                  <c:v>0.21</c:v>
                </c:pt>
                <c:pt idx="46">
                  <c:v>0.68</c:v>
                </c:pt>
                <c:pt idx="47">
                  <c:v>0.67</c:v>
                </c:pt>
                <c:pt idx="48">
                  <c:v>2.94</c:v>
                </c:pt>
                <c:pt idx="49">
                  <c:v>2.19</c:v>
                </c:pt>
                <c:pt idx="50">
                  <c:v>1.8</c:v>
                </c:pt>
                <c:pt idx="51">
                  <c:v>2.86</c:v>
                </c:pt>
                <c:pt idx="52">
                  <c:v>-0.86</c:v>
                </c:pt>
                <c:pt idx="53">
                  <c:v>-0.45</c:v>
                </c:pt>
                <c:pt idx="54">
                  <c:v>2.11</c:v>
                </c:pt>
                <c:pt idx="55">
                  <c:v>-5.74</c:v>
                </c:pt>
                <c:pt idx="56">
                  <c:v>0.22</c:v>
                </c:pt>
                <c:pt idx="57">
                  <c:v>1.26</c:v>
                </c:pt>
                <c:pt idx="58">
                  <c:v>-9.84</c:v>
                </c:pt>
                <c:pt idx="59">
                  <c:v>2.38</c:v>
                </c:pt>
                <c:pt idx="60">
                  <c:v>1.42</c:v>
                </c:pt>
                <c:pt idx="61">
                  <c:v>0.75</c:v>
                </c:pt>
                <c:pt idx="62">
                  <c:v>1.25</c:v>
                </c:pt>
                <c:pt idx="63">
                  <c:v>3.19</c:v>
                </c:pt>
                <c:pt idx="64">
                  <c:v>3.12</c:v>
                </c:pt>
                <c:pt idx="65">
                  <c:v>1.33</c:v>
                </c:pt>
                <c:pt idx="66">
                  <c:v>3.63</c:v>
                </c:pt>
                <c:pt idx="67">
                  <c:v>3.42</c:v>
                </c:pt>
                <c:pt idx="68">
                  <c:v>3.02</c:v>
                </c:pt>
                <c:pt idx="69">
                  <c:v>0.45</c:v>
                </c:pt>
                <c:pt idx="70">
                  <c:v>0.53</c:v>
                </c:pt>
                <c:pt idx="71">
                  <c:v>0.39</c:v>
                </c:pt>
                <c:pt idx="72">
                  <c:v>-0.67</c:v>
                </c:pt>
                <c:pt idx="73">
                  <c:v>0.09</c:v>
                </c:pt>
                <c:pt idx="74">
                  <c:v>0.14</c:v>
                </c:pt>
                <c:pt idx="75">
                  <c:v>0.17</c:v>
                </c:pt>
                <c:pt idx="76">
                  <c:v>0.5</c:v>
                </c:pt>
                <c:pt idx="77">
                  <c:v>0.13</c:v>
                </c:pt>
                <c:pt idx="78">
                  <c:v>-0.06</c:v>
                </c:pt>
                <c:pt idx="79">
                  <c:v>0.01</c:v>
                </c:pt>
                <c:pt idx="80">
                  <c:v>-9.84</c:v>
                </c:pt>
                <c:pt idx="81">
                  <c:v>0.39</c:v>
                </c:pt>
                <c:pt idx="82">
                  <c:v>0.37</c:v>
                </c:pt>
                <c:pt idx="83">
                  <c:v>0.59</c:v>
                </c:pt>
                <c:pt idx="84">
                  <c:v>0.94</c:v>
                </c:pt>
                <c:pt idx="85">
                  <c:v>1.21</c:v>
                </c:pt>
                <c:pt idx="86">
                  <c:v>2.71</c:v>
                </c:pt>
                <c:pt idx="87">
                  <c:v>1.7</c:v>
                </c:pt>
                <c:pt idx="88">
                  <c:v>2.22</c:v>
                </c:pt>
                <c:pt idx="89">
                  <c:v>1.86</c:v>
                </c:pt>
                <c:pt idx="90">
                  <c:v>0.17</c:v>
                </c:pt>
                <c:pt idx="91">
                  <c:v>1.51</c:v>
                </c:pt>
                <c:pt idx="92">
                  <c:v>1.46</c:v>
                </c:pt>
                <c:pt idx="93">
                  <c:v>1.5</c:v>
                </c:pt>
                <c:pt idx="94">
                  <c:v>1.31</c:v>
                </c:pt>
                <c:pt idx="95">
                  <c:v>1.0</c:v>
                </c:pt>
                <c:pt idx="96">
                  <c:v>1.38</c:v>
                </c:pt>
                <c:pt idx="97">
                  <c:v>1.54</c:v>
                </c:pt>
                <c:pt idx="98">
                  <c:v>1.24</c:v>
                </c:pt>
                <c:pt idx="99">
                  <c:v>1.29</c:v>
                </c:pt>
                <c:pt idx="100">
                  <c:v>2.26</c:v>
                </c:pt>
                <c:pt idx="101">
                  <c:v>0.7</c:v>
                </c:pt>
                <c:pt idx="102">
                  <c:v>0.44</c:v>
                </c:pt>
                <c:pt idx="103">
                  <c:v>0.69</c:v>
                </c:pt>
                <c:pt idx="104">
                  <c:v>1.03</c:v>
                </c:pt>
                <c:pt idx="105">
                  <c:v>1.35</c:v>
                </c:pt>
                <c:pt idx="106">
                  <c:v>1.12</c:v>
                </c:pt>
                <c:pt idx="107">
                  <c:v>1.75</c:v>
                </c:pt>
                <c:pt idx="108">
                  <c:v>1.8</c:v>
                </c:pt>
                <c:pt idx="109">
                  <c:v>2.19</c:v>
                </c:pt>
                <c:pt idx="110">
                  <c:v>0.16</c:v>
                </c:pt>
                <c:pt idx="111">
                  <c:v>2.34</c:v>
                </c:pt>
                <c:pt idx="112">
                  <c:v>1.79</c:v>
                </c:pt>
                <c:pt idx="113">
                  <c:v>1.7</c:v>
                </c:pt>
                <c:pt idx="114">
                  <c:v>2.4</c:v>
                </c:pt>
                <c:pt idx="115">
                  <c:v>2.0</c:v>
                </c:pt>
                <c:pt idx="116">
                  <c:v>1.16</c:v>
                </c:pt>
                <c:pt idx="117">
                  <c:v>0.83</c:v>
                </c:pt>
                <c:pt idx="118">
                  <c:v>1.1</c:v>
                </c:pt>
                <c:pt idx="119">
                  <c:v>-1.15</c:v>
                </c:pt>
                <c:pt idx="120">
                  <c:v>0.66</c:v>
                </c:pt>
                <c:pt idx="121">
                  <c:v>0.22</c:v>
                </c:pt>
                <c:pt idx="122">
                  <c:v>0.11</c:v>
                </c:pt>
                <c:pt idx="123">
                  <c:v>0.66</c:v>
                </c:pt>
                <c:pt idx="124">
                  <c:v>0.29</c:v>
                </c:pt>
                <c:pt idx="125">
                  <c:v>0.05</c:v>
                </c:pt>
                <c:pt idx="126">
                  <c:v>0.45</c:v>
                </c:pt>
                <c:pt idx="127">
                  <c:v>-0.22</c:v>
                </c:pt>
                <c:pt idx="128">
                  <c:v>0.17</c:v>
                </c:pt>
                <c:pt idx="129">
                  <c:v>0.16</c:v>
                </c:pt>
                <c:pt idx="130">
                  <c:v>0.1</c:v>
                </c:pt>
                <c:pt idx="131">
                  <c:v>0.1</c:v>
                </c:pt>
                <c:pt idx="132">
                  <c:v>0.68</c:v>
                </c:pt>
                <c:pt idx="133">
                  <c:v>2.35</c:v>
                </c:pt>
                <c:pt idx="134">
                  <c:v>1.67</c:v>
                </c:pt>
                <c:pt idx="135">
                  <c:v>-4.14</c:v>
                </c:pt>
                <c:pt idx="136">
                  <c:v>0.76</c:v>
                </c:pt>
                <c:pt idx="137">
                  <c:v>0.81</c:v>
                </c:pt>
                <c:pt idx="138">
                  <c:v>0.93</c:v>
                </c:pt>
                <c:pt idx="139">
                  <c:v>0.42</c:v>
                </c:pt>
                <c:pt idx="140">
                  <c:v>0.17</c:v>
                </c:pt>
                <c:pt idx="141">
                  <c:v>1.21</c:v>
                </c:pt>
                <c:pt idx="142">
                  <c:v>0.81</c:v>
                </c:pt>
                <c:pt idx="143">
                  <c:v>0.41</c:v>
                </c:pt>
                <c:pt idx="144">
                  <c:v>0.34</c:v>
                </c:pt>
                <c:pt idx="145">
                  <c:v>0.96</c:v>
                </c:pt>
                <c:pt idx="146">
                  <c:v>0.92</c:v>
                </c:pt>
                <c:pt idx="147">
                  <c:v>3.39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Regressiya chizig‘i</c:v>
                </c:pt>
              </c:strCache>
            </c:strRef>
          </c:tx>
          <c:spPr>
            <a:ln w="19050">
              <a:solidFill>
                <a:srgbClr val="000000"/>
              </a:solidFill>
            </a:ln>
          </c:spPr>
          <c:marker>
            <c:symbol val="none"/>
          </c:marker>
          <c:xVal>
            <c:numRef>
              <c:f>Sheet1!$E$2:$E$3</c:f>
              <c:numCache>
                <c:formatCode>General</c:formatCode>
                <c:ptCount val="2"/>
                <c:pt idx="0">
                  <c:v>0.0</c:v>
                </c:pt>
                <c:pt idx="1">
                  <c:v>18.0</c:v>
                </c:pt>
              </c:numCache>
            </c:numRef>
          </c:xVal>
          <c:yVal>
            <c:numRef>
              <c:f>Sheet1!$F$2:$F$3</c:f>
              <c:numCache>
                <c:formatCode>General</c:formatCode>
                <c:ptCount val="2"/>
                <c:pt idx="0">
                  <c:v>4.353</c:v>
                </c:pt>
                <c:pt idx="1">
                  <c:v>-4.418</c:v>
                </c:pt>
              </c:numCache>
            </c:numRef>
          </c:yVal>
          <c:smooth val="0"/>
        </c:ser>
        <c:axId val="333"/>
        <c:axId val="444"/>
      </c:scatterChart>
      <c:valAx>
        <c:axId val="333"/>
        <c:scaling>
          <c:orientation val="minMax"/>
          <c:max val="18.0"/>
          <c:min val="0"/>
        </c:scaling>
        <c:delete val="0"/>
        <c:axPos val="b"/>
        <c:title>
          <c:tx>
            <c:rich>
              <a:bodyPr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Muammoli kreditlar ulushi,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444"/>
        <c:crosses val="autoZero"/>
        <c:crossBetween val="midCat"/>
        <c:majorUnit val="2"/>
      </c:valAx>
      <c:valAx>
        <c:axId val="444"/>
        <c:scaling>
          <c:orientation val="minMax"/>
          <c:max val="15.0"/>
          <c:min val="-15.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Aktivlar rentabelligi (ROA),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333"/>
        <c:crosses val="autoZero"/>
        <c:crossBetween val="midCat"/>
        <c:majorUnit val="5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Haqiqiy qiymat</c:v>
                </c:pt>
              </c:strCache>
            </c:strRef>
          </c:tx>
          <c:spPr>
            <a:ln w="25400">
              <a:solidFill>
                <a:srgbClr val="000000"/>
              </a:solidFill>
            </a:ln>
          </c:spPr>
          <c:marker>
            <c:symbol val="circle"/>
            <c:size val="5"/>
            <c:spPr>
              <a:solidFill>
                <a:srgbClr val="000000"/>
              </a:solidFill>
              <a:ln>
                <a:noFill/>
              </a:ln>
            </c:spPr>
          </c:marker>
          <c:xVal>
            <c:numRef>
              <c:f>Sheet1!$A$2:$A$21</c:f>
              <c:numCache>
                <c:formatCode>General</c:formatCode>
                <c:ptCount val="20"/>
                <c:pt idx="0">
                  <c:v>2020.25</c:v>
                </c:pt>
                <c:pt idx="1">
                  <c:v>2020.5</c:v>
                </c:pt>
                <c:pt idx="2">
                  <c:v>2020.75</c:v>
                </c:pt>
                <c:pt idx="3">
                  <c:v>2021.0</c:v>
                </c:pt>
                <c:pt idx="4">
                  <c:v>2021.25</c:v>
                </c:pt>
                <c:pt idx="5">
                  <c:v>2021.5</c:v>
                </c:pt>
                <c:pt idx="6">
                  <c:v>2021.75</c:v>
                </c:pt>
                <c:pt idx="7">
                  <c:v>2022.0</c:v>
                </c:pt>
                <c:pt idx="8">
                  <c:v>2022.25</c:v>
                </c:pt>
                <c:pt idx="9">
                  <c:v>2022.5</c:v>
                </c:pt>
                <c:pt idx="10">
                  <c:v>2022.75</c:v>
                </c:pt>
                <c:pt idx="11">
                  <c:v>2023.0</c:v>
                </c:pt>
                <c:pt idx="12">
                  <c:v>2023.25</c:v>
                </c:pt>
                <c:pt idx="13">
                  <c:v>2023.5</c:v>
                </c:pt>
                <c:pt idx="14">
                  <c:v>2023.75</c:v>
                </c:pt>
                <c:pt idx="15">
                  <c:v>2024.0</c:v>
                </c:pt>
                <c:pt idx="16">
                  <c:v>2024.25</c:v>
                </c:pt>
                <c:pt idx="17">
                  <c:v>2024.5</c:v>
                </c:pt>
                <c:pt idx="18">
                  <c:v>2024.75</c:v>
                </c:pt>
                <c:pt idx="19">
                  <c:v>2025.0</c:v>
                </c:pt>
              </c:numCache>
            </c:numRef>
          </c:xVal>
          <c:yVal>
            <c:numRef>
              <c:f>Sheet1!$B$2:$B$21</c:f>
              <c:numCache>
                <c:formatCode>General</c:formatCode>
                <c:ptCount val="20"/>
                <c:pt idx="0">
                  <c:v>3.54</c:v>
                </c:pt>
                <c:pt idx="1">
                  <c:v>5.51</c:v>
                </c:pt>
                <c:pt idx="2">
                  <c:v>5.74</c:v>
                </c:pt>
                <c:pt idx="3">
                  <c:v>5.2</c:v>
                </c:pt>
                <c:pt idx="4">
                  <c:v>4.95</c:v>
                </c:pt>
                <c:pt idx="5">
                  <c:v>4.89</c:v>
                </c:pt>
                <c:pt idx="6">
                  <c:v>4.72</c:v>
                </c:pt>
                <c:pt idx="7">
                  <c:v>3.59</c:v>
                </c:pt>
                <c:pt idx="8">
                  <c:v>3.51</c:v>
                </c:pt>
                <c:pt idx="9">
                  <c:v>3.38</c:v>
                </c:pt>
                <c:pt idx="10">
                  <c:v>3.73</c:v>
                </c:pt>
                <c:pt idx="11">
                  <c:v>3.53</c:v>
                </c:pt>
                <c:pt idx="12">
                  <c:v>4.52</c:v>
                </c:pt>
                <c:pt idx="13">
                  <c:v>4.05</c:v>
                </c:pt>
                <c:pt idx="14">
                  <c:v>4.18</c:v>
                </c:pt>
                <c:pt idx="15">
                  <c:v>3.97</c:v>
                </c:pt>
                <c:pt idx="16">
                  <c:v>4.26</c:v>
                </c:pt>
                <c:pt idx="17">
                  <c:v>3.8</c:v>
                </c:pt>
                <c:pt idx="18">
                  <c:v>3.65</c:v>
                </c:pt>
                <c:pt idx="19">
                  <c:v>2.99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Satellit model prognozi (o‘rtacha xato 0,21–0,73 f.p.)</c:v>
                </c:pt>
              </c:strCache>
            </c:strRef>
          </c:tx>
          <c:spPr>
            <a:ln w="22225">
              <a:solidFill>
                <a:srgbClr val="C00000"/>
              </a:solidFill>
              <a:prstDash val="dash"/>
            </a:ln>
          </c:spPr>
          <c:marker>
            <c:symbol val="none"/>
          </c:marker>
          <c:xVal>
            <c:numRef>
              <c:f>Sheet1!$C$2:$C$6</c:f>
              <c:numCache>
                <c:formatCode>General</c:formatCode>
                <c:ptCount val="5"/>
                <c:pt idx="0">
                  <c:v>2022.0</c:v>
                </c:pt>
                <c:pt idx="1">
                  <c:v>2022.25</c:v>
                </c:pt>
                <c:pt idx="2">
                  <c:v>2022.5</c:v>
                </c:pt>
                <c:pt idx="3">
                  <c:v>2022.75</c:v>
                </c:pt>
                <c:pt idx="4">
                  <c:v>2023.0</c:v>
                </c:pt>
              </c:numCache>
            </c:numRef>
          </c:xVal>
          <c:yVal>
            <c:numRef>
              <c:f>Sheet1!$D$2:$D$6</c:f>
              <c:numCache>
                <c:formatCode>General</c:formatCode>
                <c:ptCount val="5"/>
                <c:pt idx="0">
                  <c:v>3.59</c:v>
                </c:pt>
                <c:pt idx="1">
                  <c:v>3.71</c:v>
                </c:pt>
                <c:pt idx="2">
                  <c:v>3.84</c:v>
                </c:pt>
                <c:pt idx="3">
                  <c:v>3.77</c:v>
                </c:pt>
                <c:pt idx="4">
                  <c:v>3.65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O‘zgarishsiz holat prognozi (0,12–0,65 f.p.)</c:v>
                </c:pt>
              </c:strCache>
            </c:strRef>
          </c:tx>
          <c:spPr>
            <a:ln w="19050">
              <a:solidFill>
                <a:srgbClr val="808080"/>
              </a:solidFill>
              <a:prstDash val="sysDot"/>
            </a:ln>
          </c:spPr>
          <c:marker>
            <c:symbol val="none"/>
          </c:marker>
          <c:xVal>
            <c:numRef>
              <c:f>Sheet1!$E$2:$E$3</c:f>
              <c:numCache>
                <c:formatCode>General</c:formatCode>
                <c:ptCount val="2"/>
                <c:pt idx="0">
                  <c:v>2022.0</c:v>
                </c:pt>
                <c:pt idx="1">
                  <c:v>2023.0</c:v>
                </c:pt>
              </c:numCache>
            </c:numRef>
          </c:xVal>
          <c:yVal>
            <c:numRef>
              <c:f>Sheet1!$F$2:$F$3</c:f>
              <c:numCache>
                <c:formatCode>General</c:formatCode>
                <c:ptCount val="2"/>
                <c:pt idx="0">
                  <c:v>3.59</c:v>
                </c:pt>
                <c:pt idx="1">
                  <c:v>3.59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Sheet1!$H$1</c:f>
              <c:strCache>
                <c:ptCount val="1"/>
                <c:pt idx="0">
                  <c:v>Prognoz boshlanish nuqtasi</c:v>
                </c:pt>
              </c:strCache>
            </c:strRef>
          </c:tx>
          <c:spPr>
            <a:ln w="9525">
              <a:solidFill>
                <a:srgbClr val="A6A6A6"/>
              </a:solidFill>
              <a:prstDash val="dash"/>
            </a:ln>
          </c:spPr>
          <c:marker>
            <c:symbol val="none"/>
          </c:marker>
          <c:xVal>
            <c:numRef>
              <c:f>Sheet1!$G$2:$G$3</c:f>
              <c:numCache>
                <c:formatCode>General</c:formatCode>
                <c:ptCount val="2"/>
                <c:pt idx="0">
                  <c:v>2022.0</c:v>
                </c:pt>
                <c:pt idx="1">
                  <c:v>2022.0</c:v>
                </c:pt>
              </c:numCache>
            </c:numRef>
          </c:xVal>
          <c:yVal>
            <c:numRef>
              <c:f>Sheet1!$H$2:$H$3</c:f>
              <c:numCache>
                <c:formatCode>General</c:formatCode>
                <c:ptCount val="2"/>
                <c:pt idx="0">
                  <c:v>2.0</c:v>
                </c:pt>
                <c:pt idx="1">
                  <c:v>6.0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Sheet1!$J$1</c:f>
              <c:strCache>
                <c:ptCount val="1"/>
                <c:pt idx="0">
                  <c:v>Satellit model prognozi (o‘rtacha xato 0,21–0,73 f.p.)</c:v>
                </c:pt>
              </c:strCache>
            </c:strRef>
          </c:tx>
          <c:spPr>
            <a:ln w="22225">
              <a:solidFill>
                <a:srgbClr val="C00000"/>
              </a:solidFill>
              <a:prstDash val="dash"/>
            </a:ln>
          </c:spPr>
          <c:marker>
            <c:symbol val="none"/>
          </c:marker>
          <c:xVal>
            <c:numRef>
              <c:f>Sheet1!$I$2:$I$6</c:f>
              <c:numCache>
                <c:formatCode>General</c:formatCode>
                <c:ptCount val="5"/>
                <c:pt idx="0">
                  <c:v>2023.0</c:v>
                </c:pt>
                <c:pt idx="1">
                  <c:v>2023.25</c:v>
                </c:pt>
                <c:pt idx="2">
                  <c:v>2023.5</c:v>
                </c:pt>
                <c:pt idx="3">
                  <c:v>2023.75</c:v>
                </c:pt>
                <c:pt idx="4">
                  <c:v>2024.0</c:v>
                </c:pt>
              </c:numCache>
            </c:numRef>
          </c:xVal>
          <c:yVal>
            <c:numRef>
              <c:f>Sheet1!$J$2:$J$6</c:f>
              <c:numCache>
                <c:formatCode>General</c:formatCode>
                <c:ptCount val="5"/>
                <c:pt idx="0">
                  <c:v>3.53</c:v>
                </c:pt>
                <c:pt idx="1">
                  <c:v>3.5</c:v>
                </c:pt>
                <c:pt idx="2">
                  <c:v>3.4</c:v>
                </c:pt>
                <c:pt idx="3">
                  <c:v>3.43</c:v>
                </c:pt>
                <c:pt idx="4">
                  <c:v>3.48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Sheet1!$L$1</c:f>
              <c:strCache>
                <c:ptCount val="1"/>
                <c:pt idx="0">
                  <c:v>O‘zgarishsiz holat prognozi (0,12–0,65 f.p.)</c:v>
                </c:pt>
              </c:strCache>
            </c:strRef>
          </c:tx>
          <c:spPr>
            <a:ln w="19050">
              <a:solidFill>
                <a:srgbClr val="808080"/>
              </a:solidFill>
              <a:prstDash val="sysDot"/>
            </a:ln>
          </c:spPr>
          <c:marker>
            <c:symbol val="none"/>
          </c:marker>
          <c:xVal>
            <c:numRef>
              <c:f>Sheet1!$K$2:$K$3</c:f>
              <c:numCache>
                <c:formatCode>General</c:formatCode>
                <c:ptCount val="2"/>
                <c:pt idx="0">
                  <c:v>2023.0</c:v>
                </c:pt>
                <c:pt idx="1">
                  <c:v>2024.0</c:v>
                </c:pt>
              </c:numCache>
            </c:numRef>
          </c:xVal>
          <c:yVal>
            <c:numRef>
              <c:f>Sheet1!$L$2:$L$3</c:f>
              <c:numCache>
                <c:formatCode>General</c:formatCode>
                <c:ptCount val="2"/>
                <c:pt idx="0">
                  <c:v>3.53</c:v>
                </c:pt>
                <c:pt idx="1">
                  <c:v>3.53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Sheet1!$N$1</c:f>
              <c:strCache>
                <c:ptCount val="1"/>
                <c:pt idx="0">
                  <c:v>Prognoz boshlanish nuqtasi</c:v>
                </c:pt>
              </c:strCache>
            </c:strRef>
          </c:tx>
          <c:spPr>
            <a:ln w="9525">
              <a:solidFill>
                <a:srgbClr val="A6A6A6"/>
              </a:solidFill>
              <a:prstDash val="dash"/>
            </a:ln>
          </c:spPr>
          <c:marker>
            <c:symbol val="none"/>
          </c:marker>
          <c:xVal>
            <c:numRef>
              <c:f>Sheet1!$M$2:$M$3</c:f>
              <c:numCache>
                <c:formatCode>General</c:formatCode>
                <c:ptCount val="2"/>
                <c:pt idx="0">
                  <c:v>2023.0</c:v>
                </c:pt>
                <c:pt idx="1">
                  <c:v>2023.0</c:v>
                </c:pt>
              </c:numCache>
            </c:numRef>
          </c:xVal>
          <c:yVal>
            <c:numRef>
              <c:f>Sheet1!$N$2:$N$3</c:f>
              <c:numCache>
                <c:formatCode>General</c:formatCode>
                <c:ptCount val="2"/>
                <c:pt idx="0">
                  <c:v>2.0</c:v>
                </c:pt>
                <c:pt idx="1">
                  <c:v>6.0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f>Sheet1!$P$1</c:f>
              <c:strCache>
                <c:ptCount val="1"/>
                <c:pt idx="0">
                  <c:v>Satellit model prognozi (o‘rtacha xato 0,21–0,73 f.p.)</c:v>
                </c:pt>
              </c:strCache>
            </c:strRef>
          </c:tx>
          <c:spPr>
            <a:ln w="22225">
              <a:solidFill>
                <a:srgbClr val="C00000"/>
              </a:solidFill>
              <a:prstDash val="dash"/>
            </a:ln>
          </c:spPr>
          <c:marker>
            <c:symbol val="none"/>
          </c:marker>
          <c:xVal>
            <c:numRef>
              <c:f>Sheet1!$O$2:$O$6</c:f>
              <c:numCache>
                <c:formatCode>General</c:formatCode>
                <c:ptCount val="5"/>
                <c:pt idx="0">
                  <c:v>2024.0</c:v>
                </c:pt>
                <c:pt idx="1">
                  <c:v>2024.25</c:v>
                </c:pt>
                <c:pt idx="2">
                  <c:v>2024.5</c:v>
                </c:pt>
                <c:pt idx="3">
                  <c:v>2024.75</c:v>
                </c:pt>
                <c:pt idx="4">
                  <c:v>2025.0</c:v>
                </c:pt>
              </c:numCache>
            </c:numRef>
          </c:xVal>
          <c:yVal>
            <c:numRef>
              <c:f>Sheet1!$P$2:$P$6</c:f>
              <c:numCache>
                <c:formatCode>General</c:formatCode>
                <c:ptCount val="5"/>
                <c:pt idx="0">
                  <c:v>3.97</c:v>
                </c:pt>
                <c:pt idx="1">
                  <c:v>3.99</c:v>
                </c:pt>
                <c:pt idx="2">
                  <c:v>3.98</c:v>
                </c:pt>
                <c:pt idx="3">
                  <c:v>3.99</c:v>
                </c:pt>
                <c:pt idx="4">
                  <c:v>3.98</c:v>
                </c:pt>
              </c:numCache>
            </c:numRef>
          </c:yVal>
          <c:smooth val="0"/>
        </c:ser>
        <c:ser>
          <c:idx val="8"/>
          <c:order val="8"/>
          <c:tx>
            <c:strRef>
              <c:f>Sheet1!$R$1</c:f>
              <c:strCache>
                <c:ptCount val="1"/>
                <c:pt idx="0">
                  <c:v>O‘zgarishsiz holat prognozi (0,12–0,65 f.p.)</c:v>
                </c:pt>
              </c:strCache>
            </c:strRef>
          </c:tx>
          <c:spPr>
            <a:ln w="19050">
              <a:solidFill>
                <a:srgbClr val="808080"/>
              </a:solidFill>
              <a:prstDash val="sysDot"/>
            </a:ln>
          </c:spPr>
          <c:marker>
            <c:symbol val="none"/>
          </c:marker>
          <c:xVal>
            <c:numRef>
              <c:f>Sheet1!$Q$2:$Q$3</c:f>
              <c:numCache>
                <c:formatCode>General</c:formatCode>
                <c:ptCount val="2"/>
                <c:pt idx="0">
                  <c:v>2024.0</c:v>
                </c:pt>
                <c:pt idx="1">
                  <c:v>2025.0</c:v>
                </c:pt>
              </c:numCache>
            </c:numRef>
          </c:xVal>
          <c:yVal>
            <c:numRef>
              <c:f>Sheet1!$R$2:$R$3</c:f>
              <c:numCache>
                <c:formatCode>General</c:formatCode>
                <c:ptCount val="2"/>
                <c:pt idx="0">
                  <c:v>3.97</c:v>
                </c:pt>
                <c:pt idx="1">
                  <c:v>3.97</c:v>
                </c:pt>
              </c:numCache>
            </c:numRef>
          </c:yVal>
          <c:smooth val="0"/>
        </c:ser>
        <c:ser>
          <c:idx val="9"/>
          <c:order val="9"/>
          <c:tx>
            <c:strRef>
              <c:f>Sheet1!$T$1</c:f>
              <c:strCache>
                <c:ptCount val="1"/>
                <c:pt idx="0">
                  <c:v>Prognoz boshlanish nuqtasi</c:v>
                </c:pt>
              </c:strCache>
            </c:strRef>
          </c:tx>
          <c:spPr>
            <a:ln w="9525">
              <a:solidFill>
                <a:srgbClr val="A6A6A6"/>
              </a:solidFill>
              <a:prstDash val="dash"/>
            </a:ln>
          </c:spPr>
          <c:marker>
            <c:symbol val="none"/>
          </c:marker>
          <c:xVal>
            <c:numRef>
              <c:f>Sheet1!$S$2:$S$3</c:f>
              <c:numCache>
                <c:formatCode>General</c:formatCode>
                <c:ptCount val="2"/>
                <c:pt idx="0">
                  <c:v>2024.0</c:v>
                </c:pt>
                <c:pt idx="1">
                  <c:v>2024.0</c:v>
                </c:pt>
              </c:numCache>
            </c:numRef>
          </c:xVal>
          <c:yVal>
            <c:numRef>
              <c:f>Sheet1!$T$2:$T$3</c:f>
              <c:numCache>
                <c:formatCode>General</c:formatCode>
                <c:ptCount val="2"/>
                <c:pt idx="0">
                  <c:v>2.0</c:v>
                </c:pt>
                <c:pt idx="1">
                  <c:v>6.0</c:v>
                </c:pt>
              </c:numCache>
            </c:numRef>
          </c:yVal>
          <c:smooth val="0"/>
        </c:ser>
        <c:axId val="333"/>
        <c:axId val="444"/>
      </c:scatterChart>
      <c:valAx>
        <c:axId val="333"/>
        <c:scaling>
          <c:orientation val="minMax"/>
          <c:max val="2025.25"/>
          <c:min val="2020"/>
        </c:scaling>
        <c:delete val="0"/>
        <c:axPos val="b"/>
        <c:title>
          <c:tx>
            <c:rich>
              <a:bodyPr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Yillar (choraklar)</a:t>
                </a:r>
              </a:p>
            </c:rich>
          </c:tx>
          <c:overlay val="0"/>
        </c:title>
        <c:numFmt formatCode="[&lt;2020.5]&quot;&quot;;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444"/>
        <c:crosses val="autoZero"/>
        <c:crossBetween val="midCat"/>
        <c:majorUnit val="1"/>
      </c:valAx>
      <c:valAx>
        <c:axId val="444"/>
        <c:scaling>
          <c:orientation val="minMax"/>
          <c:max val="6"/>
          <c:min val="2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Muammoli kreditlar ulushi, %</a:t>
                </a:r>
              </a:p>
            </c:rich>
          </c:tx>
          <c:overlay val="0"/>
        </c:title>
        <c:numFmt formatCode="0.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333"/>
        <c:crosses val="autoZero"/>
        <c:crossBetween val="midCat"/>
        <c:majorUnit val="1"/>
      </c:valAx>
      <c:spPr>
        <a:noFill/>
        <a:ln>
          <a:noFill/>
        </a:ln>
      </c:spPr>
    </c:plotArea>
    <c:legend>
      <c:legendPos val="b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