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B. Safaraliyev avtoreferatidagi “O‘zsanoatqurilishbank” ATB muammoli aktivlari prognozi bo‘yicha fikr-mulohazalar va tuzatilgan prognoz (namuna)</w:t>
      </w:r>
    </w:p>
    <w:p>
      <w:pPr>
        <w:jc w:val="both"/>
      </w:pPr>
      <w:r>
        <w:rPr>
          <w:b/>
          <w:i w:val="0"/>
        </w:rPr>
        <w:t>1. Prognozni qayta hisoblash natijalari</w:t>
      </w:r>
    </w:p>
    <w:p>
      <w:pPr>
        <w:ind w:firstLine="709"/>
        <w:jc w:val="both"/>
      </w:pPr>
      <w:r>
        <w:rPr>
          <w:b w:val="0"/>
          <w:i w:val="0"/>
        </w:rPr>
        <w:t>Avtoreferatning 4-jadvalidagi ma’lumotlar asosida chiziqli trend modeli qayta baholandi. Barcha ko‘rsatkichlar avtoreferatdagi natijalarga to‘liq mos keladi, ya’ni hisob-kitoblarda arifmetik xato yo‘q. Shu bilan birga, “pessimistik” va “optimistik” ssenariylar prognozning 95 foizlik ishonch oralig‘i chegaralari ekani aniqlandi (1-jadval).</w:t>
      </w:r>
    </w:p>
    <w:p>
      <w:pPr>
        <w:spacing w:line="240" w:lineRule="auto"/>
        <w:jc w:val="center"/>
      </w:pPr>
      <w:r>
        <w:rPr>
          <w:b/>
          <w:i w:val="0"/>
          <w:sz w:val="24"/>
        </w:rPr>
        <w:t>1-jadval. Avtoreferatdagi va qayta hisoblangan natijalar</w:t>
      </w:r>
    </w:p>
    <w:tbl>
      <w:tblPr>
        <w:tblStyle w:val="TableGrid"/>
        <w:tblW w:type="auto" w:w="0"/>
        <w:jc w:val="center"/>
        <w:tblLook w:firstColumn="1" w:firstRow="1" w:lastColumn="0" w:lastRow="0" w:noHBand="0" w:noVBand="1" w:val="04A0"/>
      </w:tblPr>
      <w:tblGrid>
        <w:gridCol w:w="3118"/>
        <w:gridCol w:w="3118"/>
        <w:gridCol w:w="3118"/>
      </w:tblGrid>
      <w:tr>
        <w:tc>
          <w:tcPr>
            <w:tcW w:type="dxa" w:w="4252"/>
          </w:tcPr>
          <w:p>
            <w:pPr>
              <w:spacing w:line="240" w:lineRule="auto"/>
              <w:ind w:firstLine="0"/>
              <w:jc w:val="center"/>
            </w:pPr>
            <w:r>
              <w:rPr>
                <w:b/>
                <w:sz w:val="22"/>
              </w:rPr>
              <w:t>Ko‘rsatkich</w:t>
            </w:r>
          </w:p>
        </w:tc>
        <w:tc>
          <w:tcPr>
            <w:tcW w:type="dxa" w:w="2381"/>
          </w:tcPr>
          <w:p>
            <w:pPr>
              <w:spacing w:line="240" w:lineRule="auto"/>
              <w:ind w:firstLine="0"/>
              <w:jc w:val="center"/>
            </w:pPr>
            <w:r>
              <w:rPr>
                <w:b/>
                <w:sz w:val="22"/>
              </w:rPr>
              <w:t>Avtoreferatda</w:t>
            </w:r>
          </w:p>
        </w:tc>
        <w:tc>
          <w:tcPr>
            <w:tcW w:type="dxa" w:w="2438"/>
          </w:tcPr>
          <w:p>
            <w:pPr>
              <w:spacing w:line="240" w:lineRule="auto"/>
              <w:ind w:firstLine="0"/>
              <w:jc w:val="center"/>
            </w:pPr>
            <w:r>
              <w:rPr>
                <w:b/>
                <w:sz w:val="22"/>
              </w:rPr>
              <w:t>Qayta hisoblangan</w:t>
            </w:r>
          </w:p>
        </w:tc>
      </w:tr>
      <w:tr>
        <w:tc>
          <w:tcPr>
            <w:tcW w:type="dxa" w:w="4252"/>
          </w:tcPr>
          <w:p>
            <w:pPr>
              <w:spacing w:line="240" w:lineRule="auto"/>
              <w:ind w:firstLine="0"/>
              <w:jc w:val="left"/>
            </w:pPr>
            <w:r>
              <w:rPr>
                <w:b w:val="0"/>
                <w:sz w:val="22"/>
              </w:rPr>
              <w:t>Trend koeffitsiyenti, mlrd so‘m</w:t>
            </w:r>
          </w:p>
        </w:tc>
        <w:tc>
          <w:tcPr>
            <w:tcW w:type="dxa" w:w="2381"/>
          </w:tcPr>
          <w:p>
            <w:pPr>
              <w:spacing w:line="240" w:lineRule="auto"/>
              <w:ind w:firstLine="0"/>
              <w:jc w:val="center"/>
            </w:pPr>
            <w:r>
              <w:rPr>
                <w:b w:val="0"/>
                <w:sz w:val="22"/>
              </w:rPr>
              <w:t>354</w:t>
            </w:r>
          </w:p>
        </w:tc>
        <w:tc>
          <w:tcPr>
            <w:tcW w:type="dxa" w:w="2438"/>
          </w:tcPr>
          <w:p>
            <w:pPr>
              <w:spacing w:line="240" w:lineRule="auto"/>
              <w:ind w:firstLine="0"/>
              <w:jc w:val="center"/>
            </w:pPr>
            <w:r>
              <w:rPr>
                <w:b w:val="0"/>
                <w:sz w:val="22"/>
              </w:rPr>
              <w:t>353,8</w:t>
            </w:r>
          </w:p>
        </w:tc>
      </w:tr>
      <w:tr>
        <w:tc>
          <w:tcPr>
            <w:tcW w:type="dxa" w:w="4252"/>
          </w:tcPr>
          <w:p>
            <w:pPr>
              <w:spacing w:line="240" w:lineRule="auto"/>
              <w:ind w:firstLine="0"/>
              <w:jc w:val="left"/>
            </w:pPr>
            <w:r>
              <w:rPr>
                <w:b w:val="0"/>
                <w:sz w:val="22"/>
              </w:rPr>
              <w:t>Konstanta, mlrd so‘m</w:t>
            </w:r>
          </w:p>
        </w:tc>
        <w:tc>
          <w:tcPr>
            <w:tcW w:type="dxa" w:w="2381"/>
          </w:tcPr>
          <w:p>
            <w:pPr>
              <w:spacing w:line="240" w:lineRule="auto"/>
              <w:ind w:firstLine="0"/>
              <w:jc w:val="center"/>
            </w:pPr>
            <w:r>
              <w:rPr>
                <w:b w:val="0"/>
                <w:sz w:val="22"/>
              </w:rPr>
              <w:t>−81</w:t>
            </w:r>
          </w:p>
        </w:tc>
        <w:tc>
          <w:tcPr>
            <w:tcW w:type="dxa" w:w="2438"/>
          </w:tcPr>
          <w:p>
            <w:pPr>
              <w:spacing w:line="240" w:lineRule="auto"/>
              <w:ind w:firstLine="0"/>
              <w:jc w:val="center"/>
            </w:pPr>
            <w:r>
              <w:rPr>
                <w:b w:val="0"/>
                <w:sz w:val="22"/>
              </w:rPr>
              <w:t>−81,0</w:t>
            </w:r>
          </w:p>
        </w:tc>
      </w:tr>
      <w:tr>
        <w:tc>
          <w:tcPr>
            <w:tcW w:type="dxa" w:w="4252"/>
          </w:tcPr>
          <w:p>
            <w:pPr>
              <w:spacing w:line="240" w:lineRule="auto"/>
              <w:ind w:firstLine="0"/>
              <w:jc w:val="left"/>
            </w:pPr>
            <w:r>
              <w:rPr>
                <w:b w:val="0"/>
                <w:sz w:val="22"/>
              </w:rPr>
              <w:t>R² / F-statistika</w:t>
            </w:r>
          </w:p>
        </w:tc>
        <w:tc>
          <w:tcPr>
            <w:tcW w:type="dxa" w:w="2381"/>
          </w:tcPr>
          <w:p>
            <w:pPr>
              <w:spacing w:line="240" w:lineRule="auto"/>
              <w:ind w:firstLine="0"/>
              <w:jc w:val="center"/>
            </w:pPr>
            <w:r>
              <w:rPr>
                <w:b w:val="0"/>
                <w:sz w:val="22"/>
              </w:rPr>
              <w:t>0,8928 / 49,98</w:t>
            </w:r>
          </w:p>
        </w:tc>
        <w:tc>
          <w:tcPr>
            <w:tcW w:type="dxa" w:w="2438"/>
          </w:tcPr>
          <w:p>
            <w:pPr>
              <w:spacing w:line="240" w:lineRule="auto"/>
              <w:ind w:firstLine="0"/>
              <w:jc w:val="center"/>
            </w:pPr>
            <w:r>
              <w:rPr>
                <w:b w:val="0"/>
                <w:sz w:val="22"/>
              </w:rPr>
              <w:t>0,8928 / 49,98</w:t>
            </w:r>
          </w:p>
        </w:tc>
      </w:tr>
      <w:tr>
        <w:tc>
          <w:tcPr>
            <w:tcW w:type="dxa" w:w="4252"/>
          </w:tcPr>
          <w:p>
            <w:pPr>
              <w:spacing w:line="240" w:lineRule="auto"/>
              <w:ind w:firstLine="0"/>
              <w:jc w:val="left"/>
            </w:pPr>
            <w:r>
              <w:rPr>
                <w:b w:val="0"/>
                <w:sz w:val="22"/>
              </w:rPr>
              <w:t>Durbin–Watson</w:t>
            </w:r>
          </w:p>
        </w:tc>
        <w:tc>
          <w:tcPr>
            <w:tcW w:type="dxa" w:w="2381"/>
          </w:tcPr>
          <w:p>
            <w:pPr>
              <w:spacing w:line="240" w:lineRule="auto"/>
              <w:ind w:firstLine="0"/>
              <w:jc w:val="center"/>
            </w:pPr>
            <w:r>
              <w:rPr>
                <w:b w:val="0"/>
                <w:sz w:val="22"/>
              </w:rPr>
              <w:t>2,4622</w:t>
            </w:r>
          </w:p>
        </w:tc>
        <w:tc>
          <w:tcPr>
            <w:tcW w:type="dxa" w:w="2438"/>
          </w:tcPr>
          <w:p>
            <w:pPr>
              <w:spacing w:line="240" w:lineRule="auto"/>
              <w:ind w:firstLine="0"/>
              <w:jc w:val="center"/>
            </w:pPr>
            <w:r>
              <w:rPr>
                <w:b w:val="0"/>
                <w:sz w:val="22"/>
              </w:rPr>
              <w:t>2,4622</w:t>
            </w:r>
          </w:p>
        </w:tc>
      </w:tr>
      <w:tr>
        <w:tc>
          <w:tcPr>
            <w:tcW w:type="dxa" w:w="4252"/>
          </w:tcPr>
          <w:p>
            <w:pPr>
              <w:spacing w:line="240" w:lineRule="auto"/>
              <w:ind w:firstLine="0"/>
              <w:jc w:val="left"/>
            </w:pPr>
            <w:r>
              <w:rPr>
                <w:b w:val="0"/>
                <w:sz w:val="22"/>
              </w:rPr>
              <w:t>2026-yil: dinamik / pessimistik / optimistik, trln so‘m</w:t>
            </w:r>
          </w:p>
        </w:tc>
        <w:tc>
          <w:tcPr>
            <w:tcW w:type="dxa" w:w="2381"/>
          </w:tcPr>
          <w:p>
            <w:pPr>
              <w:spacing w:line="240" w:lineRule="auto"/>
              <w:ind w:firstLine="0"/>
              <w:jc w:val="center"/>
            </w:pPr>
            <w:r>
              <w:rPr>
                <w:b w:val="0"/>
                <w:sz w:val="22"/>
              </w:rPr>
              <w:t>3,10 / 4,11 / 2,10</w:t>
            </w:r>
          </w:p>
        </w:tc>
        <w:tc>
          <w:tcPr>
            <w:tcW w:type="dxa" w:w="2438"/>
          </w:tcPr>
          <w:p>
            <w:pPr>
              <w:spacing w:line="240" w:lineRule="auto"/>
              <w:ind w:firstLine="0"/>
              <w:jc w:val="center"/>
            </w:pPr>
            <w:r>
              <w:rPr>
                <w:b w:val="0"/>
                <w:sz w:val="22"/>
              </w:rPr>
              <w:t>3,10 / 4,11 / 2,10</w:t>
            </w:r>
          </w:p>
        </w:tc>
      </w:tr>
      <w:tr>
        <w:tc>
          <w:tcPr>
            <w:tcW w:type="dxa" w:w="4252"/>
          </w:tcPr>
          <w:p>
            <w:pPr>
              <w:spacing w:line="240" w:lineRule="auto"/>
              <w:ind w:firstLine="0"/>
              <w:jc w:val="left"/>
            </w:pPr>
            <w:r>
              <w:rPr>
                <w:b w:val="0"/>
                <w:sz w:val="22"/>
              </w:rPr>
              <w:t>2027-yil: dinamik / pessimistik / optimistik, trln so‘m</w:t>
            </w:r>
          </w:p>
        </w:tc>
        <w:tc>
          <w:tcPr>
            <w:tcW w:type="dxa" w:w="2381"/>
          </w:tcPr>
          <w:p>
            <w:pPr>
              <w:spacing w:line="240" w:lineRule="auto"/>
              <w:ind w:firstLine="0"/>
              <w:jc w:val="center"/>
            </w:pPr>
            <w:r>
              <w:rPr>
                <w:b w:val="0"/>
                <w:sz w:val="22"/>
              </w:rPr>
              <w:t>3,46 / 4,54 / 2,38</w:t>
            </w:r>
          </w:p>
        </w:tc>
        <w:tc>
          <w:tcPr>
            <w:tcW w:type="dxa" w:w="2438"/>
          </w:tcPr>
          <w:p>
            <w:pPr>
              <w:spacing w:line="240" w:lineRule="auto"/>
              <w:ind w:firstLine="0"/>
              <w:jc w:val="center"/>
            </w:pPr>
            <w:r>
              <w:rPr>
                <w:b w:val="0"/>
                <w:sz w:val="22"/>
              </w:rPr>
              <w:t>3,46 / 4,54 / 2,38</w:t>
            </w:r>
          </w:p>
        </w:tc>
      </w:tr>
      <w:tr>
        <w:tc>
          <w:tcPr>
            <w:tcW w:type="dxa" w:w="4252"/>
          </w:tcPr>
          <w:p>
            <w:pPr>
              <w:spacing w:line="240" w:lineRule="auto"/>
              <w:ind w:firstLine="0"/>
              <w:jc w:val="left"/>
            </w:pPr>
            <w:r>
              <w:rPr>
                <w:b w:val="0"/>
                <w:sz w:val="22"/>
              </w:rPr>
              <w:t>2028-yil: dinamik / pessimistik / optimistik, trln so‘m</w:t>
            </w:r>
          </w:p>
        </w:tc>
        <w:tc>
          <w:tcPr>
            <w:tcW w:type="dxa" w:w="2381"/>
          </w:tcPr>
          <w:p>
            <w:pPr>
              <w:spacing w:line="240" w:lineRule="auto"/>
              <w:ind w:firstLine="0"/>
              <w:jc w:val="center"/>
            </w:pPr>
            <w:r>
              <w:rPr>
                <w:b w:val="0"/>
                <w:sz w:val="22"/>
              </w:rPr>
              <w:t>3,81 / 4,97 / 2,65</w:t>
            </w:r>
          </w:p>
        </w:tc>
        <w:tc>
          <w:tcPr>
            <w:tcW w:type="dxa" w:w="2438"/>
          </w:tcPr>
          <w:p>
            <w:pPr>
              <w:spacing w:line="240" w:lineRule="auto"/>
              <w:ind w:firstLine="0"/>
              <w:jc w:val="center"/>
            </w:pPr>
            <w:r>
              <w:rPr>
                <w:b w:val="0"/>
                <w:sz w:val="22"/>
              </w:rPr>
              <w:t>3,81 / 4,97 / 2,65</w:t>
            </w:r>
          </w:p>
        </w:tc>
      </w:tr>
    </w:tbl>
    <w:p>
      <w:pPr>
        <w:spacing w:line="240" w:lineRule="auto"/>
        <w:jc w:val="both"/>
      </w:pPr>
      <w:r>
        <w:rPr>
          <w:b w:val="0"/>
          <w:i w:val="0"/>
          <w:sz w:val="24"/>
        </w:rPr>
        <w:t>Izoh: qayta hisoblashda pessimistik va optimistik qiymatlar chiziqli trend prognozining 95 foizlik ishonch oralig‘ining yuqori va quyi chegaralari sifatida olingan.</w:t>
      </w:r>
    </w:p>
    <w:p>
      <w:pPr>
        <w:jc w:val="both"/>
      </w:pPr>
      <w:r>
        <w:rPr>
          <w:b/>
          <w:i w:val="0"/>
        </w:rPr>
        <w:t>2. Taqriz uchun fikr-mulohazalar</w:t>
      </w:r>
    </w:p>
    <w:p>
      <w:pPr>
        <w:ind w:firstLine="709"/>
        <w:jc w:val="both"/>
      </w:pPr>
      <w:r>
        <w:rPr>
          <w:b/>
        </w:rPr>
        <w:t>1. Ssenariylar tavsifi.</w:t>
      </w:r>
      <w:r>
        <w:t xml:space="preserve"> 6-jadvaldagi “pessimistik” va “optimistik” ssenariylar chiziqli trend prognozining 95 foizlik ishonch oralig‘i chegaralariga aynan mos keladi (masalan, 2026-yil uchun 2,10–4,11 trln so‘m). Ular YaIM o‘sishi, foiz stavkasi yoki almashuv kursi kabi makroiqtisodiy farazlarga asoslanmagan, shu sababli ssenariy emas, balki statistik noaniqlik oralig‘idir. Buni matnda ochiq ko‘rsatish yoki ssenariylarni makroiqtisodiy shartlar bilan bog‘lash tavsiya etiladi.</w:t>
      </w:r>
    </w:p>
    <w:p>
      <w:pPr>
        <w:ind w:firstLine="709"/>
        <w:jc w:val="both"/>
      </w:pPr>
      <w:r>
        <w:rPr>
          <w:b/>
        </w:rPr>
        <w:t>2. Model spetsifikatsiyasi.</w:t>
      </w:r>
      <w:r>
        <w:t xml:space="preserve"> 2018–2025-yillar ma’lumotlari chiziqli emas, balki pog‘onali o‘zgarishni aks ettiradi. Muammoli aktivlar 2018–2020-yillarda 0,44–0,56 trln so‘m, 2021-yilda 1,72 trln so‘m (3,8 barobar), 2024–2025-yillarda 2,62 trln so‘m bo‘lgan. Determinatsiya koeffitsiyentining yuqoriligi (0,89) asosan 2021-yildagi bir martalik sakrash hisobiga shakllangan. Tarkibiy siljishni hisobga olish, masalan, 2021-yildan keyingi davr uchun alohida baholash yoki fiktiv o‘zgaruvchi kiritish maqsadga muvofiq.</w:t>
      </w:r>
    </w:p>
    <w:p>
      <w:pPr>
        <w:ind w:firstLine="709"/>
        <w:jc w:val="both"/>
      </w:pPr>
      <w:r>
        <w:rPr>
          <w:b/>
        </w:rPr>
        <w:t>3. Kuzatuvlar soni.</w:t>
      </w:r>
      <w:r>
        <w:t xml:space="preserve"> Model 8 ta yillik kuzatuvga asoslangan. Bunday kichik tanlamada Shapiro–Wilk, Breusch–Godfrey va Ramsey RESET testlarining quvvati past, shu sababli ularning natijasi modelning prognoz uchun ishonchliligini tasdiqlash uchun yetarli dalil bo‘la olmaydi.</w:t>
      </w:r>
    </w:p>
    <w:p>
      <w:pPr>
        <w:ind w:firstLine="709"/>
        <w:jc w:val="both"/>
      </w:pPr>
      <w:r>
        <w:rPr>
          <w:b/>
        </w:rPr>
        <w:t>4. Prognozning boshlang‘ich nuqtasi.</w:t>
      </w:r>
      <w:r>
        <w:t xml:space="preserve"> Prognoz 2025-yilning haqiqiy qiymatidan (2,62 trln so‘m) emas, balki trend chizig‘idagi qiymatdan (2,75 trln so‘m) davom ettirilgan. Natijada 2026-yil uchun dinamik ssenariy 2025-yilga nisbatan 18,6 foiz o‘sishni ko‘rsatadi, holbuki 2024–2025-yillarda muammoli aktivlar deyarli o‘zgarmagan. Bu uzilish 8-rasmda ham ko‘rinadi.</w:t>
      </w:r>
    </w:p>
    <w:p>
      <w:pPr>
        <w:ind w:firstLine="709"/>
        <w:jc w:val="both"/>
      </w:pPr>
      <w:r>
        <w:rPr>
          <w:b/>
        </w:rPr>
        <w:t>5. Nominal ko‘rsatkich.</w:t>
      </w:r>
      <w:r>
        <w:t xml:space="preserve"> Muammoli aktivlarning nominal hajmi bank balansi va inflyatsiya bilan birga o‘sadi. Aktivlar sifatini baholash uchun nisbiy ko‘rsatkich, ya’ni muammoli aktivlarning jami aktivlar yoki kreditlardagi ulushi prognoz qilinishi lozim. Muallifning o‘z prognozlari bo‘yicha bu ulush 2025-yildagi 2,55 foizdan 2028-yilda 2,97 foizga oshadi, xolos. Bu 8-xulosadagi “muammoli aktivlarning keskin ortishi” degan fikrni to‘liq tasdiqlamaydi.</w:t>
      </w:r>
    </w:p>
    <w:p>
      <w:pPr>
        <w:ind w:firstLine="709"/>
        <w:jc w:val="both"/>
      </w:pPr>
      <w:r>
        <w:rPr>
          <w:b/>
        </w:rPr>
        <w:t>6. Muqobil modellar bilan taqqoslanmagan.</w:t>
      </w:r>
      <w:r>
        <w:t xml:space="preserve"> Chiziqli trend “maqbul model” deb baholangan, biroq u boshqa modellar bilan solishtirilmagan. Model o‘zgartirilganda 2028-yil prognozi keskin farq qiladi (2-jadval), ya’ni natija ma’lumotlardan ko‘ra model tanloviga ko‘proq bog‘liq.</w:t>
      </w:r>
    </w:p>
    <w:p>
      <w:pPr>
        <w:ind w:firstLine="709"/>
        <w:jc w:val="both"/>
      </w:pPr>
      <w:r>
        <w:rPr>
          <w:b/>
        </w:rPr>
        <w:t>7. Texnik kamchiliklar.</w:t>
      </w:r>
      <w:r>
        <w:t xml:space="preserve"> 26-betda “Quyida berilgan 6-rasmda” deyilgan, biroq rasm 8-rasm. 8-rasmning vertikal o‘qidagi qiymatlar bir-birining ustiga tushib o‘qib bo‘lmaydi, ishonch oralig‘i esa rasmda ko‘rsatilmagan. 4-jadval dastlabki ma’lumotlardan iborat, biroq uning manbasi “Stata dasturida muallif hisob-kitoblari” deb ko‘rsatilgan, holbuki manba bank hisobotlari bo‘lishi kerak. 8-xulosadagi aktivlar (128,4 trln so‘m) va soliqqacha foyda (2,49 trln so‘m) prognozlarining usuli avtoreferatda keltirilmagan.</w:t>
      </w:r>
    </w:p>
    <w:p>
      <w:pPr>
        <w:spacing w:line="240" w:lineRule="auto"/>
        <w:jc w:val="center"/>
      </w:pPr>
      <w:r>
        <w:rPr>
          <w:b/>
          <w:i w:val="0"/>
          <w:sz w:val="24"/>
        </w:rPr>
        <w:t>2-jadval. 2028-yil uchun muammoli aktivlar prognozining modelga bog‘liqligi</w:t>
      </w:r>
    </w:p>
    <w:tbl>
      <w:tblPr>
        <w:tblStyle w:val="TableGrid"/>
        <w:tblW w:type="auto" w:w="0"/>
        <w:jc w:val="center"/>
        <w:tblLook w:firstColumn="1" w:firstRow="1" w:lastColumn="0" w:lastRow="0" w:noHBand="0" w:noVBand="1" w:val="04A0"/>
      </w:tblPr>
      <w:tblGrid>
        <w:gridCol w:w="4677"/>
        <w:gridCol w:w="4677"/>
      </w:tblGrid>
      <w:tr>
        <w:tc>
          <w:tcPr>
            <w:tcW w:type="dxa" w:w="6236"/>
          </w:tcPr>
          <w:p>
            <w:pPr>
              <w:spacing w:line="240" w:lineRule="auto"/>
              <w:ind w:firstLine="0"/>
              <w:jc w:val="center"/>
            </w:pPr>
            <w:r>
              <w:rPr>
                <w:b/>
                <w:sz w:val="22"/>
              </w:rPr>
              <w:t>Yondashuv</w:t>
            </w:r>
          </w:p>
        </w:tc>
        <w:tc>
          <w:tcPr>
            <w:tcW w:type="dxa" w:w="2551"/>
          </w:tcPr>
          <w:p>
            <w:pPr>
              <w:spacing w:line="240" w:lineRule="auto"/>
              <w:ind w:firstLine="0"/>
              <w:jc w:val="center"/>
            </w:pPr>
            <w:r>
              <w:rPr>
                <w:b/>
                <w:sz w:val="22"/>
              </w:rPr>
              <w:t>2028-yil, trln so‘m</w:t>
            </w:r>
          </w:p>
        </w:tc>
      </w:tr>
      <w:tr>
        <w:tc>
          <w:tcPr>
            <w:tcW w:type="dxa" w:w="6236"/>
          </w:tcPr>
          <w:p>
            <w:pPr>
              <w:spacing w:line="240" w:lineRule="auto"/>
              <w:ind w:firstLine="0"/>
              <w:jc w:val="left"/>
            </w:pPr>
            <w:r>
              <w:rPr>
                <w:b w:val="0"/>
                <w:sz w:val="22"/>
              </w:rPr>
              <w:t>Chiziqli trend, 2018–2025 (avtoreferat)</w:t>
            </w:r>
          </w:p>
        </w:tc>
        <w:tc>
          <w:tcPr>
            <w:tcW w:type="dxa" w:w="2551"/>
          </w:tcPr>
          <w:p>
            <w:pPr>
              <w:spacing w:line="240" w:lineRule="auto"/>
              <w:ind w:firstLine="0"/>
              <w:jc w:val="center"/>
            </w:pPr>
            <w:r>
              <w:rPr>
                <w:b w:val="0"/>
                <w:sz w:val="22"/>
              </w:rPr>
              <w:t>3,81</w:t>
            </w:r>
          </w:p>
        </w:tc>
      </w:tr>
      <w:tr>
        <w:tc>
          <w:tcPr>
            <w:tcW w:type="dxa" w:w="6236"/>
          </w:tcPr>
          <w:p>
            <w:pPr>
              <w:spacing w:line="240" w:lineRule="auto"/>
              <w:ind w:firstLine="0"/>
              <w:jc w:val="left"/>
            </w:pPr>
            <w:r>
              <w:rPr>
                <w:b w:val="0"/>
                <w:sz w:val="22"/>
              </w:rPr>
              <w:t>Chiziqli trend, faqat 2021–2025</w:t>
            </w:r>
          </w:p>
        </w:tc>
        <w:tc>
          <w:tcPr>
            <w:tcW w:type="dxa" w:w="2551"/>
          </w:tcPr>
          <w:p>
            <w:pPr>
              <w:spacing w:line="240" w:lineRule="auto"/>
              <w:ind w:firstLine="0"/>
              <w:jc w:val="center"/>
            </w:pPr>
            <w:r>
              <w:rPr>
                <w:b w:val="0"/>
                <w:sz w:val="22"/>
              </w:rPr>
              <w:t>3,45</w:t>
            </w:r>
          </w:p>
        </w:tc>
      </w:tr>
      <w:tr>
        <w:tc>
          <w:tcPr>
            <w:tcW w:type="dxa" w:w="6236"/>
          </w:tcPr>
          <w:p>
            <w:pPr>
              <w:spacing w:line="240" w:lineRule="auto"/>
              <w:ind w:firstLine="0"/>
              <w:jc w:val="left"/>
            </w:pPr>
            <w:r>
              <w:rPr>
                <w:b w:val="0"/>
                <w:sz w:val="22"/>
              </w:rPr>
              <w:t>Aktivlardagi ulush 2025-yil darajasida (2,55 %), aktivlar 128,4 trln so‘m</w:t>
            </w:r>
          </w:p>
        </w:tc>
        <w:tc>
          <w:tcPr>
            <w:tcW w:type="dxa" w:w="2551"/>
          </w:tcPr>
          <w:p>
            <w:pPr>
              <w:spacing w:line="240" w:lineRule="auto"/>
              <w:ind w:firstLine="0"/>
              <w:jc w:val="center"/>
            </w:pPr>
            <w:r>
              <w:rPr>
                <w:b w:val="0"/>
                <w:sz w:val="22"/>
              </w:rPr>
              <w:t>3,28</w:t>
            </w:r>
          </w:p>
        </w:tc>
      </w:tr>
      <w:tr>
        <w:tc>
          <w:tcPr>
            <w:tcW w:type="dxa" w:w="6236"/>
          </w:tcPr>
          <w:p>
            <w:pPr>
              <w:spacing w:line="240" w:lineRule="auto"/>
              <w:ind w:firstLine="0"/>
              <w:jc w:val="left"/>
            </w:pPr>
            <w:r>
              <w:rPr>
                <w:b w:val="0"/>
                <w:sz w:val="22"/>
              </w:rPr>
              <w:t>Logarifmik trend (yiliga 33,2 % o‘sish)</w:t>
            </w:r>
          </w:p>
        </w:tc>
        <w:tc>
          <w:tcPr>
            <w:tcW w:type="dxa" w:w="2551"/>
          </w:tcPr>
          <w:p>
            <w:pPr>
              <w:spacing w:line="240" w:lineRule="auto"/>
              <w:ind w:firstLine="0"/>
              <w:jc w:val="center"/>
            </w:pPr>
            <w:r>
              <w:rPr>
                <w:b w:val="0"/>
                <w:sz w:val="22"/>
              </w:rPr>
              <w:t>7,77</w:t>
            </w:r>
          </w:p>
        </w:tc>
      </w:tr>
    </w:tbl>
    <w:p>
      <w:pPr>
        <w:jc w:val="both"/>
      </w:pPr>
      <w:r>
        <w:rPr>
          <w:b/>
          <w:i w:val="0"/>
        </w:rPr>
        <w:t>3. Tuzatilgan prognoz namunasi</w:t>
      </w:r>
    </w:p>
    <w:p>
      <w:pPr>
        <w:ind w:firstLine="709"/>
        <w:jc w:val="both"/>
      </w:pPr>
      <w:r>
        <w:rPr>
          <w:b w:val="0"/>
          <w:i w:val="0"/>
        </w:rPr>
        <w:t>Tuzatilgan prognoz quyidagi tartibda tuziladi. Birinchidan, nominal hajm o‘rniga muammoli aktivlarning jami aktivlardagi ulushi prognoz qilinadi. 2021–2025-yillarda bu ulush 2,55–3,05 foiz oralig‘ida bo‘lib, o‘sish tendensiyasiga ega emas. Ikkinchidan, ulushning o‘zgarishi YaIM o‘sishi bo‘yicha makroiqtisodiy ssenariylarga bog‘lanadi. Buning uchun bank tizimi darajasida baholangan satellit model (muammoli kreditlar ulushi = 2,98 + 0,49 × oldingi chorak ulushi − 0,15 × to‘rt chorak oldingi YaIM o‘sishi) qo‘llanib, tizim bo‘yicha og‘ish bankka uning 2025-yildagi ulushiga proporsional taqsimlanadi. Uchinchidan, muammoli aktivlar hajmi ulushni aktivlarga ko‘paytirish orqali topiladi, aktivlar esa muallifning o‘z prognozi bo‘yicha olinadi (2028-yilda 128,4 trln so‘m, yiliga 7,8 foiz). To‘rtinchidan, prognoz 2025-yilning haqiqiy qiymatidan boshlanadi.</w:t>
      </w:r>
    </w:p>
    <w:p>
      <w:pPr>
        <w:spacing w:line="240" w:lineRule="auto"/>
        <w:jc w:val="center"/>
      </w:pPr>
      <w:r>
        <w:rPr>
          <w:b/>
          <w:i w:val="0"/>
          <w:sz w:val="24"/>
        </w:rPr>
        <w:t>3-jadval. “O‘zsanoatqurilishbank” ATB muammoli aktivlarining makroiqtisodiy ssenariylar bo‘yicha tuzatilgan prognozi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871"/>
          </w:tcPr>
          <w:p>
            <w:pPr>
              <w:spacing w:line="240" w:lineRule="auto"/>
              <w:ind w:firstLine="0"/>
              <w:jc w:val="center"/>
            </w:pPr>
            <w:r>
              <w:rPr>
                <w:b/>
                <w:sz w:val="22"/>
              </w:rPr>
              <w:t>Ssenariy</w:t>
            </w:r>
          </w:p>
        </w:tc>
        <w:tc>
          <w:tcPr>
            <w:tcW w:type="dxa" w:w="2381"/>
          </w:tcPr>
          <w:p>
            <w:pPr>
              <w:spacing w:line="240" w:lineRule="auto"/>
              <w:ind w:firstLine="0"/>
              <w:jc w:val="center"/>
            </w:pPr>
            <w:r>
              <w:rPr>
                <w:b/>
                <w:sz w:val="22"/>
              </w:rPr>
              <w:t>YaIM o‘sishi, %: 2026 / 2027 / 2028</w:t>
            </w:r>
          </w:p>
        </w:tc>
        <w:tc>
          <w:tcPr>
            <w:tcW w:type="dxa" w:w="2381"/>
          </w:tcPr>
          <w:p>
            <w:pPr>
              <w:spacing w:line="240" w:lineRule="auto"/>
              <w:ind w:firstLine="0"/>
              <w:jc w:val="center"/>
            </w:pPr>
            <w:r>
              <w:rPr>
                <w:b/>
                <w:sz w:val="22"/>
              </w:rPr>
              <w:t>Aktivlardagi ulush, %: 2026 / 2027 / 2028</w:t>
            </w:r>
          </w:p>
        </w:tc>
        <w:tc>
          <w:tcPr>
            <w:tcW w:type="dxa" w:w="2438"/>
          </w:tcPr>
          <w:p>
            <w:pPr>
              <w:spacing w:line="240" w:lineRule="auto"/>
              <w:ind w:firstLine="0"/>
              <w:jc w:val="center"/>
            </w:pPr>
            <w:r>
              <w:rPr>
                <w:b/>
                <w:sz w:val="22"/>
              </w:rPr>
              <w:t>Muammoli aktivlar, trln so‘m: 2026 / 2027 / 2028</w:t>
            </w:r>
          </w:p>
        </w:tc>
      </w:tr>
      <w:tr>
        <w:tc>
          <w:tcPr>
            <w:tcW w:type="dxa" w:w="1871"/>
          </w:tcPr>
          <w:p>
            <w:pPr>
              <w:spacing w:line="240" w:lineRule="auto"/>
              <w:ind w:firstLine="0"/>
              <w:jc w:val="left"/>
            </w:pPr>
            <w:r>
              <w:rPr>
                <w:b w:val="0"/>
                <w:sz w:val="22"/>
              </w:rPr>
              <w:t>Ijobiy</w:t>
            </w:r>
          </w:p>
        </w:tc>
        <w:tc>
          <w:tcPr>
            <w:tcW w:type="dxa" w:w="2381"/>
          </w:tcPr>
          <w:p>
            <w:pPr>
              <w:spacing w:line="240" w:lineRule="auto"/>
              <w:ind w:firstLine="0"/>
              <w:jc w:val="center"/>
            </w:pPr>
            <w:r>
              <w:rPr>
                <w:b w:val="0"/>
                <w:sz w:val="22"/>
              </w:rPr>
              <w:t>8,0 / 8,0 / 8,0</w:t>
            </w:r>
          </w:p>
        </w:tc>
        <w:tc>
          <w:tcPr>
            <w:tcW w:type="dxa" w:w="2381"/>
          </w:tcPr>
          <w:p>
            <w:pPr>
              <w:spacing w:line="240" w:lineRule="auto"/>
              <w:ind w:firstLine="0"/>
              <w:jc w:val="center"/>
            </w:pPr>
            <w:r>
              <w:rPr>
                <w:b w:val="0"/>
                <w:sz w:val="22"/>
              </w:rPr>
              <w:t>2,59 / 2,49 / 2,48</w:t>
            </w:r>
          </w:p>
        </w:tc>
        <w:tc>
          <w:tcPr>
            <w:tcW w:type="dxa" w:w="2438"/>
          </w:tcPr>
          <w:p>
            <w:pPr>
              <w:spacing w:line="240" w:lineRule="auto"/>
              <w:ind w:firstLine="0"/>
              <w:jc w:val="center"/>
            </w:pPr>
            <w:r>
              <w:rPr>
                <w:b w:val="0"/>
                <w:sz w:val="22"/>
              </w:rPr>
              <w:t>2,86 / 2,96 / 3,18</w:t>
            </w:r>
          </w:p>
        </w:tc>
      </w:tr>
      <w:tr>
        <w:tc>
          <w:tcPr>
            <w:tcW w:type="dxa" w:w="1871"/>
          </w:tcPr>
          <w:p>
            <w:pPr>
              <w:spacing w:line="240" w:lineRule="auto"/>
              <w:ind w:firstLine="0"/>
              <w:jc w:val="left"/>
            </w:pPr>
            <w:r>
              <w:rPr>
                <w:b w:val="0"/>
                <w:sz w:val="22"/>
              </w:rPr>
              <w:t>Asosiy</w:t>
            </w:r>
          </w:p>
        </w:tc>
        <w:tc>
          <w:tcPr>
            <w:tcW w:type="dxa" w:w="2381"/>
          </w:tcPr>
          <w:p>
            <w:pPr>
              <w:spacing w:line="240" w:lineRule="auto"/>
              <w:ind w:firstLine="0"/>
              <w:jc w:val="center"/>
            </w:pPr>
            <w:r>
              <w:rPr>
                <w:b w:val="0"/>
                <w:sz w:val="22"/>
              </w:rPr>
              <w:t>6,9 / 6,9 / 6,9</w:t>
            </w:r>
          </w:p>
        </w:tc>
        <w:tc>
          <w:tcPr>
            <w:tcW w:type="dxa" w:w="2381"/>
          </w:tcPr>
          <w:p>
            <w:pPr>
              <w:spacing w:line="240" w:lineRule="auto"/>
              <w:ind w:firstLine="0"/>
              <w:jc w:val="center"/>
            </w:pPr>
            <w:r>
              <w:rPr>
                <w:b w:val="0"/>
                <w:sz w:val="22"/>
              </w:rPr>
              <w:t>2,59 / 2,75 / 2,76</w:t>
            </w:r>
          </w:p>
        </w:tc>
        <w:tc>
          <w:tcPr>
            <w:tcW w:type="dxa" w:w="2438"/>
          </w:tcPr>
          <w:p>
            <w:pPr>
              <w:spacing w:line="240" w:lineRule="auto"/>
              <w:ind w:firstLine="0"/>
              <w:jc w:val="center"/>
            </w:pPr>
            <w:r>
              <w:rPr>
                <w:b w:val="0"/>
                <w:sz w:val="22"/>
              </w:rPr>
              <w:t>2,86 / 3,28 / 3,54</w:t>
            </w:r>
          </w:p>
        </w:tc>
      </w:tr>
      <w:tr>
        <w:tc>
          <w:tcPr>
            <w:tcW w:type="dxa" w:w="1871"/>
          </w:tcPr>
          <w:p>
            <w:pPr>
              <w:spacing w:line="240" w:lineRule="auto"/>
              <w:ind w:firstLine="0"/>
              <w:jc w:val="left"/>
            </w:pPr>
            <w:r>
              <w:rPr>
                <w:b w:val="0"/>
                <w:sz w:val="22"/>
              </w:rPr>
              <w:t>Salbiy</w:t>
            </w:r>
          </w:p>
        </w:tc>
        <w:tc>
          <w:tcPr>
            <w:tcW w:type="dxa" w:w="2381"/>
          </w:tcPr>
          <w:p>
            <w:pPr>
              <w:spacing w:line="240" w:lineRule="auto"/>
              <w:ind w:firstLine="0"/>
              <w:jc w:val="center"/>
            </w:pPr>
            <w:r>
              <w:rPr>
                <w:b w:val="0"/>
                <w:sz w:val="22"/>
              </w:rPr>
              <w:t>4,5 / 5,5 / 6,9</w:t>
            </w:r>
          </w:p>
        </w:tc>
        <w:tc>
          <w:tcPr>
            <w:tcW w:type="dxa" w:w="2381"/>
          </w:tcPr>
          <w:p>
            <w:pPr>
              <w:spacing w:line="240" w:lineRule="auto"/>
              <w:ind w:firstLine="0"/>
              <w:jc w:val="center"/>
            </w:pPr>
            <w:r>
              <w:rPr>
                <w:b w:val="0"/>
                <w:sz w:val="22"/>
              </w:rPr>
              <w:t>2,59 / 3,32 / 3,13</w:t>
            </w:r>
          </w:p>
        </w:tc>
        <w:tc>
          <w:tcPr>
            <w:tcW w:type="dxa" w:w="2438"/>
          </w:tcPr>
          <w:p>
            <w:pPr>
              <w:spacing w:line="240" w:lineRule="auto"/>
              <w:ind w:firstLine="0"/>
              <w:jc w:val="center"/>
            </w:pPr>
            <w:r>
              <w:rPr>
                <w:b w:val="0"/>
                <w:sz w:val="22"/>
              </w:rPr>
              <w:t>2,86 / 3,96 / 4,02</w:t>
            </w:r>
          </w:p>
        </w:tc>
      </w:tr>
      <w:tr>
        <w:tc>
          <w:tcPr>
            <w:tcW w:type="dxa" w:w="1871"/>
          </w:tcPr>
          <w:p>
            <w:pPr>
              <w:spacing w:line="240" w:lineRule="auto"/>
              <w:ind w:firstLine="0"/>
              <w:jc w:val="left"/>
            </w:pPr>
            <w:r>
              <w:rPr>
                <w:b w:val="0"/>
                <w:sz w:val="22"/>
              </w:rPr>
              <w:t>Keskin salbiy</w:t>
            </w:r>
          </w:p>
        </w:tc>
        <w:tc>
          <w:tcPr>
            <w:tcW w:type="dxa" w:w="2381"/>
          </w:tcPr>
          <w:p>
            <w:pPr>
              <w:spacing w:line="240" w:lineRule="auto"/>
              <w:ind w:firstLine="0"/>
              <w:jc w:val="center"/>
            </w:pPr>
            <w:r>
              <w:rPr>
                <w:b w:val="0"/>
                <w:sz w:val="22"/>
              </w:rPr>
              <w:t>1,6 / 5,5 / 6,9</w:t>
            </w:r>
          </w:p>
        </w:tc>
        <w:tc>
          <w:tcPr>
            <w:tcW w:type="dxa" w:w="2381"/>
          </w:tcPr>
          <w:p>
            <w:pPr>
              <w:spacing w:line="240" w:lineRule="auto"/>
              <w:ind w:firstLine="0"/>
              <w:jc w:val="center"/>
            </w:pPr>
            <w:r>
              <w:rPr>
                <w:b w:val="0"/>
                <w:sz w:val="22"/>
              </w:rPr>
              <w:t>2,59 / 4,02 / 3,17</w:t>
            </w:r>
          </w:p>
        </w:tc>
        <w:tc>
          <w:tcPr>
            <w:tcW w:type="dxa" w:w="2438"/>
          </w:tcPr>
          <w:p>
            <w:pPr>
              <w:spacing w:line="240" w:lineRule="auto"/>
              <w:ind w:firstLine="0"/>
              <w:jc w:val="center"/>
            </w:pPr>
            <w:r>
              <w:rPr>
                <w:b w:val="0"/>
                <w:sz w:val="22"/>
              </w:rPr>
              <w:t>2,86 / 4,79 / 4,07</w:t>
            </w:r>
          </w:p>
        </w:tc>
      </w:tr>
      <w:tr>
        <w:tc>
          <w:tcPr>
            <w:tcW w:type="dxa" w:w="1871"/>
          </w:tcPr>
          <w:p>
            <w:pPr>
              <w:spacing w:line="240" w:lineRule="auto"/>
              <w:ind w:firstLine="0"/>
              <w:jc w:val="left"/>
            </w:pPr>
            <w:r>
              <w:rPr>
                <w:b w:val="0"/>
                <w:sz w:val="22"/>
              </w:rPr>
              <w:t>Avtoreferat (dinamik)</w:t>
            </w:r>
          </w:p>
        </w:tc>
        <w:tc>
          <w:tcPr>
            <w:tcW w:type="dxa" w:w="2381"/>
          </w:tcPr>
          <w:p>
            <w:pPr>
              <w:spacing w:line="240" w:lineRule="auto"/>
              <w:ind w:firstLine="0"/>
              <w:jc w:val="center"/>
            </w:pPr>
            <w:r>
              <w:rPr>
                <w:b w:val="0"/>
                <w:sz w:val="22"/>
              </w:rPr>
              <w:t>–</w:t>
            </w:r>
          </w:p>
        </w:tc>
        <w:tc>
          <w:tcPr>
            <w:tcW w:type="dxa" w:w="2381"/>
          </w:tcPr>
          <w:p>
            <w:pPr>
              <w:spacing w:line="240" w:lineRule="auto"/>
              <w:ind w:firstLine="0"/>
              <w:jc w:val="center"/>
            </w:pPr>
            <w:r>
              <w:rPr>
                <w:b w:val="0"/>
                <w:sz w:val="22"/>
              </w:rPr>
              <w:t>2,81 / 2,90 / 2,97</w:t>
            </w:r>
          </w:p>
        </w:tc>
        <w:tc>
          <w:tcPr>
            <w:tcW w:type="dxa" w:w="2438"/>
          </w:tcPr>
          <w:p>
            <w:pPr>
              <w:spacing w:line="240" w:lineRule="auto"/>
              <w:ind w:firstLine="0"/>
              <w:jc w:val="center"/>
            </w:pPr>
            <w:r>
              <w:rPr>
                <w:b w:val="0"/>
                <w:sz w:val="22"/>
              </w:rPr>
              <w:t>3,10 / 3,46 / 3,81</w:t>
            </w:r>
          </w:p>
        </w:tc>
      </w:tr>
    </w:tbl>
    <w:p>
      <w:pPr>
        <w:spacing w:line="240" w:lineRule="auto"/>
        <w:jc w:val="both"/>
      </w:pPr>
      <w:r>
        <w:rPr>
          <w:b w:val="0"/>
          <w:i w:val="0"/>
          <w:sz w:val="24"/>
        </w:rPr>
        <w:t>Izoh: 2025-yil – 2,62 trln so‘m, aktivlardagi ulushi 2,55 %; YaIM ssenariylari va satellit model – O.T. Maxmudov dissertatsiyasi, 4.2-paragraf; 2026-yilda ssenariylar bir xil, chunki YaIM shokining ta’siri to‘rt chorakdan keyin namoyon bo‘ladi.</w:t>
      </w:r>
    </w:p>
    <w:p>
      <w:pPr>
        <w:keepNext/>
        <w:jc w:val="center"/>
      </w:pPr>
      <w:r xmlns:a="http://schemas.openxmlformats.org/drawingml/2006/main" xmlns:c="http://schemas.openxmlformats.org/drawingml/2006/chart">
        <w:rPr>
          <w:noProof/>
        </w:rPr>
        <w:drawing>
          <wp:inline distT="0" distB="0" distL="0" distR="0">
            <wp:extent cx="5760000" cy="3600000"/>
            <wp:effectExtent l="0" t="0" r="0" b="0"/>
            <wp:docPr id="1001" name="prognoz"/>
            <wp:cNvGraphicFramePr/>
            <a:graphic>
              <a:graphicData uri="http://schemas.openxmlformats.org/drawingml/2006/chart">
                <c:chart r:id="rId9"/>
              </a:graphicData>
            </a:graphic>
          </wp:inline>
        </w:drawing>
      </w:r>
    </w:p>
    <w:p>
      <w:pPr>
        <w:spacing w:line="240" w:lineRule="auto"/>
        <w:jc w:val="center"/>
      </w:pPr>
      <w:r>
        <w:rPr>
          <w:b/>
          <w:i w:val="0"/>
          <w:sz w:val="24"/>
        </w:rPr>
        <w:t>1-rasm. “O‘zsanoatqurilishbank” ATB muammoli aktivlari: haqiqiy qiymatlar, avtoreferat prognozi va tuzatilgan ssenariy prognozi</w:t>
      </w:r>
    </w:p>
    <w:p>
      <w:pPr>
        <w:ind w:firstLine="709"/>
        <w:jc w:val="both"/>
      </w:pPr>
      <w:r>
        <w:rPr>
          <w:b w:val="0"/>
          <w:i w:val="0"/>
        </w:rPr>
        <w:t>Tuzatilgan prognozga ko‘ra, 2028-yilda muammoli aktivlar asosiy ssenariyda 3,54 trln so‘mni, ijobiy ssenariyda 3,18 trln so‘mni tashkil etadi. Keskin salbiy ssenariyda ular 2027-yilda 4,79 trln so‘mgacha oshib, 2028-yilda 4,07 trln so‘mgacha kamayadi. Avtoreferatdagi dinamik prognoz (3,81 trln so‘m) asosiy va salbiy ssenariylar oralig‘ida joylashgan, biroq uning “pessimistik” chegarasi (4,97 trln so‘m) keskin salbiy ssenariydan ham yuqori, “optimistik” chegarasi (2,65 trln so‘m) esa 2025-yil darajasidan deyarli farq qilmaydi. Demak, tuzatilgan yondashuv prognozni aniq makroiqtisodiy shartlar bilan bog‘laydi va muammoli aktivlarning o‘sishini bank balansining o‘sishidan ajratib ko‘rsatadi.</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Haqiqiy (4-jadval)</c:v>
                </c:pt>
              </c:strCache>
            </c:strRef>
          </c:tx>
          <c:spPr>
            <a:ln w="28575">
              <a:solidFill>
                <a:srgbClr val="000000"/>
              </a:solidFill>
            </a:ln>
          </c:spPr>
          <c:marker>
            <c:symbol val="circle"/>
            <c:size val="5"/>
            <c:spPr>
              <a:solidFill>
                <a:srgbClr val="000000"/>
              </a:solidFill>
              <a:ln>
                <a:noFill/>
              </a:ln>
            </c:spPr>
          </c:marker>
          <c:xVal>
            <c:numRef>
              <c:f>Sheet1!$A$2:$A$9</c:f>
              <c:numCache>
                <c:formatCode>General</c:formatCode>
                <c:ptCount val="8"/>
                <c:pt idx="0">
                  <c:v>2018</c:v>
                </c:pt>
                <c:pt idx="1">
                  <c:v>2019</c:v>
                </c:pt>
                <c:pt idx="2">
                  <c:v>2020</c:v>
                </c:pt>
                <c:pt idx="3">
                  <c:v>2021</c:v>
                </c:pt>
                <c:pt idx="4">
                  <c:v>2022</c:v>
                </c:pt>
                <c:pt idx="5">
                  <c:v>2023</c:v>
                </c:pt>
                <c:pt idx="6">
                  <c:v>2024</c:v>
                </c:pt>
                <c:pt idx="7">
                  <c:v>2025</c:v>
                </c:pt>
              </c:numCache>
            </c:numRef>
          </c:xVal>
          <c:yVal>
            <c:numRef>
              <c:f>Sheet1!$B$2:$B$9</c:f>
              <c:numCache>
                <c:formatCode>General</c:formatCode>
                <c:ptCount val="8"/>
                <c:pt idx="0">
                  <c:v>0.558</c:v>
                </c:pt>
                <c:pt idx="1">
                  <c:v>0.438</c:v>
                </c:pt>
                <c:pt idx="2">
                  <c:v>0.456</c:v>
                </c:pt>
                <c:pt idx="3">
                  <c:v>1.724</c:v>
                </c:pt>
                <c:pt idx="4">
                  <c:v>1.765</c:v>
                </c:pt>
                <c:pt idx="5">
                  <c:v>1.917</c:v>
                </c:pt>
                <c:pt idx="6">
                  <c:v>2.616</c:v>
                </c:pt>
                <c:pt idx="7">
                  <c:v>2.616</c:v>
                </c:pt>
              </c:numCache>
            </c:numRef>
          </c:yVal>
          <c:smooth val="0"/>
        </c:ser>
        <c:ser>
          <c:idx val="1"/>
          <c:order val="1"/>
          <c:tx>
            <c:strRef>
              <c:f>Sheet1!$D$1</c:f>
              <c:strCache>
                <c:ptCount val="1"/>
                <c:pt idx="0">
                  <c:v>Avtoreferat: chiziqli trend (dinamik)</c:v>
                </c:pt>
              </c:strCache>
            </c:strRef>
          </c:tx>
          <c:spPr>
            <a:ln w="22225">
              <a:solidFill>
                <a:srgbClr val="808080"/>
              </a:solidFill>
              <a:prstDash val="sysDash"/>
            </a:ln>
          </c:spPr>
          <c:marker>
            <c:symbol val="triangle"/>
            <c:size val="5"/>
            <c:spPr>
              <a:solidFill>
                <a:srgbClr val="808080"/>
              </a:solidFill>
              <a:ln>
                <a:noFill/>
              </a:ln>
            </c:spPr>
          </c:marker>
          <c:xVal>
            <c:numRef>
              <c:f>Sheet1!$C$2:$C$5</c:f>
              <c:numCache>
                <c:formatCode>General</c:formatCode>
                <c:ptCount val="4"/>
                <c:pt idx="0">
                  <c:v>2025</c:v>
                </c:pt>
                <c:pt idx="1">
                  <c:v>2026</c:v>
                </c:pt>
                <c:pt idx="2">
                  <c:v>2027</c:v>
                </c:pt>
                <c:pt idx="3">
                  <c:v>2028</c:v>
                </c:pt>
              </c:numCache>
            </c:numRef>
          </c:xVal>
          <c:yVal>
            <c:numRef>
              <c:f>Sheet1!$D$2:$D$5</c:f>
              <c:numCache>
                <c:formatCode>General</c:formatCode>
                <c:ptCount val="4"/>
                <c:pt idx="0">
                  <c:v>2.75</c:v>
                </c:pt>
                <c:pt idx="1">
                  <c:v>3.104</c:v>
                </c:pt>
                <c:pt idx="2">
                  <c:v>3.457</c:v>
                </c:pt>
                <c:pt idx="3">
                  <c:v>3.811</c:v>
                </c:pt>
              </c:numCache>
            </c:numRef>
          </c:yVal>
          <c:smooth val="0"/>
        </c:ser>
        <c:ser>
          <c:idx val="2"/>
          <c:order val="2"/>
          <c:tx>
            <c:strRef>
              <c:f>Sheet1!$F$1</c:f>
              <c:strCache>
                <c:ptCount val="1"/>
                <c:pt idx="0">
                  <c:v>Avtoreferat: 95 % oraliq chegaralari</c:v>
                </c:pt>
              </c:strCache>
            </c:strRef>
          </c:tx>
          <c:spPr>
            <a:ln w="12700">
              <a:solidFill>
                <a:srgbClr val="BFBFBF"/>
              </a:solidFill>
              <a:prstDash val="dash"/>
            </a:ln>
          </c:spPr>
          <c:marker>
            <c:symbol val="none"/>
          </c:marker>
          <c:xVal>
            <c:numRef>
              <c:f>Sheet1!$E$2:$E$4</c:f>
              <c:numCache>
                <c:formatCode>General</c:formatCode>
                <c:ptCount val="3"/>
                <c:pt idx="0">
                  <c:v>2026</c:v>
                </c:pt>
                <c:pt idx="1">
                  <c:v>2027</c:v>
                </c:pt>
                <c:pt idx="2">
                  <c:v>2028</c:v>
                </c:pt>
              </c:numCache>
            </c:numRef>
          </c:xVal>
          <c:yVal>
            <c:numRef>
              <c:f>Sheet1!$F$2:$F$4</c:f>
              <c:numCache>
                <c:formatCode>General</c:formatCode>
                <c:ptCount val="3"/>
                <c:pt idx="0">
                  <c:v>4.11</c:v>
                </c:pt>
                <c:pt idx="1">
                  <c:v>4.536</c:v>
                </c:pt>
                <c:pt idx="2">
                  <c:v>4.97</c:v>
                </c:pt>
              </c:numCache>
            </c:numRef>
          </c:yVal>
          <c:smooth val="0"/>
        </c:ser>
        <c:ser>
          <c:idx val="3"/>
          <c:order val="3"/>
          <c:tx>
            <c:strRef>
              <c:f>Sheet1!$H$1</c:f>
              <c:strCache>
                <c:ptCount val="1"/>
                <c:pt idx="0">
                  <c:v/>
                </c:pt>
              </c:strCache>
            </c:strRef>
          </c:tx>
          <c:spPr>
            <a:ln w="12700">
              <a:solidFill>
                <a:srgbClr val="BFBFBF"/>
              </a:solidFill>
              <a:prstDash val="dash"/>
            </a:ln>
          </c:spPr>
          <c:marker>
            <c:symbol val="none"/>
          </c:marker>
          <c:xVal>
            <c:numRef>
              <c:f>Sheet1!$G$2:$G$4</c:f>
              <c:numCache>
                <c:formatCode>General</c:formatCode>
                <c:ptCount val="3"/>
                <c:pt idx="0">
                  <c:v>2026</c:v>
                </c:pt>
                <c:pt idx="1">
                  <c:v>2027</c:v>
                </c:pt>
                <c:pt idx="2">
                  <c:v>2028</c:v>
                </c:pt>
              </c:numCache>
            </c:numRef>
          </c:xVal>
          <c:yVal>
            <c:numRef>
              <c:f>Sheet1!$H$2:$H$4</c:f>
              <c:numCache>
                <c:formatCode>General</c:formatCode>
                <c:ptCount val="3"/>
                <c:pt idx="0">
                  <c:v>2.097</c:v>
                </c:pt>
                <c:pt idx="1">
                  <c:v>2.379</c:v>
                </c:pt>
                <c:pt idx="2">
                  <c:v>2.653</c:v>
                </c:pt>
              </c:numCache>
            </c:numRef>
          </c:yVal>
          <c:smooth val="0"/>
        </c:ser>
        <c:ser>
          <c:idx val="4"/>
          <c:order val="4"/>
          <c:tx>
            <c:strRef>
              <c:f>Sheet1!$J$1</c:f>
              <c:strCache>
                <c:ptCount val="1"/>
                <c:pt idx="0">
                  <c:v>Tuzatilgan: keskin salbiy ssenariy</c:v>
                </c:pt>
              </c:strCache>
            </c:strRef>
          </c:tx>
          <c:spPr>
            <a:ln w="25400">
              <a:solidFill>
                <a:srgbClr val="C00000"/>
              </a:solidFill>
            </a:ln>
          </c:spPr>
          <c:marker>
            <c:symbol val="none"/>
          </c:marker>
          <c:xVal>
            <c:numRef>
              <c:f>Sheet1!$I$2:$I$5</c:f>
              <c:numCache>
                <c:formatCode>General</c:formatCode>
                <c:ptCount val="4"/>
                <c:pt idx="0">
                  <c:v>2025</c:v>
                </c:pt>
                <c:pt idx="1">
                  <c:v>2026</c:v>
                </c:pt>
                <c:pt idx="2">
                  <c:v>2027</c:v>
                </c:pt>
                <c:pt idx="3">
                  <c:v>2028</c:v>
                </c:pt>
              </c:numCache>
            </c:numRef>
          </c:xVal>
          <c:yVal>
            <c:numRef>
              <c:f>Sheet1!$J$2:$J$5</c:f>
              <c:numCache>
                <c:formatCode>General</c:formatCode>
                <c:ptCount val="4"/>
                <c:pt idx="0">
                  <c:v>2.616</c:v>
                </c:pt>
                <c:pt idx="1">
                  <c:v>2.859</c:v>
                </c:pt>
                <c:pt idx="2">
                  <c:v>4.792</c:v>
                </c:pt>
                <c:pt idx="3">
                  <c:v>4.07</c:v>
                </c:pt>
              </c:numCache>
            </c:numRef>
          </c:yVal>
          <c:smooth val="0"/>
        </c:ser>
        <c:ser>
          <c:idx val="5"/>
          <c:order val="5"/>
          <c:tx>
            <c:strRef>
              <c:f>Sheet1!$L$1</c:f>
              <c:strCache>
                <c:ptCount val="1"/>
                <c:pt idx="0">
                  <c:v>Tuzatilgan: salbiy ssenariy</c:v>
                </c:pt>
              </c:strCache>
            </c:strRef>
          </c:tx>
          <c:spPr>
            <a:ln w="25400">
              <a:solidFill>
                <a:srgbClr val="FFC000"/>
              </a:solidFill>
            </a:ln>
          </c:spPr>
          <c:marker>
            <c:symbol val="none"/>
          </c:marker>
          <c:xVal>
            <c:numRef>
              <c:f>Sheet1!$K$2:$K$5</c:f>
              <c:numCache>
                <c:formatCode>General</c:formatCode>
                <c:ptCount val="4"/>
                <c:pt idx="0">
                  <c:v>2025</c:v>
                </c:pt>
                <c:pt idx="1">
                  <c:v>2026</c:v>
                </c:pt>
                <c:pt idx="2">
                  <c:v>2027</c:v>
                </c:pt>
                <c:pt idx="3">
                  <c:v>2028</c:v>
                </c:pt>
              </c:numCache>
            </c:numRef>
          </c:xVal>
          <c:yVal>
            <c:numRef>
              <c:f>Sheet1!$L$2:$L$5</c:f>
              <c:numCache>
                <c:formatCode>General</c:formatCode>
                <c:ptCount val="4"/>
                <c:pt idx="0">
                  <c:v>2.616</c:v>
                </c:pt>
                <c:pt idx="1">
                  <c:v>2.859</c:v>
                </c:pt>
                <c:pt idx="2">
                  <c:v>3.957</c:v>
                </c:pt>
                <c:pt idx="3">
                  <c:v>4.015</c:v>
                </c:pt>
              </c:numCache>
            </c:numRef>
          </c:yVal>
          <c:smooth val="0"/>
        </c:ser>
        <c:ser>
          <c:idx val="6"/>
          <c:order val="6"/>
          <c:tx>
            <c:strRef>
              <c:f>Sheet1!$N$1</c:f>
              <c:strCache>
                <c:ptCount val="1"/>
                <c:pt idx="0">
                  <c:v>Tuzatilgan: asosiy ssenariy</c:v>
                </c:pt>
              </c:strCache>
            </c:strRef>
          </c:tx>
          <c:spPr>
            <a:ln w="25400">
              <a:solidFill>
                <a:srgbClr val="2A78D6"/>
              </a:solidFill>
            </a:ln>
          </c:spPr>
          <c:marker>
            <c:symbol val="none"/>
          </c:marker>
          <c:xVal>
            <c:numRef>
              <c:f>Sheet1!$M$2:$M$5</c:f>
              <c:numCache>
                <c:formatCode>General</c:formatCode>
                <c:ptCount val="4"/>
                <c:pt idx="0">
                  <c:v>2025</c:v>
                </c:pt>
                <c:pt idx="1">
                  <c:v>2026</c:v>
                </c:pt>
                <c:pt idx="2">
                  <c:v>2027</c:v>
                </c:pt>
                <c:pt idx="3">
                  <c:v>2028</c:v>
                </c:pt>
              </c:numCache>
            </c:numRef>
          </c:xVal>
          <c:yVal>
            <c:numRef>
              <c:f>Sheet1!$N$2:$N$5</c:f>
              <c:numCache>
                <c:formatCode>General</c:formatCode>
                <c:ptCount val="4"/>
                <c:pt idx="0">
                  <c:v>2.616</c:v>
                </c:pt>
                <c:pt idx="1">
                  <c:v>2.859</c:v>
                </c:pt>
                <c:pt idx="2">
                  <c:v>3.276</c:v>
                </c:pt>
                <c:pt idx="3">
                  <c:v>3.543</c:v>
                </c:pt>
              </c:numCache>
            </c:numRef>
          </c:yVal>
          <c:smooth val="0"/>
        </c:ser>
        <c:ser>
          <c:idx val="7"/>
          <c:order val="7"/>
          <c:tx>
            <c:strRef>
              <c:f>Sheet1!$P$1</c:f>
              <c:strCache>
                <c:ptCount val="1"/>
                <c:pt idx="0">
                  <c:v>Tuzatilgan: ijobiy ssenariy</c:v>
                </c:pt>
              </c:strCache>
            </c:strRef>
          </c:tx>
          <c:spPr>
            <a:ln w="25400">
              <a:solidFill>
                <a:srgbClr val="70AD47"/>
              </a:solidFill>
            </a:ln>
          </c:spPr>
          <c:marker>
            <c:symbol val="none"/>
          </c:marker>
          <c:xVal>
            <c:numRef>
              <c:f>Sheet1!$O$2:$O$5</c:f>
              <c:numCache>
                <c:formatCode>General</c:formatCode>
                <c:ptCount val="4"/>
                <c:pt idx="0">
                  <c:v>2025</c:v>
                </c:pt>
                <c:pt idx="1">
                  <c:v>2026</c:v>
                </c:pt>
                <c:pt idx="2">
                  <c:v>2027</c:v>
                </c:pt>
                <c:pt idx="3">
                  <c:v>2028</c:v>
                </c:pt>
              </c:numCache>
            </c:numRef>
          </c:xVal>
          <c:yVal>
            <c:numRef>
              <c:f>Sheet1!$P$2:$P$5</c:f>
              <c:numCache>
                <c:formatCode>General</c:formatCode>
                <c:ptCount val="4"/>
                <c:pt idx="0">
                  <c:v>2.616</c:v>
                </c:pt>
                <c:pt idx="1">
                  <c:v>2.859</c:v>
                </c:pt>
                <c:pt idx="2">
                  <c:v>2.96</c:v>
                </c:pt>
                <c:pt idx="3">
                  <c:v>3.181</c:v>
                </c:pt>
              </c:numCache>
            </c:numRef>
          </c:yVal>
          <c:smooth val="0"/>
        </c:ser>
        <c:axId val="333"/>
        <c:axId val="444"/>
      </c:scatterChart>
      <c:valAx>
        <c:axId val="333"/>
        <c:scaling>
          <c:orientation val="minMax"/>
          <c:max val="2028"/>
          <c:min val="2018"/>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aktivlar, trln so‘m</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
      </c:valAx>
      <c:spPr>
        <a:noFill/>
        <a:ln>
          <a:noFill/>
        </a:ln>
      </c:spPr>
    </c:plotArea>
    <c:legend>
      <c:legendPos val="b"/>
      <c:legendEntry>
        <c:idx val="3"/>
        <c:delete val="1"/>
      </c:legendEntry>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