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sz w:val="28"/>
        </w:rPr>
        <w:t>Tasniflash mezonlari – qiyosiy jadval (namuna)</w:t>
      </w:r>
    </w:p>
    <w:p>
      <w:pPr>
        <w:jc w:val="both"/>
      </w:pPr>
      <w:r>
        <w:rPr>
          <w:b w:val="0"/>
          <w:i/>
          <w:color w:val="595959"/>
          <w:sz w:val="24"/>
        </w:rPr>
        <w:t>Joyi: 2.3.4-rasm tahlilidagi “Bank bu farqni shunday izohlaydi …” jumlasidan keyin. Jadval raqami kiritishda aniqlanadi (2.3.3 yoki 2.3.4), keyingi jadvallar qayta raqamlanadi.</w:t>
      </w:r>
    </w:p>
    <w:p>
      <w:pPr>
        <w:ind w:firstLine="709"/>
        <w:jc w:val="both"/>
      </w:pPr>
      <w:r>
        <w:rPr>
          <w:b w:val="0"/>
          <w:i w:val="0"/>
          <w:color w:val="FF0000"/>
          <w:sz w:val="28"/>
        </w:rPr>
        <w:t>Ikki tasnif o‘rtasidagi tafovutning sabablarini aniqlash uchun bankning MHXS hisobotida oshkor qilingan bosqichlarni belgilash mezonlari Markaziy bank tasnifi bilan solishtirildi (2.3.x-jadval).</w:t>
      </w:r>
    </w:p>
    <w:p>
      <w:pPr>
        <w:jc w:val="right"/>
      </w:pPr>
      <w:r>
        <w:rPr>
          <w:b w:val="0"/>
          <w:i/>
          <w:color w:val="FF0000"/>
          <w:sz w:val="28"/>
        </w:rPr>
        <w:t>2.3.x-jadval</w:t>
      </w:r>
    </w:p>
    <w:p>
      <w:pPr>
        <w:spacing w:line="240" w:lineRule="auto"/>
        <w:jc w:val="center"/>
      </w:pPr>
      <w:r>
        <w:rPr>
          <w:b/>
          <w:i w:val="0"/>
          <w:color w:val="FF0000"/>
          <w:sz w:val="28"/>
        </w:rPr>
        <w:t>Kreditlarni milliy tasnif va MHXS 9 bosqichlari bo‘yicha tasniflash mezonlarining qiyosiy tavsifi (“O‘zsanoatqurilishbank” ATB misolida) [1]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211"/>
        <w:gridCol w:w="3175"/>
        <w:gridCol w:w="3969"/>
      </w:tblGrid>
      <w:tr>
        <w:tc>
          <w:tcPr>
            <w:tcW w:type="dxa" w:w="2211"/>
            <w:vAlign w:val="center"/>
            <w:shd w:val="clear" w:fill="DEEBF7"/>
          </w:tcPr>
          <w:p>
            <w:pPr>
              <w:spacing w:line="240" w:lineRule="auto"/>
              <w:jc w:val="center"/>
            </w:pPr>
            <w:r>
              <w:rPr>
                <w:b/>
                <w:color w:val="FF0000"/>
                <w:sz w:val="22"/>
              </w:rPr>
              <w:t>Mezon</w:t>
            </w:r>
          </w:p>
        </w:tc>
        <w:tc>
          <w:tcPr>
            <w:tcW w:type="dxa" w:w="3175"/>
            <w:vAlign w:val="center"/>
            <w:shd w:val="clear" w:fill="DEEBF7"/>
          </w:tcPr>
          <w:p>
            <w:pPr>
              <w:spacing w:line="240" w:lineRule="auto"/>
              <w:jc w:val="center"/>
            </w:pPr>
            <w:r>
              <w:rPr>
                <w:b/>
                <w:color w:val="FF0000"/>
                <w:sz w:val="22"/>
              </w:rPr>
              <w:t>Milliy tasnif (Markaziy bank)</w:t>
            </w:r>
          </w:p>
        </w:tc>
        <w:tc>
          <w:tcPr>
            <w:tcW w:type="dxa" w:w="3969"/>
            <w:vAlign w:val="center"/>
            <w:shd w:val="clear" w:fill="DEEBF7"/>
          </w:tcPr>
          <w:p>
            <w:pPr>
              <w:spacing w:line="240" w:lineRule="auto"/>
              <w:jc w:val="center"/>
            </w:pPr>
            <w:r>
              <w:rPr>
                <w:b/>
                <w:color w:val="FF0000"/>
                <w:sz w:val="22"/>
              </w:rPr>
              <w:t>MHXS 9 bosqichlari (bank siyosati)</w:t>
            </w:r>
          </w:p>
        </w:tc>
      </w:tr>
      <w:tr>
        <w:tc>
          <w:tcPr>
            <w:tcW w:type="dxa" w:w="2211"/>
            <w:vAlign w:val="center"/>
          </w:tcPr>
          <w:p>
            <w:pPr>
              <w:spacing w:line="240" w:lineRule="auto"/>
              <w:jc w:val="left"/>
            </w:pPr>
            <w:r>
              <w:rPr>
                <w:b/>
                <w:color w:val="FF0000"/>
                <w:sz w:val="22"/>
              </w:rPr>
              <w:t>Tuzilishi</w:t>
            </w:r>
          </w:p>
        </w:tc>
        <w:tc>
          <w:tcPr>
            <w:tcW w:type="dxa" w:w="3175"/>
            <w:vAlign w:val="center"/>
          </w:tcPr>
          <w:p>
            <w:pPr>
              <w:spacing w:line="240" w:lineRule="auto"/>
              <w:jc w:val="left"/>
            </w:pPr>
            <w:r>
              <w:rPr>
                <w:b w:val="0"/>
                <w:color w:val="FF0000"/>
                <w:sz w:val="22"/>
              </w:rPr>
              <w:t>Besh toifa: standart, substandart, qoniqarsiz, shubhali, umidsiz</w:t>
            </w:r>
          </w:p>
        </w:tc>
        <w:tc>
          <w:tcPr>
            <w:tcW w:type="dxa" w:w="3969"/>
            <w:vAlign w:val="center"/>
          </w:tcPr>
          <w:p>
            <w:pPr>
              <w:spacing w:line="240" w:lineRule="auto"/>
              <w:jc w:val="left"/>
            </w:pPr>
            <w:r>
              <w:rPr>
                <w:b w:val="0"/>
                <w:color w:val="FF0000"/>
                <w:sz w:val="22"/>
              </w:rPr>
              <w:t>Uch bosqich; bankda besh ichki guruh: 1–2-guruh – 1-bosqich, 3–4-guruh – 2-bosqich, 5-guruh – 3-bosqich</w:t>
            </w:r>
          </w:p>
        </w:tc>
      </w:tr>
      <w:tr>
        <w:tc>
          <w:tcPr>
            <w:tcW w:type="dxa" w:w="2211"/>
            <w:vAlign w:val="center"/>
          </w:tcPr>
          <w:p>
            <w:pPr>
              <w:spacing w:line="240" w:lineRule="auto"/>
              <w:jc w:val="left"/>
            </w:pPr>
            <w:r>
              <w:rPr>
                <w:b/>
                <w:color w:val="FF0000"/>
                <w:sz w:val="22"/>
              </w:rPr>
              <w:t>Asosiy yondashuv</w:t>
            </w:r>
          </w:p>
        </w:tc>
        <w:tc>
          <w:tcPr>
            <w:tcW w:type="dxa" w:w="3175"/>
            <w:vAlign w:val="center"/>
          </w:tcPr>
          <w:p>
            <w:pPr>
              <w:spacing w:line="240" w:lineRule="auto"/>
              <w:jc w:val="left"/>
            </w:pPr>
            <w:r>
              <w:rPr>
                <w:b w:val="0"/>
                <w:color w:val="FF0000"/>
                <w:sz w:val="22"/>
              </w:rPr>
              <w:t>Kreditning joriy holati; hal qiluvchi belgi – to‘lov intizomi va muddati o‘tgan kunlar soni</w:t>
            </w:r>
          </w:p>
        </w:tc>
        <w:tc>
          <w:tcPr>
            <w:tcW w:type="dxa" w:w="3969"/>
            <w:vAlign w:val="center"/>
          </w:tcPr>
          <w:p>
            <w:pPr>
              <w:spacing w:line="240" w:lineRule="auto"/>
              <w:jc w:val="left"/>
            </w:pPr>
            <w:r>
              <w:rPr>
                <w:b w:val="0"/>
                <w:color w:val="FF0000"/>
                <w:sz w:val="22"/>
              </w:rPr>
              <w:t>Kredit riskining dastlabki tan olingan sanaga nisbatan o‘zgarishi; kelajakka yo‘naltirilgan ma’lumotlar ham hisobga olinadi</w:t>
            </w:r>
          </w:p>
        </w:tc>
      </w:tr>
      <w:tr>
        <w:tc>
          <w:tcPr>
            <w:tcW w:type="dxa" w:w="2211"/>
            <w:vAlign w:val="center"/>
          </w:tcPr>
          <w:p>
            <w:pPr>
              <w:spacing w:line="240" w:lineRule="auto"/>
              <w:jc w:val="left"/>
            </w:pPr>
            <w:r>
              <w:rPr>
                <w:b/>
                <w:color w:val="FF0000"/>
                <w:sz w:val="22"/>
              </w:rPr>
              <w:t>Muddati o‘tgan qarzdorlik</w:t>
            </w:r>
          </w:p>
        </w:tc>
        <w:tc>
          <w:tcPr>
            <w:tcW w:type="dxa" w:w="3175"/>
            <w:vAlign w:val="center"/>
          </w:tcPr>
          <w:p>
            <w:pPr>
              <w:spacing w:line="240" w:lineRule="auto"/>
              <w:jc w:val="left"/>
            </w:pPr>
            <w:r>
              <w:rPr>
                <w:b w:val="0"/>
                <w:color w:val="FF0000"/>
                <w:sz w:val="22"/>
              </w:rPr>
              <w:t>Toifa asosan muddati o‘tgan kunlar soni bo‘yicha belgilanadi</w:t>
            </w:r>
          </w:p>
        </w:tc>
        <w:tc>
          <w:tcPr>
            <w:tcW w:type="dxa" w:w="3969"/>
            <w:vAlign w:val="center"/>
          </w:tcPr>
          <w:p>
            <w:pPr>
              <w:spacing w:line="240" w:lineRule="auto"/>
              <w:jc w:val="left"/>
            </w:pPr>
            <w:r>
              <w:rPr>
                <w:b w:val="0"/>
                <w:color w:val="FF0000"/>
                <w:sz w:val="22"/>
              </w:rPr>
              <w:t>16–30 kun – 1-bosqich (2-guruh); 31–90 kun – 2-bosqich; 90 kundan ortiq – 3-bosqich</w:t>
            </w:r>
          </w:p>
        </w:tc>
      </w:tr>
      <w:tr>
        <w:tc>
          <w:tcPr>
            <w:tcW w:type="dxa" w:w="2211"/>
            <w:vAlign w:val="center"/>
          </w:tcPr>
          <w:p>
            <w:pPr>
              <w:spacing w:line="240" w:lineRule="auto"/>
              <w:jc w:val="left"/>
            </w:pPr>
            <w:r>
              <w:rPr>
                <w:b/>
                <w:color w:val="FF0000"/>
                <w:sz w:val="22"/>
              </w:rPr>
              <w:t>Milliy toifa bilan bog‘liqlik</w:t>
            </w:r>
          </w:p>
        </w:tc>
        <w:tc>
          <w:tcPr>
            <w:tcW w:type="dxa" w:w="3175"/>
            <w:vAlign w:val="center"/>
          </w:tcPr>
          <w:p>
            <w:pPr>
              <w:spacing w:line="240" w:lineRule="auto"/>
              <w:jc w:val="left"/>
            </w:pPr>
            <w:r>
              <w:rPr>
                <w:b w:val="0"/>
                <w:color w:val="FF0000"/>
                <w:sz w:val="22"/>
              </w:rPr>
              <w:t>–</w:t>
            </w:r>
          </w:p>
        </w:tc>
        <w:tc>
          <w:tcPr>
            <w:tcW w:type="dxa" w:w="3969"/>
            <w:vAlign w:val="center"/>
          </w:tcPr>
          <w:p>
            <w:pPr>
              <w:spacing w:line="240" w:lineRule="auto"/>
              <w:jc w:val="left"/>
            </w:pPr>
            <w:r>
              <w:rPr>
                <w:b w:val="0"/>
                <w:color w:val="FF0000"/>
                <w:sz w:val="22"/>
              </w:rPr>
              <w:t>“Substandart” – kamida 2-bosqich; “qoniqarsiz”, “shubhali”, “umidsiz” – 3-bosqich</w:t>
            </w:r>
          </w:p>
        </w:tc>
      </w:tr>
      <w:tr>
        <w:tc>
          <w:tcPr>
            <w:tcW w:type="dxa" w:w="2211"/>
            <w:vAlign w:val="center"/>
          </w:tcPr>
          <w:p>
            <w:pPr>
              <w:spacing w:line="240" w:lineRule="auto"/>
              <w:jc w:val="left"/>
            </w:pPr>
            <w:r>
              <w:rPr>
                <w:b/>
                <w:color w:val="FF0000"/>
                <w:sz w:val="22"/>
              </w:rPr>
              <w:t>Qarz oluvchining moliyaviy holati</w:t>
            </w:r>
          </w:p>
        </w:tc>
        <w:tc>
          <w:tcPr>
            <w:tcW w:type="dxa" w:w="3175"/>
            <w:vAlign w:val="center"/>
          </w:tcPr>
          <w:p>
            <w:pPr>
              <w:spacing w:line="240" w:lineRule="auto"/>
              <w:jc w:val="left"/>
            </w:pPr>
            <w:r>
              <w:rPr>
                <w:b w:val="0"/>
                <w:color w:val="FF0000"/>
                <w:sz w:val="22"/>
              </w:rPr>
              <w:t>Toifa ta’riflarida umumiy baho: barqaror holat, noqulay tendensiyalar, aniq kamchiliklar</w:t>
            </w:r>
          </w:p>
        </w:tc>
        <w:tc>
          <w:tcPr>
            <w:tcW w:type="dxa" w:w="3969"/>
            <w:vAlign w:val="center"/>
          </w:tcPr>
          <w:p>
            <w:pPr>
              <w:spacing w:line="240" w:lineRule="auto"/>
              <w:jc w:val="left"/>
            </w:pPr>
            <w:r>
              <w:rPr>
                <w:b w:val="0"/>
                <w:color w:val="FF0000"/>
                <w:sz w:val="22"/>
              </w:rPr>
              <w:t>Tushum 60 foizdan yoki marja 40 foizdan ko‘p kamaysa – 3-bosqich; auditorlik xulosasida faoliyat uzluksizligiga shubha bo‘lsa – 2-bosqich</w:t>
            </w:r>
          </w:p>
        </w:tc>
      </w:tr>
      <w:tr>
        <w:tc>
          <w:tcPr>
            <w:tcW w:type="dxa" w:w="2211"/>
            <w:vAlign w:val="center"/>
          </w:tcPr>
          <w:p>
            <w:pPr>
              <w:spacing w:line="240" w:lineRule="auto"/>
              <w:jc w:val="left"/>
            </w:pPr>
            <w:r>
              <w:rPr>
                <w:b/>
                <w:color w:val="FF0000"/>
                <w:sz w:val="22"/>
              </w:rPr>
              <w:t>Garov</w:t>
            </w:r>
          </w:p>
        </w:tc>
        <w:tc>
          <w:tcPr>
            <w:tcW w:type="dxa" w:w="3175"/>
            <w:vAlign w:val="center"/>
          </w:tcPr>
          <w:p>
            <w:pPr>
              <w:spacing w:line="240" w:lineRule="auto"/>
              <w:jc w:val="left"/>
            </w:pPr>
            <w:r>
              <w:rPr>
                <w:b w:val="0"/>
                <w:color w:val="FF0000"/>
                <w:sz w:val="22"/>
              </w:rPr>
              <w:t>“Substandart” – ishonchli ikkilamchi manba (garov, kafillik) bilan ta’minlangan; “qoniqarsiz” – qaytarish uchun garovni sotish zarur</w:t>
            </w:r>
          </w:p>
        </w:tc>
        <w:tc>
          <w:tcPr>
            <w:tcW w:type="dxa" w:w="3969"/>
            <w:vAlign w:val="center"/>
          </w:tcPr>
          <w:p>
            <w:pPr>
              <w:spacing w:line="240" w:lineRule="auto"/>
              <w:jc w:val="left"/>
            </w:pPr>
            <w:r>
              <w:rPr>
                <w:b w:val="0"/>
                <w:color w:val="FF0000"/>
                <w:sz w:val="22"/>
              </w:rPr>
              <w:t>Yirik kredit bo‘yicha garov qiymati 50 foizdan ko‘p tushsa – 2-bosqich</w:t>
            </w:r>
          </w:p>
        </w:tc>
      </w:tr>
      <w:tr>
        <w:tc>
          <w:tcPr>
            <w:tcW w:type="dxa" w:w="2211"/>
            <w:vAlign w:val="center"/>
          </w:tcPr>
          <w:p>
            <w:pPr>
              <w:spacing w:line="240" w:lineRule="auto"/>
              <w:jc w:val="left"/>
            </w:pPr>
            <w:r>
              <w:rPr>
                <w:b/>
                <w:color w:val="FF0000"/>
                <w:sz w:val="22"/>
              </w:rPr>
              <w:t>Restrukturizatsiya</w:t>
            </w:r>
          </w:p>
        </w:tc>
        <w:tc>
          <w:tcPr>
            <w:tcW w:type="dxa" w:w="3175"/>
            <w:vAlign w:val="center"/>
          </w:tcPr>
          <w:p>
            <w:pPr>
              <w:spacing w:line="240" w:lineRule="auto"/>
              <w:jc w:val="left"/>
            </w:pPr>
            <w:r>
              <w:rPr>
                <w:b w:val="0"/>
                <w:color w:val="FF0000"/>
                <w:sz w:val="22"/>
              </w:rPr>
              <w:t>6 oygacha imtiyozli davr tasnifga ta’sir qilmaydi; yashovchanlik bahosi o‘tkazilmaydi</w:t>
            </w:r>
          </w:p>
        </w:tc>
        <w:tc>
          <w:tcPr>
            <w:tcW w:type="dxa" w:w="3969"/>
            <w:vAlign w:val="center"/>
          </w:tcPr>
          <w:p>
            <w:pPr>
              <w:spacing w:line="240" w:lineRule="auto"/>
              <w:jc w:val="left"/>
            </w:pPr>
            <w:r>
              <w:rPr>
                <w:b w:val="0"/>
                <w:color w:val="FF0000"/>
                <w:sz w:val="22"/>
              </w:rPr>
              <w:t>Bir martadan ortiq, oxirgisi so‘nggi 6 oyda bo‘lsa – 2-bosqich; yangi shartlardagi pul oqimlarining joriy qiymati 10 foizdan ko‘p o‘zgarsa – 3-bosqich</w:t>
            </w:r>
          </w:p>
        </w:tc>
      </w:tr>
      <w:tr>
        <w:tc>
          <w:tcPr>
            <w:tcW w:type="dxa" w:w="2211"/>
            <w:vAlign w:val="center"/>
          </w:tcPr>
          <w:p>
            <w:pPr>
              <w:spacing w:line="240" w:lineRule="auto"/>
              <w:jc w:val="left"/>
            </w:pPr>
            <w:r>
              <w:rPr>
                <w:b/>
                <w:color w:val="FF0000"/>
                <w:sz w:val="22"/>
              </w:rPr>
              <w:t>Tashqi kredit reytingi</w:t>
            </w:r>
          </w:p>
        </w:tc>
        <w:tc>
          <w:tcPr>
            <w:tcW w:type="dxa" w:w="3175"/>
            <w:vAlign w:val="center"/>
          </w:tcPr>
          <w:p>
            <w:pPr>
              <w:spacing w:line="240" w:lineRule="auto"/>
              <w:jc w:val="left"/>
            </w:pPr>
            <w:r>
              <w:rPr>
                <w:b w:val="0"/>
                <w:color w:val="FF0000"/>
                <w:sz w:val="22"/>
              </w:rPr>
              <w:t>Toifa ta’riflarida hisobga olinmaydi</w:t>
            </w:r>
          </w:p>
        </w:tc>
        <w:tc>
          <w:tcPr>
            <w:tcW w:type="dxa" w:w="3969"/>
            <w:vAlign w:val="center"/>
          </w:tcPr>
          <w:p>
            <w:pPr>
              <w:spacing w:line="240" w:lineRule="auto"/>
              <w:jc w:val="left"/>
            </w:pPr>
            <w:r>
              <w:rPr>
                <w:b w:val="0"/>
                <w:color w:val="FF0000"/>
                <w:sz w:val="22"/>
              </w:rPr>
              <w:t>2 va undan ortiq pog‘ona pasaysa – 2-bosqich; “CC” va undan past bo‘lsa – 3-bosqich</w:t>
            </w:r>
          </w:p>
        </w:tc>
      </w:tr>
      <w:tr>
        <w:tc>
          <w:tcPr>
            <w:tcW w:type="dxa" w:w="2211"/>
            <w:vAlign w:val="center"/>
          </w:tcPr>
          <w:p>
            <w:pPr>
              <w:spacing w:line="240" w:lineRule="auto"/>
              <w:jc w:val="left"/>
            </w:pPr>
            <w:r>
              <w:rPr>
                <w:b/>
                <w:color w:val="FF0000"/>
                <w:sz w:val="22"/>
              </w:rPr>
              <w:t>Boshqa banklardagi qarzdorlik va kross-defolt</w:t>
            </w:r>
          </w:p>
        </w:tc>
        <w:tc>
          <w:tcPr>
            <w:tcW w:type="dxa" w:w="3175"/>
            <w:vAlign w:val="center"/>
          </w:tcPr>
          <w:p>
            <w:pPr>
              <w:spacing w:line="240" w:lineRule="auto"/>
              <w:jc w:val="left"/>
            </w:pPr>
            <w:r>
              <w:rPr>
                <w:b w:val="0"/>
                <w:color w:val="FF0000"/>
                <w:sz w:val="22"/>
              </w:rPr>
              <w:t>Toifa ta’riflarida alohida ko‘rsatilmagan</w:t>
            </w:r>
          </w:p>
        </w:tc>
        <w:tc>
          <w:tcPr>
            <w:tcW w:type="dxa" w:w="3969"/>
            <w:vAlign w:val="center"/>
          </w:tcPr>
          <w:p>
            <w:pPr>
              <w:spacing w:line="240" w:lineRule="auto"/>
              <w:jc w:val="left"/>
            </w:pPr>
            <w:r>
              <w:rPr>
                <w:b w:val="0"/>
                <w:color w:val="FF0000"/>
                <w:sz w:val="22"/>
              </w:rPr>
              <w:t>Boshqa banklarda 31–90 kunlik muddati o‘tgan qarz – 2-bosqich; 90 kundan ortiq yoki boshqa majburiyat bo‘yicha defolt – 3-bosqich</w:t>
            </w:r>
          </w:p>
        </w:tc>
      </w:tr>
      <w:tr>
        <w:tc>
          <w:tcPr>
            <w:tcW w:type="dxa" w:w="2211"/>
            <w:vAlign w:val="center"/>
          </w:tcPr>
          <w:p>
            <w:pPr>
              <w:spacing w:line="240" w:lineRule="auto"/>
              <w:jc w:val="left"/>
            </w:pPr>
            <w:r>
              <w:rPr>
                <w:b/>
                <w:color w:val="FF0000"/>
                <w:sz w:val="22"/>
              </w:rPr>
              <w:t>Huquqiy holat</w:t>
            </w:r>
          </w:p>
        </w:tc>
        <w:tc>
          <w:tcPr>
            <w:tcW w:type="dxa" w:w="3175"/>
            <w:vAlign w:val="center"/>
          </w:tcPr>
          <w:p>
            <w:pPr>
              <w:spacing w:line="240" w:lineRule="auto"/>
              <w:jc w:val="left"/>
            </w:pPr>
            <w:r>
              <w:rPr>
                <w:b w:val="0"/>
                <w:color w:val="FF0000"/>
                <w:sz w:val="22"/>
              </w:rPr>
              <w:t>Toifa ta’riflarida alohida ko‘rsatilmagan</w:t>
            </w:r>
          </w:p>
        </w:tc>
        <w:tc>
          <w:tcPr>
            <w:tcW w:type="dxa" w:w="3969"/>
            <w:vAlign w:val="center"/>
          </w:tcPr>
          <w:p>
            <w:pPr>
              <w:spacing w:line="240" w:lineRule="auto"/>
              <w:jc w:val="left"/>
            </w:pPr>
            <w:r>
              <w:rPr>
                <w:b w:val="0"/>
                <w:color w:val="FF0000"/>
                <w:sz w:val="22"/>
              </w:rPr>
              <w:t>Moliyaviy holatni yomonlashtiruvchi sud jarayoni – 2-bosqich; bankrotlik, litsenziyaning bekor qilinishi, 12 oy davomida aloqa yo‘qligi – 3-bosqich</w:t>
            </w:r>
          </w:p>
        </w:tc>
      </w:tr>
      <w:tr>
        <w:tc>
          <w:tcPr>
            <w:tcW w:type="dxa" w:w="2211"/>
            <w:vAlign w:val="center"/>
          </w:tcPr>
          <w:p>
            <w:pPr>
              <w:spacing w:line="240" w:lineRule="auto"/>
              <w:jc w:val="left"/>
            </w:pPr>
            <w:r>
              <w:rPr>
                <w:b/>
                <w:color w:val="FF0000"/>
                <w:sz w:val="22"/>
              </w:rPr>
              <w:t>Yaxshilanish (qayta tasniflash)</w:t>
            </w:r>
          </w:p>
        </w:tc>
        <w:tc>
          <w:tcPr>
            <w:tcW w:type="dxa" w:w="3175"/>
            <w:vAlign w:val="center"/>
          </w:tcPr>
          <w:p>
            <w:pPr>
              <w:spacing w:line="240" w:lineRule="auto"/>
              <w:jc w:val="left"/>
            </w:pPr>
            <w:r>
              <w:rPr>
                <w:b w:val="0"/>
                <w:color w:val="FF0000"/>
                <w:sz w:val="22"/>
              </w:rPr>
              <w:t>Sinov muddati yo‘q: to‘lov tiklansa, kredit yuqori toifaga qaytariladi</w:t>
            </w:r>
          </w:p>
        </w:tc>
        <w:tc>
          <w:tcPr>
            <w:tcW w:type="dxa" w:w="3969"/>
            <w:vAlign w:val="center"/>
          </w:tcPr>
          <w:p>
            <w:pPr>
              <w:spacing w:line="240" w:lineRule="auto"/>
              <w:jc w:val="left"/>
            </w:pPr>
            <w:r>
              <w:rPr>
                <w:b w:val="0"/>
                <w:color w:val="FF0000"/>
                <w:sz w:val="22"/>
              </w:rPr>
              <w:t>2-bosqichdan 1-bosqichga – bir chorak davomida yomonlashuv belgilari bo‘lmasa; restrukturizatsiya qilingan kreditlar 3-bosqichdan – 6 oylik barqaror to‘lovdan keyin</w:t>
            </w:r>
          </w:p>
        </w:tc>
      </w:tr>
      <w:tr>
        <w:tc>
          <w:tcPr>
            <w:tcW w:type="dxa" w:w="2211"/>
            <w:vAlign w:val="center"/>
          </w:tcPr>
          <w:p>
            <w:pPr>
              <w:spacing w:line="240" w:lineRule="auto"/>
              <w:jc w:val="left"/>
            </w:pPr>
            <w:r>
              <w:rPr>
                <w:b/>
                <w:color w:val="FF0000"/>
                <w:sz w:val="22"/>
              </w:rPr>
              <w:t>Zaxira</w:t>
            </w:r>
          </w:p>
        </w:tc>
        <w:tc>
          <w:tcPr>
            <w:tcW w:type="dxa" w:w="3175"/>
            <w:vAlign w:val="center"/>
          </w:tcPr>
          <w:p>
            <w:pPr>
              <w:spacing w:line="240" w:lineRule="auto"/>
              <w:jc w:val="left"/>
            </w:pPr>
            <w:r>
              <w:rPr>
                <w:b w:val="0"/>
                <w:color w:val="FF0000"/>
                <w:sz w:val="22"/>
              </w:rPr>
              <w:t>Toifa bo‘yicha qat’iy stavkalar: 1, 10, 25, 50, 100 foiz</w:t>
            </w:r>
          </w:p>
        </w:tc>
        <w:tc>
          <w:tcPr>
            <w:tcW w:type="dxa" w:w="3969"/>
            <w:vAlign w:val="center"/>
          </w:tcPr>
          <w:p>
            <w:pPr>
              <w:spacing w:line="240" w:lineRule="auto"/>
              <w:jc w:val="left"/>
            </w:pPr>
            <w:r>
              <w:rPr>
                <w:b w:val="0"/>
                <w:color w:val="FF0000"/>
                <w:sz w:val="22"/>
              </w:rPr>
              <w:t>1-bosqich – 12 oylik kutilgan kredit zararlari; 2 va 3-bosqich – butun muddat uchun kutilgan kredit zararlari</w:t>
            </w:r>
          </w:p>
        </w:tc>
      </w:tr>
    </w:tbl>
    <w:p>
      <w:pPr>
        <w:jc w:val="both"/>
      </w:pPr>
      <w:r>
        <w:rPr>
          <w:b w:val="0"/>
          <w:i w:val="0"/>
          <w:color w:val="FF0000"/>
          <w:sz w:val="28"/>
        </w:rPr>
      </w:r>
    </w:p>
    <w:p>
      <w:pPr>
        <w:ind w:firstLine="709"/>
        <w:jc w:val="both"/>
      </w:pPr>
      <w:r>
        <w:rPr>
          <w:b w:val="0"/>
          <w:i w:val="0"/>
          <w:color w:val="FF0000"/>
          <w:sz w:val="28"/>
        </w:rPr>
        <w:t>Jadvaldan ko‘rinadiki, bank MHXS 9 bo‘yicha bosqichlarni belgilashda milliy toifalarni quyi chegara sifatida qo‘llaydi: “substandart” kredit kamida 2-bosqichga, muammoli toifadagi kredit esa 3-bosqichga kiritiladi. Biroq MHXS 9 bunga qo‘shimcha ravishda restrukturizatsiya, boshqa banklardagi qarzdorlik, tashqi reyting, garov qiymati, moliyaviy ko‘rsatkichlar va huquqiy holat kabi belgilarni ham hisobga oladi, yaxshilanish uchun esa sinov muddatini talab qiladi. Shu sababli 3-bosqich har doim milliy tasnif bo‘yicha muammoli kreditlardan katta bo‘ladi. 2025-yilda bank hukumat ko‘rsatmalari asosida 14 129,2 mlrd so‘mlik kreditlarni restrukturizatsiya qilgani va bundan 184,7 mlrd so‘m zarar tan olgani 2-bosqich kreditlarining keskin ko‘payishini izohlaydi. Milliy tasnifda esa 6 oygacha imtiyozli davrli restrukturizatsiya tasnifga ta’sir qilmagani sababli bu kreditlar “standart” yoki “substandart” toifasida qolgan.</w:t>
      </w:r>
    </w:p>
    <w:p>
      <w:pPr>
        <w:spacing w:line="240" w:lineRule="auto"/>
        <w:jc w:val="both"/>
      </w:pPr>
      <w:r>
        <w:rPr>
          <w:b w:val="0"/>
          <w:i w:val="0"/>
          <w:color w:val="FF0000"/>
          <w:sz w:val="22"/>
        </w:rPr>
        <w:t>[1] Tadqiqot natijasida muallif tomonidan quyidagi manbalar asosida ishlab chiqildi: Tijorat banklarida aktivlar sifatini tasniflash va aktivlar bo‘yicha ehtimoliy yo‘qotishlarni qoplash uchun zaxiralarni shakllantirish hamda ulardan foydalanish tartibi to‘g‘risidagi nizom (O‘zbekiston Respublikasi Markaziy banki Boshqaruvining qarori, ro‘yxat raqami 2696, 14.07.2015) // https://lex.uz; Joint Stock Commercial Bank “Uzbek Industrial and Construction Bank” and its subsidiaries. Consolidated Financial Statements for the year ended 31 December 2025 and Independent Auditor’s Report. – Tashkent, 2026; International Monetary Fund. Republic of Uzbekistan: Financial Sector Assessment Program – Financial System Stability Assessment. IMF Country Report No. 25/145. – Washington, DC: IMF, 2025. – P. 30.</w:t>
      </w:r>
    </w:p>
    <w:p>
      <w:pPr>
        <w:jc w:val="both"/>
      </w:pPr>
      <w:r>
        <w:rPr>
          <w:b w:val="0"/>
          <w:i w:val="0"/>
          <w:color w:val="FF0000"/>
          <w:sz w:val="28"/>
        </w:rPr>
      </w:r>
    </w:p>
    <w:p>
      <w:pPr>
        <w:ind w:firstLine="709"/>
        <w:jc w:val="both"/>
      </w:pPr>
      <w:r>
        <w:rPr>
          <w:b w:val="0"/>
          <w:i w:val="0"/>
          <w:color w:val="FF0000"/>
          <w:sz w:val="28"/>
        </w:rPr>
        <w:t>Tafovutning miqdoriy ko‘lamini 2025-yil yakunidagi ma’lumotlar ko‘rsatadi (2.3.y-jadval). Milliy tasnif bo‘yicha muammoli kreditlar 2 272,9 mlrd so‘mni, ya’ni jami kreditlarning 3,2 foizini tashkil etgan bo‘lsa, MHXS 9 bo‘yicha 3-bosqich kreditlari 5 310,2 mlrd so‘m yoki 7,5 foizni tashkil etgan, ya’ni 2,3 barobar ko‘p. Bundan tashqari, milliy tasnifda “standart” deb ko‘rsatilgan 54 080,8 mlrd so‘mlik kreditlarning 24,0 foizi MHXS 9 bo‘yicha 2-bosqichda, 1,4 foizi esa 3-bosqichda bo‘lgan. Kutilgan kredit zararlari bo‘yicha zaxira 4 250,9 mlrd so‘mni tashkil etib, uning 47,1 foizi 3-bosqich, 40,3 foizi 2-bosqich kreditlariga to‘g‘ri kelgan.</w:t>
      </w:r>
    </w:p>
    <w:p>
      <w:pPr>
        <w:jc w:val="right"/>
      </w:pPr>
      <w:r>
        <w:rPr>
          <w:b w:val="0"/>
          <w:i/>
          <w:color w:val="FF0000"/>
          <w:sz w:val="28"/>
        </w:rPr>
        <w:t>2.3.y-jadval</w:t>
      </w:r>
    </w:p>
    <w:p>
      <w:pPr>
        <w:spacing w:line="240" w:lineRule="auto"/>
        <w:jc w:val="center"/>
      </w:pPr>
      <w:r>
        <w:rPr>
          <w:b/>
          <w:i w:val="0"/>
          <w:color w:val="FF0000"/>
          <w:sz w:val="28"/>
        </w:rPr>
        <w:t>“O‘zsanoatqurilishbank” ATB kreditlarining milliy tasnif toifalari va MHXS 9 bosqichlari bo‘yicha taqsimoti, 2025-yil 31-dekabr holatiga, mlrd so‘m [2]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608"/>
        <w:gridCol w:w="1361"/>
        <w:gridCol w:w="1361"/>
        <w:gridCol w:w="1361"/>
        <w:gridCol w:w="1417"/>
        <w:gridCol w:w="1247"/>
      </w:tblGrid>
      <w:tr>
        <w:tc>
          <w:tcPr>
            <w:tcW w:type="dxa" w:w="2608"/>
            <w:shd w:val="clear" w:fill="DEEBF7"/>
          </w:tcPr>
          <w:p>
            <w:pPr>
              <w:spacing w:line="240" w:lineRule="auto"/>
              <w:jc w:val="center"/>
            </w:pPr>
            <w:r>
              <w:rPr>
                <w:b/>
                <w:color w:val="FF0000"/>
                <w:sz w:val="22"/>
              </w:rPr>
              <w:t>Milliy tasnif toifasi</w:t>
            </w:r>
          </w:p>
        </w:tc>
        <w:tc>
          <w:tcPr>
            <w:tcW w:type="dxa" w:w="1361"/>
            <w:shd w:val="clear" w:fill="DEEBF7"/>
          </w:tcPr>
          <w:p>
            <w:pPr>
              <w:spacing w:line="240" w:lineRule="auto"/>
              <w:jc w:val="center"/>
            </w:pPr>
            <w:r>
              <w:rPr>
                <w:b/>
                <w:color w:val="FF0000"/>
                <w:sz w:val="22"/>
              </w:rPr>
              <w:t>1-bosqich</w:t>
            </w:r>
          </w:p>
        </w:tc>
        <w:tc>
          <w:tcPr>
            <w:tcW w:type="dxa" w:w="1361"/>
            <w:shd w:val="clear" w:fill="DEEBF7"/>
          </w:tcPr>
          <w:p>
            <w:pPr>
              <w:spacing w:line="240" w:lineRule="auto"/>
              <w:jc w:val="center"/>
            </w:pPr>
            <w:r>
              <w:rPr>
                <w:b/>
                <w:color w:val="FF0000"/>
                <w:sz w:val="22"/>
              </w:rPr>
              <w:t>2-bosqich</w:t>
            </w:r>
          </w:p>
        </w:tc>
        <w:tc>
          <w:tcPr>
            <w:tcW w:type="dxa" w:w="1361"/>
            <w:shd w:val="clear" w:fill="DEEBF7"/>
          </w:tcPr>
          <w:p>
            <w:pPr>
              <w:spacing w:line="240" w:lineRule="auto"/>
              <w:jc w:val="center"/>
            </w:pPr>
            <w:r>
              <w:rPr>
                <w:b/>
                <w:color w:val="FF0000"/>
                <w:sz w:val="22"/>
              </w:rPr>
              <w:t>3-bosqich</w:t>
            </w:r>
          </w:p>
        </w:tc>
        <w:tc>
          <w:tcPr>
            <w:tcW w:type="dxa" w:w="1417"/>
            <w:shd w:val="clear" w:fill="DEEBF7"/>
          </w:tcPr>
          <w:p>
            <w:pPr>
              <w:spacing w:line="240" w:lineRule="auto"/>
              <w:jc w:val="center"/>
            </w:pPr>
            <w:r>
              <w:rPr>
                <w:b/>
                <w:color w:val="FF0000"/>
                <w:sz w:val="22"/>
              </w:rPr>
              <w:t>Jami</w:t>
            </w:r>
          </w:p>
        </w:tc>
        <w:tc>
          <w:tcPr>
            <w:tcW w:type="dxa" w:w="1247"/>
            <w:shd w:val="clear" w:fill="DEEBF7"/>
          </w:tcPr>
          <w:p>
            <w:pPr>
              <w:spacing w:line="240" w:lineRule="auto"/>
              <w:jc w:val="center"/>
            </w:pPr>
            <w:r>
              <w:rPr>
                <w:b/>
                <w:color w:val="FF0000"/>
                <w:sz w:val="22"/>
              </w:rPr>
              <w:t>Ulushi, %</w:t>
            </w:r>
          </w:p>
        </w:tc>
      </w:tr>
      <w:tr>
        <w:tc>
          <w:tcPr>
            <w:tcW w:type="dxa" w:w="2608"/>
          </w:tcPr>
          <w:p>
            <w:pPr>
              <w:spacing w:line="240" w:lineRule="auto"/>
              <w:jc w:val="left"/>
            </w:pPr>
            <w:r>
              <w:rPr>
                <w:b w:val="0"/>
                <w:color w:val="FF0000"/>
                <w:sz w:val="22"/>
              </w:rPr>
              <w:t>Standart</w:t>
            </w:r>
          </w:p>
        </w:tc>
        <w:tc>
          <w:tcPr>
            <w:tcW w:type="dxa" w:w="1361"/>
          </w:tcPr>
          <w:p>
            <w:pPr>
              <w:spacing w:line="240" w:lineRule="auto"/>
              <w:jc w:val="center"/>
            </w:pPr>
            <w:r>
              <w:rPr>
                <w:b w:val="0"/>
                <w:color w:val="FF0000"/>
                <w:sz w:val="22"/>
              </w:rPr>
              <w:t>40 378,2</w:t>
            </w:r>
          </w:p>
        </w:tc>
        <w:tc>
          <w:tcPr>
            <w:tcW w:type="dxa" w:w="1361"/>
          </w:tcPr>
          <w:p>
            <w:pPr>
              <w:spacing w:line="240" w:lineRule="auto"/>
              <w:jc w:val="center"/>
            </w:pPr>
            <w:r>
              <w:rPr>
                <w:b w:val="0"/>
                <w:color w:val="FF0000"/>
                <w:sz w:val="22"/>
              </w:rPr>
              <w:t>12 956,2</w:t>
            </w:r>
          </w:p>
        </w:tc>
        <w:tc>
          <w:tcPr>
            <w:tcW w:type="dxa" w:w="1361"/>
          </w:tcPr>
          <w:p>
            <w:pPr>
              <w:spacing w:line="240" w:lineRule="auto"/>
              <w:jc w:val="center"/>
            </w:pPr>
            <w:r>
              <w:rPr>
                <w:b w:val="0"/>
                <w:color w:val="FF0000"/>
                <w:sz w:val="22"/>
              </w:rPr>
              <w:t>746,4</w:t>
            </w:r>
          </w:p>
        </w:tc>
        <w:tc>
          <w:tcPr>
            <w:tcW w:type="dxa" w:w="1417"/>
          </w:tcPr>
          <w:p>
            <w:pPr>
              <w:spacing w:line="240" w:lineRule="auto"/>
              <w:jc w:val="center"/>
            </w:pPr>
            <w:r>
              <w:rPr>
                <w:b w:val="0"/>
                <w:color w:val="FF0000"/>
                <w:sz w:val="22"/>
              </w:rPr>
              <w:t>54 080,8</w:t>
            </w:r>
          </w:p>
        </w:tc>
        <w:tc>
          <w:tcPr>
            <w:tcW w:type="dxa" w:w="1247"/>
          </w:tcPr>
          <w:p>
            <w:pPr>
              <w:spacing w:line="240" w:lineRule="auto"/>
              <w:jc w:val="center"/>
            </w:pPr>
            <w:r>
              <w:rPr>
                <w:b w:val="0"/>
                <w:color w:val="FF0000"/>
                <w:sz w:val="22"/>
              </w:rPr>
              <w:t>76,2</w:t>
            </w:r>
          </w:p>
        </w:tc>
      </w:tr>
      <w:tr>
        <w:tc>
          <w:tcPr>
            <w:tcW w:type="dxa" w:w="2608"/>
          </w:tcPr>
          <w:p>
            <w:pPr>
              <w:spacing w:line="240" w:lineRule="auto"/>
              <w:jc w:val="left"/>
            </w:pPr>
            <w:r>
              <w:rPr>
                <w:b w:val="0"/>
                <w:color w:val="FF0000"/>
                <w:sz w:val="22"/>
              </w:rPr>
              <w:t>Substandart</w:t>
            </w:r>
          </w:p>
        </w:tc>
        <w:tc>
          <w:tcPr>
            <w:tcW w:type="dxa" w:w="1361"/>
          </w:tcPr>
          <w:p>
            <w:pPr>
              <w:spacing w:line="240" w:lineRule="auto"/>
              <w:jc w:val="center"/>
            </w:pPr>
            <w:r>
              <w:rPr>
                <w:b w:val="0"/>
                <w:color w:val="FF0000"/>
                <w:sz w:val="22"/>
              </w:rPr>
              <w:t>–</w:t>
            </w:r>
          </w:p>
        </w:tc>
        <w:tc>
          <w:tcPr>
            <w:tcW w:type="dxa" w:w="1361"/>
          </w:tcPr>
          <w:p>
            <w:pPr>
              <w:spacing w:line="240" w:lineRule="auto"/>
              <w:jc w:val="center"/>
            </w:pPr>
            <w:r>
              <w:rPr>
                <w:b w:val="0"/>
                <w:color w:val="FF0000"/>
                <w:sz w:val="22"/>
              </w:rPr>
              <w:t>12 364,3</w:t>
            </w:r>
          </w:p>
        </w:tc>
        <w:tc>
          <w:tcPr>
            <w:tcW w:type="dxa" w:w="1361"/>
          </w:tcPr>
          <w:p>
            <w:pPr>
              <w:spacing w:line="240" w:lineRule="auto"/>
              <w:jc w:val="center"/>
            </w:pPr>
            <w:r>
              <w:rPr>
                <w:b w:val="0"/>
                <w:color w:val="FF0000"/>
                <w:sz w:val="22"/>
              </w:rPr>
              <w:t>2 290,9</w:t>
            </w:r>
          </w:p>
        </w:tc>
        <w:tc>
          <w:tcPr>
            <w:tcW w:type="dxa" w:w="1417"/>
          </w:tcPr>
          <w:p>
            <w:pPr>
              <w:spacing w:line="240" w:lineRule="auto"/>
              <w:jc w:val="center"/>
            </w:pPr>
            <w:r>
              <w:rPr>
                <w:b w:val="0"/>
                <w:color w:val="FF0000"/>
                <w:sz w:val="22"/>
              </w:rPr>
              <w:t>14 655,2</w:t>
            </w:r>
          </w:p>
        </w:tc>
        <w:tc>
          <w:tcPr>
            <w:tcW w:type="dxa" w:w="1247"/>
          </w:tcPr>
          <w:p>
            <w:pPr>
              <w:spacing w:line="240" w:lineRule="auto"/>
              <w:jc w:val="center"/>
            </w:pPr>
            <w:r>
              <w:rPr>
                <w:b w:val="0"/>
                <w:color w:val="FF0000"/>
                <w:sz w:val="22"/>
              </w:rPr>
              <w:t>20,6</w:t>
            </w:r>
          </w:p>
        </w:tc>
      </w:tr>
      <w:tr>
        <w:tc>
          <w:tcPr>
            <w:tcW w:type="dxa" w:w="2608"/>
          </w:tcPr>
          <w:p>
            <w:pPr>
              <w:spacing w:line="240" w:lineRule="auto"/>
              <w:jc w:val="left"/>
            </w:pPr>
            <w:r>
              <w:rPr>
                <w:b w:val="0"/>
                <w:color w:val="FF0000"/>
                <w:sz w:val="22"/>
              </w:rPr>
              <w:t>Qoniqarsiz</w:t>
            </w:r>
          </w:p>
        </w:tc>
        <w:tc>
          <w:tcPr>
            <w:tcW w:type="dxa" w:w="1361"/>
          </w:tcPr>
          <w:p>
            <w:pPr>
              <w:spacing w:line="240" w:lineRule="auto"/>
              <w:jc w:val="center"/>
            </w:pPr>
            <w:r>
              <w:rPr>
                <w:b w:val="0"/>
                <w:color w:val="FF0000"/>
                <w:sz w:val="22"/>
              </w:rPr>
              <w:t>–</w:t>
            </w:r>
          </w:p>
        </w:tc>
        <w:tc>
          <w:tcPr>
            <w:tcW w:type="dxa" w:w="1361"/>
          </w:tcPr>
          <w:p>
            <w:pPr>
              <w:spacing w:line="240" w:lineRule="auto"/>
              <w:jc w:val="center"/>
            </w:pPr>
            <w:r>
              <w:rPr>
                <w:b w:val="0"/>
                <w:color w:val="FF0000"/>
                <w:sz w:val="22"/>
              </w:rPr>
              <w:t>–</w:t>
            </w:r>
          </w:p>
        </w:tc>
        <w:tc>
          <w:tcPr>
            <w:tcW w:type="dxa" w:w="1361"/>
          </w:tcPr>
          <w:p>
            <w:pPr>
              <w:spacing w:line="240" w:lineRule="auto"/>
              <w:jc w:val="center"/>
            </w:pPr>
            <w:r>
              <w:rPr>
                <w:b w:val="0"/>
                <w:color w:val="FF0000"/>
                <w:sz w:val="22"/>
              </w:rPr>
              <w:t>243,9</w:t>
            </w:r>
          </w:p>
        </w:tc>
        <w:tc>
          <w:tcPr>
            <w:tcW w:type="dxa" w:w="1417"/>
          </w:tcPr>
          <w:p>
            <w:pPr>
              <w:spacing w:line="240" w:lineRule="auto"/>
              <w:jc w:val="center"/>
            </w:pPr>
            <w:r>
              <w:rPr>
                <w:b w:val="0"/>
                <w:color w:val="FF0000"/>
                <w:sz w:val="22"/>
              </w:rPr>
              <w:t>243,9</w:t>
            </w:r>
          </w:p>
        </w:tc>
        <w:tc>
          <w:tcPr>
            <w:tcW w:type="dxa" w:w="1247"/>
          </w:tcPr>
          <w:p>
            <w:pPr>
              <w:spacing w:line="240" w:lineRule="auto"/>
              <w:jc w:val="center"/>
            </w:pPr>
            <w:r>
              <w:rPr>
                <w:b w:val="0"/>
                <w:color w:val="FF0000"/>
                <w:sz w:val="22"/>
              </w:rPr>
              <w:t>0,3</w:t>
            </w:r>
          </w:p>
        </w:tc>
      </w:tr>
      <w:tr>
        <w:tc>
          <w:tcPr>
            <w:tcW w:type="dxa" w:w="2608"/>
          </w:tcPr>
          <w:p>
            <w:pPr>
              <w:spacing w:line="240" w:lineRule="auto"/>
              <w:jc w:val="left"/>
            </w:pPr>
            <w:r>
              <w:rPr>
                <w:b w:val="0"/>
                <w:color w:val="FF0000"/>
                <w:sz w:val="22"/>
              </w:rPr>
              <w:t>Shubhali</w:t>
            </w:r>
          </w:p>
        </w:tc>
        <w:tc>
          <w:tcPr>
            <w:tcW w:type="dxa" w:w="1361"/>
          </w:tcPr>
          <w:p>
            <w:pPr>
              <w:spacing w:line="240" w:lineRule="auto"/>
              <w:jc w:val="center"/>
            </w:pPr>
            <w:r>
              <w:rPr>
                <w:b w:val="0"/>
                <w:color w:val="FF0000"/>
                <w:sz w:val="22"/>
              </w:rPr>
              <w:t>–</w:t>
            </w:r>
          </w:p>
        </w:tc>
        <w:tc>
          <w:tcPr>
            <w:tcW w:type="dxa" w:w="1361"/>
          </w:tcPr>
          <w:p>
            <w:pPr>
              <w:spacing w:line="240" w:lineRule="auto"/>
              <w:jc w:val="center"/>
            </w:pPr>
            <w:r>
              <w:rPr>
                <w:b w:val="0"/>
                <w:color w:val="FF0000"/>
                <w:sz w:val="22"/>
              </w:rPr>
              <w:t>–</w:t>
            </w:r>
          </w:p>
        </w:tc>
        <w:tc>
          <w:tcPr>
            <w:tcW w:type="dxa" w:w="1361"/>
          </w:tcPr>
          <w:p>
            <w:pPr>
              <w:spacing w:line="240" w:lineRule="auto"/>
              <w:jc w:val="center"/>
            </w:pPr>
            <w:r>
              <w:rPr>
                <w:b w:val="0"/>
                <w:color w:val="FF0000"/>
                <w:sz w:val="22"/>
              </w:rPr>
              <w:t>642,1</w:t>
            </w:r>
          </w:p>
        </w:tc>
        <w:tc>
          <w:tcPr>
            <w:tcW w:type="dxa" w:w="1417"/>
          </w:tcPr>
          <w:p>
            <w:pPr>
              <w:spacing w:line="240" w:lineRule="auto"/>
              <w:jc w:val="center"/>
            </w:pPr>
            <w:r>
              <w:rPr>
                <w:b w:val="0"/>
                <w:color w:val="FF0000"/>
                <w:sz w:val="22"/>
              </w:rPr>
              <w:t>642,1</w:t>
            </w:r>
          </w:p>
        </w:tc>
        <w:tc>
          <w:tcPr>
            <w:tcW w:type="dxa" w:w="1247"/>
          </w:tcPr>
          <w:p>
            <w:pPr>
              <w:spacing w:line="240" w:lineRule="auto"/>
              <w:jc w:val="center"/>
            </w:pPr>
            <w:r>
              <w:rPr>
                <w:b w:val="0"/>
                <w:color w:val="FF0000"/>
                <w:sz w:val="22"/>
              </w:rPr>
              <w:t>0,9</w:t>
            </w:r>
          </w:p>
        </w:tc>
      </w:tr>
      <w:tr>
        <w:tc>
          <w:tcPr>
            <w:tcW w:type="dxa" w:w="2608"/>
          </w:tcPr>
          <w:p>
            <w:pPr>
              <w:spacing w:line="240" w:lineRule="auto"/>
              <w:jc w:val="left"/>
            </w:pPr>
            <w:r>
              <w:rPr>
                <w:b w:val="0"/>
                <w:color w:val="FF0000"/>
                <w:sz w:val="22"/>
              </w:rPr>
              <w:t>Umidsiz</w:t>
            </w:r>
          </w:p>
        </w:tc>
        <w:tc>
          <w:tcPr>
            <w:tcW w:type="dxa" w:w="1361"/>
          </w:tcPr>
          <w:p>
            <w:pPr>
              <w:spacing w:line="240" w:lineRule="auto"/>
              <w:jc w:val="center"/>
            </w:pPr>
            <w:r>
              <w:rPr>
                <w:b w:val="0"/>
                <w:color w:val="FF0000"/>
                <w:sz w:val="22"/>
              </w:rPr>
              <w:t>–</w:t>
            </w:r>
          </w:p>
        </w:tc>
        <w:tc>
          <w:tcPr>
            <w:tcW w:type="dxa" w:w="1361"/>
          </w:tcPr>
          <w:p>
            <w:pPr>
              <w:spacing w:line="240" w:lineRule="auto"/>
              <w:jc w:val="center"/>
            </w:pPr>
            <w:r>
              <w:rPr>
                <w:b w:val="0"/>
                <w:color w:val="FF0000"/>
                <w:sz w:val="22"/>
              </w:rPr>
              <w:t>–</w:t>
            </w:r>
          </w:p>
        </w:tc>
        <w:tc>
          <w:tcPr>
            <w:tcW w:type="dxa" w:w="1361"/>
          </w:tcPr>
          <w:p>
            <w:pPr>
              <w:spacing w:line="240" w:lineRule="auto"/>
              <w:jc w:val="center"/>
            </w:pPr>
            <w:r>
              <w:rPr>
                <w:b w:val="0"/>
                <w:color w:val="FF0000"/>
                <w:sz w:val="22"/>
              </w:rPr>
              <w:t>1 386,9</w:t>
            </w:r>
          </w:p>
        </w:tc>
        <w:tc>
          <w:tcPr>
            <w:tcW w:type="dxa" w:w="1417"/>
          </w:tcPr>
          <w:p>
            <w:pPr>
              <w:spacing w:line="240" w:lineRule="auto"/>
              <w:jc w:val="center"/>
            </w:pPr>
            <w:r>
              <w:rPr>
                <w:b w:val="0"/>
                <w:color w:val="FF0000"/>
                <w:sz w:val="22"/>
              </w:rPr>
              <w:t>1 386,9</w:t>
            </w:r>
          </w:p>
        </w:tc>
        <w:tc>
          <w:tcPr>
            <w:tcW w:type="dxa" w:w="1247"/>
          </w:tcPr>
          <w:p>
            <w:pPr>
              <w:spacing w:line="240" w:lineRule="auto"/>
              <w:jc w:val="center"/>
            </w:pPr>
            <w:r>
              <w:rPr>
                <w:b w:val="0"/>
                <w:color w:val="FF0000"/>
                <w:sz w:val="22"/>
              </w:rPr>
              <w:t>2,0</w:t>
            </w:r>
          </w:p>
        </w:tc>
      </w:tr>
      <w:tr>
        <w:tc>
          <w:tcPr>
            <w:tcW w:type="dxa" w:w="2608"/>
          </w:tcPr>
          <w:p>
            <w:pPr>
              <w:spacing w:line="240" w:lineRule="auto"/>
              <w:jc w:val="left"/>
            </w:pPr>
            <w:r>
              <w:rPr>
                <w:b/>
                <w:color w:val="FF0000"/>
                <w:sz w:val="22"/>
              </w:rPr>
              <w:t>Jami</w:t>
            </w:r>
          </w:p>
        </w:tc>
        <w:tc>
          <w:tcPr>
            <w:tcW w:type="dxa" w:w="1361"/>
          </w:tcPr>
          <w:p>
            <w:pPr>
              <w:spacing w:line="240" w:lineRule="auto"/>
              <w:jc w:val="center"/>
            </w:pPr>
            <w:r>
              <w:rPr>
                <w:b/>
                <w:color w:val="FF0000"/>
                <w:sz w:val="22"/>
              </w:rPr>
              <w:t>40 378,2</w:t>
            </w:r>
          </w:p>
        </w:tc>
        <w:tc>
          <w:tcPr>
            <w:tcW w:type="dxa" w:w="1361"/>
          </w:tcPr>
          <w:p>
            <w:pPr>
              <w:spacing w:line="240" w:lineRule="auto"/>
              <w:jc w:val="center"/>
            </w:pPr>
            <w:r>
              <w:rPr>
                <w:b/>
                <w:color w:val="FF0000"/>
                <w:sz w:val="22"/>
              </w:rPr>
              <w:t>25 320,4</w:t>
            </w:r>
          </w:p>
        </w:tc>
        <w:tc>
          <w:tcPr>
            <w:tcW w:type="dxa" w:w="1361"/>
          </w:tcPr>
          <w:p>
            <w:pPr>
              <w:spacing w:line="240" w:lineRule="auto"/>
              <w:jc w:val="center"/>
            </w:pPr>
            <w:r>
              <w:rPr>
                <w:b/>
                <w:color w:val="FF0000"/>
                <w:sz w:val="22"/>
              </w:rPr>
              <w:t>5 310,2</w:t>
            </w:r>
          </w:p>
        </w:tc>
        <w:tc>
          <w:tcPr>
            <w:tcW w:type="dxa" w:w="1417"/>
          </w:tcPr>
          <w:p>
            <w:pPr>
              <w:spacing w:line="240" w:lineRule="auto"/>
              <w:jc w:val="center"/>
            </w:pPr>
            <w:r>
              <w:rPr>
                <w:b/>
                <w:color w:val="FF0000"/>
                <w:sz w:val="22"/>
              </w:rPr>
              <w:t>71 008,8</w:t>
            </w:r>
          </w:p>
        </w:tc>
        <w:tc>
          <w:tcPr>
            <w:tcW w:type="dxa" w:w="1247"/>
          </w:tcPr>
          <w:p>
            <w:pPr>
              <w:spacing w:line="240" w:lineRule="auto"/>
              <w:jc w:val="center"/>
            </w:pPr>
            <w:r>
              <w:rPr>
                <w:b/>
                <w:color w:val="FF0000"/>
                <w:sz w:val="22"/>
              </w:rPr>
              <w:t>100,0</w:t>
            </w:r>
          </w:p>
        </w:tc>
      </w:tr>
      <w:tr>
        <w:tc>
          <w:tcPr>
            <w:tcW w:type="dxa" w:w="2608"/>
          </w:tcPr>
          <w:p>
            <w:pPr>
              <w:spacing w:line="240" w:lineRule="auto"/>
              <w:jc w:val="left"/>
            </w:pPr>
            <w:r>
              <w:rPr>
                <w:b w:val="0"/>
                <w:color w:val="FF0000"/>
                <w:sz w:val="22"/>
              </w:rPr>
              <w:t>Ulushi, %</w:t>
            </w:r>
          </w:p>
        </w:tc>
        <w:tc>
          <w:tcPr>
            <w:tcW w:type="dxa" w:w="1361"/>
          </w:tcPr>
          <w:p>
            <w:pPr>
              <w:spacing w:line="240" w:lineRule="auto"/>
              <w:jc w:val="center"/>
            </w:pPr>
            <w:r>
              <w:rPr>
                <w:b w:val="0"/>
                <w:color w:val="FF0000"/>
                <w:sz w:val="22"/>
              </w:rPr>
              <w:t>56,9</w:t>
            </w:r>
          </w:p>
        </w:tc>
        <w:tc>
          <w:tcPr>
            <w:tcW w:type="dxa" w:w="1361"/>
          </w:tcPr>
          <w:p>
            <w:pPr>
              <w:spacing w:line="240" w:lineRule="auto"/>
              <w:jc w:val="center"/>
            </w:pPr>
            <w:r>
              <w:rPr>
                <w:b w:val="0"/>
                <w:color w:val="FF0000"/>
                <w:sz w:val="22"/>
              </w:rPr>
              <w:t>35,7</w:t>
            </w:r>
          </w:p>
        </w:tc>
        <w:tc>
          <w:tcPr>
            <w:tcW w:type="dxa" w:w="1361"/>
          </w:tcPr>
          <w:p>
            <w:pPr>
              <w:spacing w:line="240" w:lineRule="auto"/>
              <w:jc w:val="center"/>
            </w:pPr>
            <w:r>
              <w:rPr>
                <w:b w:val="0"/>
                <w:color w:val="FF0000"/>
                <w:sz w:val="22"/>
              </w:rPr>
              <w:t>7,5</w:t>
            </w:r>
          </w:p>
        </w:tc>
        <w:tc>
          <w:tcPr>
            <w:tcW w:type="dxa" w:w="1417"/>
          </w:tcPr>
          <w:p>
            <w:pPr>
              <w:spacing w:line="240" w:lineRule="auto"/>
              <w:jc w:val="center"/>
            </w:pPr>
            <w:r>
              <w:rPr>
                <w:b w:val="0"/>
                <w:color w:val="FF0000"/>
                <w:sz w:val="22"/>
              </w:rPr>
              <w:t>100,0</w:t>
            </w:r>
          </w:p>
        </w:tc>
        <w:tc>
          <w:tcPr>
            <w:tcW w:type="dxa" w:w="1247"/>
          </w:tcPr>
          <w:p>
            <w:pPr>
              <w:spacing w:line="240" w:lineRule="auto"/>
              <w:jc w:val="center"/>
            </w:pPr>
            <w:r>
              <w:rPr>
                <w:b w:val="0"/>
                <w:color w:val="FF0000"/>
                <w:sz w:val="22"/>
              </w:rPr>
            </w:r>
          </w:p>
        </w:tc>
      </w:tr>
      <w:tr>
        <w:tc>
          <w:tcPr>
            <w:tcW w:type="dxa" w:w="2608"/>
          </w:tcPr>
          <w:p>
            <w:pPr>
              <w:spacing w:line="240" w:lineRule="auto"/>
              <w:jc w:val="left"/>
            </w:pPr>
            <w:r>
              <w:rPr>
                <w:b w:val="0"/>
                <w:color w:val="FF0000"/>
                <w:sz w:val="22"/>
              </w:rPr>
              <w:t>Kutilgan kredit zararlari bo‘yicha zaxira</w:t>
            </w:r>
          </w:p>
        </w:tc>
        <w:tc>
          <w:tcPr>
            <w:tcW w:type="dxa" w:w="1361"/>
          </w:tcPr>
          <w:p>
            <w:pPr>
              <w:spacing w:line="240" w:lineRule="auto"/>
              <w:jc w:val="center"/>
            </w:pPr>
            <w:r>
              <w:rPr>
                <w:b w:val="0"/>
                <w:color w:val="FF0000"/>
                <w:sz w:val="22"/>
              </w:rPr>
              <w:t>535,9</w:t>
            </w:r>
          </w:p>
        </w:tc>
        <w:tc>
          <w:tcPr>
            <w:tcW w:type="dxa" w:w="1361"/>
          </w:tcPr>
          <w:p>
            <w:pPr>
              <w:spacing w:line="240" w:lineRule="auto"/>
              <w:jc w:val="center"/>
            </w:pPr>
            <w:r>
              <w:rPr>
                <w:b w:val="0"/>
                <w:color w:val="FF0000"/>
                <w:sz w:val="22"/>
              </w:rPr>
              <w:t>1 711,4</w:t>
            </w:r>
          </w:p>
        </w:tc>
        <w:tc>
          <w:tcPr>
            <w:tcW w:type="dxa" w:w="1361"/>
          </w:tcPr>
          <w:p>
            <w:pPr>
              <w:spacing w:line="240" w:lineRule="auto"/>
              <w:jc w:val="center"/>
            </w:pPr>
            <w:r>
              <w:rPr>
                <w:b w:val="0"/>
                <w:color w:val="FF0000"/>
                <w:sz w:val="22"/>
              </w:rPr>
              <w:t>2 003,6</w:t>
            </w:r>
          </w:p>
        </w:tc>
        <w:tc>
          <w:tcPr>
            <w:tcW w:type="dxa" w:w="1417"/>
          </w:tcPr>
          <w:p>
            <w:pPr>
              <w:spacing w:line="240" w:lineRule="auto"/>
              <w:jc w:val="center"/>
            </w:pPr>
            <w:r>
              <w:rPr>
                <w:b w:val="0"/>
                <w:color w:val="FF0000"/>
                <w:sz w:val="22"/>
              </w:rPr>
              <w:t>4 250,9</w:t>
            </w:r>
          </w:p>
        </w:tc>
        <w:tc>
          <w:tcPr>
            <w:tcW w:type="dxa" w:w="1247"/>
          </w:tcPr>
          <w:p>
            <w:pPr>
              <w:spacing w:line="240" w:lineRule="auto"/>
              <w:jc w:val="center"/>
            </w:pPr>
            <w:r>
              <w:rPr>
                <w:b w:val="0"/>
                <w:color w:val="FF0000"/>
                <w:sz w:val="22"/>
              </w:rPr>
            </w:r>
          </w:p>
        </w:tc>
      </w:tr>
      <w:tr>
        <w:tc>
          <w:tcPr>
            <w:tcW w:type="dxa" w:w="2608"/>
          </w:tcPr>
          <w:p>
            <w:pPr>
              <w:spacing w:line="240" w:lineRule="auto"/>
              <w:jc w:val="left"/>
            </w:pPr>
            <w:r>
              <w:rPr>
                <w:b w:val="0"/>
                <w:color w:val="FF0000"/>
                <w:sz w:val="22"/>
              </w:rPr>
              <w:t>Zaxira bilan qoplanish, %</w:t>
            </w:r>
          </w:p>
        </w:tc>
        <w:tc>
          <w:tcPr>
            <w:tcW w:type="dxa" w:w="1361"/>
          </w:tcPr>
          <w:p>
            <w:pPr>
              <w:spacing w:line="240" w:lineRule="auto"/>
              <w:jc w:val="center"/>
            </w:pPr>
            <w:r>
              <w:rPr>
                <w:b w:val="0"/>
                <w:color w:val="FF0000"/>
                <w:sz w:val="22"/>
              </w:rPr>
              <w:t>1,3</w:t>
            </w:r>
          </w:p>
        </w:tc>
        <w:tc>
          <w:tcPr>
            <w:tcW w:type="dxa" w:w="1361"/>
          </w:tcPr>
          <w:p>
            <w:pPr>
              <w:spacing w:line="240" w:lineRule="auto"/>
              <w:jc w:val="center"/>
            </w:pPr>
            <w:r>
              <w:rPr>
                <w:b w:val="0"/>
                <w:color w:val="FF0000"/>
                <w:sz w:val="22"/>
              </w:rPr>
              <w:t>6,8</w:t>
            </w:r>
          </w:p>
        </w:tc>
        <w:tc>
          <w:tcPr>
            <w:tcW w:type="dxa" w:w="1361"/>
          </w:tcPr>
          <w:p>
            <w:pPr>
              <w:spacing w:line="240" w:lineRule="auto"/>
              <w:jc w:val="center"/>
            </w:pPr>
            <w:r>
              <w:rPr>
                <w:b w:val="0"/>
                <w:color w:val="FF0000"/>
                <w:sz w:val="22"/>
              </w:rPr>
              <w:t>37,7</w:t>
            </w:r>
          </w:p>
        </w:tc>
        <w:tc>
          <w:tcPr>
            <w:tcW w:type="dxa" w:w="1417"/>
          </w:tcPr>
          <w:p>
            <w:pPr>
              <w:spacing w:line="240" w:lineRule="auto"/>
              <w:jc w:val="center"/>
            </w:pPr>
            <w:r>
              <w:rPr>
                <w:b w:val="0"/>
                <w:color w:val="FF0000"/>
                <w:sz w:val="22"/>
              </w:rPr>
              <w:t>6,0</w:t>
            </w:r>
          </w:p>
        </w:tc>
        <w:tc>
          <w:tcPr>
            <w:tcW w:type="dxa" w:w="1247"/>
          </w:tcPr>
          <w:p>
            <w:pPr>
              <w:spacing w:line="240" w:lineRule="auto"/>
              <w:jc w:val="center"/>
            </w:pPr>
            <w:r>
              <w:rPr>
                <w:b w:val="0"/>
                <w:color w:val="FF0000"/>
                <w:sz w:val="22"/>
              </w:rPr>
            </w:r>
          </w:p>
        </w:tc>
      </w:tr>
    </w:tbl>
    <w:p>
      <w:pPr>
        <w:spacing w:line="240" w:lineRule="auto"/>
        <w:jc w:val="both"/>
      </w:pPr>
      <w:r>
        <w:rPr>
          <w:b w:val="0"/>
          <w:i/>
          <w:color w:val="FF0000"/>
          <w:sz w:val="22"/>
        </w:rPr>
        <w:t>Izoh: muammoli – “qoniqarsiz”, “shubhali” va “umidsiz” toifalari (2 272,9 mlrd so‘m, 3,2 foiz).</w:t>
      </w:r>
    </w:p>
    <w:p>
      <w:pPr>
        <w:spacing w:line="240" w:lineRule="auto"/>
        <w:jc w:val="both"/>
      </w:pPr>
      <w:r>
        <w:rPr>
          <w:b w:val="0"/>
          <w:i w:val="0"/>
          <w:color w:val="FF0000"/>
          <w:sz w:val="22"/>
        </w:rPr>
        <w:t>[2] Tadqiqot natijasida muallif tomonidan quyidagi manba ma’lumotlari asosida hisoblandi: Joint Stock Commercial Bank “Uzbek Industrial and Construction Bank” and its subsidiaries. Consolidated Financial Statements for the year ended 31 December 2025 and Independent Auditor’s Report. – Tashkent, 2026. – P. 37–38.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eastAsia="Times New Roman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</w:pPr>
    <w:rPr>
      <w:rFonts w:ascii="Times New Roman" w:hAnsi="Times New Roman" w:eastAsia="Times New Roman" w:cs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eastAsia="Times New Roman" w:cs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eastAsia="Times New Roman" w:cs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eastAsia="Times New Roman" w:cs="Times New Roman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eastAsia="Times New Roman" w:cs="Times New Roman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eastAsia="Times New Roman" w:cs="Times New Roman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eastAsia="Times New Roman" w:cs="Times New Roman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eastAsia="Times New Roman" w:cs="Times New Roman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eastAsia="Times New Roman" w:cs="Times New Roman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eastAsia="Times New Roman" w:cs="Times New Roman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eastAsia="Times New Roman" w:cs="Times New Roman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eastAsia="Times New Roman" w:cs="Times New Roman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eastAsia="Times New Roman" w:cs="Times New Roman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eastAsia="Times New Roman" w:cs="Times New Roma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eastAsia="Times New Roman" w:cs="Times New Roman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eastAsia="Times New Roman" w:cs="Times New Roman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eastAsia="Times New Roman" w:cs="Times New Roman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eastAsia="Times New Roman" w:cs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eastAsia="Times New Roman" w:cs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eastAsia="Times New Roman" w:cs="Times New Roman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eastAsia="Times New Roman" w:cs="Times New Roman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eastAsia="Times New Roman" w:cs="Times New Roman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eastAsia="Times New Roman" w:cs="Times New Roman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eastAsia="Times New Roman" w:cs="Times New Roman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eastAsia="Times New Roman" w:cs="Times New Roman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hAnsi="Times New Roman" w:eastAsia="Times New Roman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eastAsia="Times New Roman" w:cs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eastAsia="Times New Roman" w:cs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eastAsia="Times New Roman" w:cs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eastAsia="Times New Roman" w:cs="Times New Roman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eastAsia="Times New Roman" w:cs="Times New Roman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eastAsia="Times New Roman" w:cs="Times New Roman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eastAsia="Times New Roman" w:cs="Times New Roman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eastAsia="Times New Roman" w:cs="Times New Roman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eastAsia="Times New Roman" w:cs="Times New Roman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eastAsia="Times New Roman" w:cs="Times New Roman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eastAsia="Times New Roman" w:cs="Times New Roman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eastAsia="Times New Roman" w:cs="Times New Roman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eastAsia="Times New Roman" w:cs="Times New Roma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eastAsia="Times New Roman" w:cs="Times New Roman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eastAsia="Times New Roman" w:cs="Times New Roman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eastAsia="Times New Roman" w:cs="Times New Roman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eastAsia="Times New Roman" w:cs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eastAsia="Times New Roman" w:cs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eastAsia="Times New Roman" w:cs="Times New Roman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eastAsia="Times New Roman" w:cs="Times New Roman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eastAsia="Times New Roman" w:cs="Times New Roman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eastAsia="Times New Roman" w:cs="Times New Roman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eastAsia="Times New Roman" w:cs="Times New Roman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eastAsia="Times New Roman" w:cs="Times New Roman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