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Kitoblar</w:t>
      </w:r>
      <w:r>
        <w:t xml:space="preserve"> </w:t>
      </w:r>
      <w:r>
        <w:t xml:space="preserve">tahlili</w:t>
      </w:r>
      <w:r>
        <w:t xml:space="preserve"> </w:t>
      </w:r>
      <w:r>
        <w:t xml:space="preserve">–</w:t>
      </w:r>
      <w:r>
        <w:t xml:space="preserve"> </w:t>
      </w:r>
      <w:r>
        <w:t xml:space="preserve">2-qism:</w:t>
      </w:r>
      <w:r>
        <w:t xml:space="preserve"> </w:t>
      </w:r>
      <w:r>
        <w:t xml:space="preserve">dissertatsiya</w:t>
      </w:r>
      <w:r>
        <w:t xml:space="preserve"> </w:t>
      </w:r>
      <w:r>
        <w:t xml:space="preserve">uchun</w:t>
      </w:r>
      <w:r>
        <w:t xml:space="preserve"> </w:t>
      </w:r>
      <w:r>
        <w:t xml:space="preserve">kerakli</w:t>
      </w:r>
      <w:r>
        <w:t xml:space="preserve"> </w:t>
      </w:r>
      <w:r>
        <w:t xml:space="preserve">boblarning</w:t>
      </w:r>
      <w:r>
        <w:t xml:space="preserve"> </w:t>
      </w:r>
      <w:r>
        <w:t xml:space="preserve">mazmuni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Ushbu hisobotda dissertatsiya uchun kerakli deb belgilangan 21 ta kitobning tegishli boblari to‘liq o‘qilib, mazmuni bayon qilingan. 9 tasi rus va o‘zbek tilida, 12 tasi ingliz tilida. Skan qilingan nusxalar OCR orqali o‘qilgan, ulardan olingan iqtiboslar [OCR] deb belgilangan va dissertatsiyaga kiritishdan oldin asl sahifa bilan solishtirilishi kerak. Barcha sahifalar kitobdagi bosma raqamlar bo‘yicha berilgan.</w:t>
      </w:r>
    </w:p>
    <w:p>
      <w:pPr>
        <w:pStyle w:val="BodyText"/>
      </w:pPr>
      <w:r>
        <w:t xml:space="preserve">Har bir kitob bo‘yicha: bibliografik ma’lumot, o‘qilgan boblarning asosiy mazmuni (ta’riflar, ko‘rsatkichlar, chegaralar, vaznlar, formulalar, empirik natijalar), dissertatsiyada qo‘llash yo‘nalishlari, iqtiboslar va moslashtiriladigan jadval/formulalar.</w:t>
      </w:r>
    </w:p>
    <w:p>
      <w:pPr>
        <w:pStyle w:val="BlockText"/>
      </w:pPr>
      <w:r>
        <w:rPr>
          <w:bCs/>
          <w:b/>
        </w:rPr>
        <w:t xml:space="preserve">Izoh (tiklash haqida).</w:t>
      </w:r>
      <w:r>
        <w:t xml:space="preserve"> </w:t>
      </w:r>
      <w:r>
        <w:t xml:space="preserve">Bu fayl Cowork sessiyasida yozilgan</w:t>
      </w:r>
      <w:r>
        <w:t xml:space="preserve"> </w:t>
      </w:r>
      <w:r>
        <w:rPr>
          <w:rStyle w:val="VerbatimChar"/>
        </w:rPr>
        <w:t xml:space="preserve">r0.md</w:t>
      </w:r>
      <w:r>
        <w:t xml:space="preserve">–</w:t>
      </w:r>
      <w:r>
        <w:rPr>
          <w:rStyle w:val="VerbatimChar"/>
        </w:rPr>
        <w:t xml:space="preserve">r8.md</w:t>
      </w:r>
      <w:r>
        <w:t xml:space="preserve"> </w:t>
      </w:r>
      <w:r>
        <w:t xml:space="preserve">hisobotlaridan o‘sha sessiyaning</w:t>
      </w:r>
      <w:r>
        <w:t xml:space="preserve"> </w:t>
      </w:r>
      <w:r>
        <w:rPr>
          <w:rStyle w:val="VerbatimChar"/>
        </w:rPr>
        <w:t xml:space="preserve">merge.py</w:t>
      </w:r>
      <w:r>
        <w:t xml:space="preserve"> </w:t>
      </w:r>
      <w:r>
        <w:t xml:space="preserve">skripti bilan aynan qayta yig‘ildi. Matn asl «Kitoblar_tahlili_2.docx» bilan bir xil (25 090 so‘z, 21 ta kitob). Hisobotdagi paragraf raqamlari</w:t>
      </w:r>
      <w:r>
        <w:t xml:space="preserve"> </w:t>
      </w:r>
      <w:r>
        <w:rPr>
          <w:bCs/>
          <w:b/>
        </w:rPr>
        <w:t xml:space="preserve">eski reja</w:t>
      </w:r>
      <w:r>
        <w:t xml:space="preserve"> </w:t>
      </w:r>
      <w:r>
        <w:t xml:space="preserve">bo‘yicha. Yaxlit rejaga o‘tkazish: eski 1.2 → 1.3; eski 2.2 (davlat banklari) va 3.3 (ΔMBII) → 3.2; eski 3.2 (MBII-Basel signallari) → 4.1; eski 4.1 (ekonometrika) → 3.3; eski 4.2 (bashorat kuchi) → 4.1; eski 4.3 (prognoz) → 4.2.</w:t>
      </w:r>
    </w:p>
    <w:bookmarkStart w:id="23" w:name="umumiy-xulosalar"/>
    <w:p>
      <w:pPr>
        <w:pStyle w:val="Heading1"/>
      </w:pPr>
      <w:r>
        <w:t xml:space="preserve">Umumiy xulosalar</w:t>
      </w:r>
    </w:p>
    <w:bookmarkStart w:id="20" w:name="X19adbd5aa58c349b8c1d70454304d86dab3d5bd"/>
    <w:p>
      <w:pPr>
        <w:pStyle w:val="Heading2"/>
      </w:pPr>
      <w:r>
        <w:t xml:space="preserve">Kitoblarning paragraflar bo‘yicha taqsimoti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Paragraf</w:t>
            </w:r>
          </w:p>
        </w:tc>
        <w:tc>
          <w:tcPr/>
          <w:p>
            <w:pPr>
              <w:pStyle w:val="Compact"/>
              <w:jc w:val="left"/>
            </w:pPr>
            <w:r>
              <w:t xml:space="preserve">Asosiy manbalar</w:t>
            </w:r>
          </w:p>
        </w:tc>
      </w:tr>
      <w:tr>
        <w:tc>
          <w:tcPr/>
          <w:p>
            <w:pPr>
              <w:pStyle w:val="Compact"/>
              <w:jc w:val="left"/>
            </w:pPr>
            <w:r>
              <w:t xml:space="preserve">1.1</w:t>
            </w:r>
          </w:p>
        </w:tc>
        <w:tc>
          <w:tcPr/>
          <w:p>
            <w:pPr>
              <w:pStyle w:val="Compact"/>
              <w:jc w:val="left"/>
            </w:pPr>
            <w:r>
              <w:t xml:space="preserve">Lavrushin–Mamonova (barqarorlik va stabillik farqi, turlari, omillar); Lavrushin 2014 (bank tizimi barqarorligi ta’rifi); Hendrickson (moliyaviy barqarorlik ta’rifi); Tarullo (kapitalning funksiyalari); Thakor (Lindblom va boshq.)</w:t>
            </w:r>
          </w:p>
        </w:tc>
      </w:tr>
      <w:tr>
        <w:tc>
          <w:tcPr/>
          <w:p>
            <w:pPr>
              <w:pStyle w:val="Compact"/>
              <w:jc w:val="left"/>
            </w:pPr>
            <w:r>
              <w:t xml:space="preserve">1.2</w:t>
            </w:r>
          </w:p>
        </w:tc>
        <w:tc>
          <w:tcPr/>
          <w:p>
            <w:pPr>
              <w:pStyle w:val="Compact"/>
              <w:jc w:val="left"/>
            </w:pPr>
            <w:r>
              <w:t xml:space="preserve">Tian (Bazel III arxitekturasi, CCB shkalasi, G-SIB); Tarullo (Bazel I–II tarixi va tanqidi); «Bazel III ga moslashtirish» monografiyasi (LCR, NSFR, ICAAP); Lavrushin 2014 (6.4.7); Afanasyeva–Dubova (makro- va mikroprudensial); Karaliyev–Sayfiddinov (O‘zbekistonda joriy etish)</w:t>
            </w:r>
          </w:p>
        </w:tc>
      </w:tr>
      <w:tr>
        <w:tc>
          <w:tcPr/>
          <w:p>
            <w:pPr>
              <w:pStyle w:val="Compact"/>
              <w:jc w:val="left"/>
            </w:pPr>
            <w:r>
              <w:t xml:space="preserve">1.3</w:t>
            </w:r>
          </w:p>
        </w:tc>
        <w:tc>
          <w:tcPr/>
          <w:p>
            <w:pPr>
              <w:pStyle w:val="Compact"/>
              <w:jc w:val="left"/>
            </w:pPr>
            <w:r>
              <w:t xml:space="preserve">Lavrushin–Mamonova (CAMELS, BAITE, FIMS, Rossiya Banki ballari); Lavrushin 2014 (G10 tizimlari, IMF FSI); Karminskiy (ekonometrik reyting modellari); Izzi va boshq. (bank rating modeli); Beccalli–Poli (EBA KRI); Cargill (CAMELS, PCA)</w:t>
            </w:r>
          </w:p>
        </w:tc>
      </w:tr>
      <w:tr>
        <w:tc>
          <w:tcPr/>
          <w:p>
            <w:pPr>
              <w:pStyle w:val="Compact"/>
              <w:jc w:val="left"/>
            </w:pPr>
            <w:r>
              <w:t xml:space="preserve">2.2</w:t>
            </w:r>
          </w:p>
        </w:tc>
        <w:tc>
          <w:tcPr/>
          <w:p>
            <w:pPr>
              <w:pStyle w:val="Compact"/>
              <w:jc w:val="left"/>
            </w:pPr>
            <w:r>
              <w:t xml:space="preserve">Lavrushin 2014 (davlat banklari, 5.2); Peláez (davlat egaligi); He Wei Ping (regulyator «asirligi»); Hendrickson (CRA va CAMEL ziddiyati); Izzi (davlat qo‘llovi matritsasi)</w:t>
            </w:r>
          </w:p>
        </w:tc>
      </w:tr>
      <w:tr>
        <w:tc>
          <w:tcPr/>
          <w:p>
            <w:pPr>
              <w:pStyle w:val="Compact"/>
              <w:jc w:val="left"/>
            </w:pPr>
            <w:r>
              <w:t xml:space="preserve">2.3, 3.3</w:t>
            </w:r>
          </w:p>
        </w:tc>
        <w:tc>
          <w:tcPr/>
          <w:p>
            <w:pPr>
              <w:pStyle w:val="Compact"/>
              <w:jc w:val="left"/>
            </w:pPr>
            <w:r>
              <w:t xml:space="preserve">Sokolinskaya (MSFO va milliy hisobot farqlari, zaxiralar); Tarullo (Yaponiya: DTA, rezerv yetishmasligi)</w:t>
            </w:r>
          </w:p>
        </w:tc>
      </w:tr>
      <w:tr>
        <w:tc>
          <w:tcPr/>
          <w:p>
            <w:pPr>
              <w:pStyle w:val="Compact"/>
              <w:jc w:val="left"/>
            </w:pPr>
            <w:r>
              <w:t xml:space="preserve">3.1</w:t>
            </w:r>
          </w:p>
        </w:tc>
        <w:tc>
          <w:tcPr/>
          <w:p>
            <w:pPr>
              <w:pStyle w:val="Compact"/>
              <w:jc w:val="left"/>
            </w:pPr>
            <w:r>
              <w:t xml:space="preserve">Lavrushin–Mamonova (4.1–4.8-jadvallar: chegaralar va vaznlar); Karminskiy (reyting konstruktori, kvantil ballash); Izzi (vaznlar 70/30, 80/20); Tian (CCB shkalasi); Cargill (PCA 10/8/6/2%); Karaliyev–Sayfiddinov (CAMEL vaznlari)</w:t>
            </w:r>
          </w:p>
        </w:tc>
      </w:tr>
      <w:tr>
        <w:tc>
          <w:tcPr/>
          <w:p>
            <w:pPr>
              <w:pStyle w:val="Compact"/>
              <w:jc w:val="left"/>
            </w:pPr>
            <w:r>
              <w:t xml:space="preserve">3.2</w:t>
            </w:r>
          </w:p>
        </w:tc>
        <w:tc>
          <w:tcPr/>
          <w:p>
            <w:pPr>
              <w:pStyle w:val="Compact"/>
              <w:jc w:val="left"/>
            </w:pPr>
            <w:r>
              <w:t xml:space="preserve">Tian va Lavrushin 2014 (G-SIB/D-SIB mezonlari); Afanasyeva–Dubova (kontrsiklik bufer formulasi, tizimli risk); Beccalli–Poli (ESRB vositalari)</w:t>
            </w:r>
          </w:p>
        </w:tc>
      </w:tr>
      <w:tr>
        <w:tc>
          <w:tcPr/>
          <w:p>
            <w:pPr>
              <w:pStyle w:val="Compact"/>
              <w:jc w:val="left"/>
            </w:pPr>
            <w:r>
              <w:t xml:space="preserve">4.1</w:t>
            </w:r>
          </w:p>
        </w:tc>
        <w:tc>
          <w:tcPr/>
          <w:p>
            <w:pPr>
              <w:pStyle w:val="Compact"/>
              <w:jc w:val="left"/>
            </w:pPr>
            <w:r>
              <w:t xml:space="preserve">Crespi–Aliano (Chesini va boshq.: «bad management» gipotezasi); Karminskiy (VAR, makroshoklar); Berdiyarov (choraklik regressiya)</w:t>
            </w:r>
          </w:p>
        </w:tc>
      </w:tr>
      <w:tr>
        <w:tc>
          <w:tcPr/>
          <w:p>
            <w:pPr>
              <w:pStyle w:val="Compact"/>
              <w:jc w:val="left"/>
            </w:pPr>
            <w:r>
              <w:t xml:space="preserve">4.2</w:t>
            </w:r>
          </w:p>
        </w:tc>
        <w:tc>
          <w:tcPr/>
          <w:p>
            <w:pPr>
              <w:pStyle w:val="Compact"/>
              <w:jc w:val="left"/>
            </w:pPr>
            <w:r>
              <w:t xml:space="preserve">Chiaramonte–Poli (Lindblom: probit, Z-score, I/II tur xatolari); Izzi (AUROC, Gini, PSI); Langohr (AR, o‘tish matritsalari); Karminskiy (defolt modellari, ROC)</w:t>
            </w:r>
          </w:p>
        </w:tc>
      </w:tr>
      <w:tr>
        <w:tc>
          <w:tcPr/>
          <w:p>
            <w:pPr>
              <w:pStyle w:val="Compact"/>
              <w:jc w:val="left"/>
            </w:pPr>
            <w:r>
              <w:t xml:space="preserve">4.3</w:t>
            </w:r>
          </w:p>
        </w:tc>
        <w:tc>
          <w:tcPr/>
          <w:p>
            <w:pPr>
              <w:pStyle w:val="Compact"/>
              <w:jc w:val="left"/>
            </w:pPr>
            <w:r>
              <w:t xml:space="preserve">Zhu (Tian: kredit indeksi, Vasicek); Todd va boshq. (model cheklovlari buferi); Tutino (Beccalli: barqarorlashtiruvchi ROA); Lavrushin 2014 (stress-ssenariy parametrlari); Berdiyarov (ARIMA prognozi)</w:t>
            </w:r>
          </w:p>
        </w:tc>
      </w:tr>
    </w:tbl>
    <w:bookmarkEnd w:id="20"/>
    <w:bookmarkStart w:id="21" w:name="mbii-uchun-eng-muhim-topilmalar"/>
    <w:p>
      <w:pPr>
        <w:pStyle w:val="Heading2"/>
      </w:pPr>
      <w:r>
        <w:t xml:space="preserve">MBII uchun eng muhim topilmalar</w:t>
      </w:r>
    </w:p>
    <w:p>
      <w:pPr>
        <w:numPr>
          <w:ilvl w:val="0"/>
          <w:numId w:val="1001"/>
        </w:numPr>
        <w:pStyle w:val="Compact"/>
      </w:pPr>
      <w:r>
        <w:rPr>
          <w:bCs/>
          <w:b/>
        </w:rPr>
        <w:t xml:space="preserve">Vaznlar.</w:t>
      </w:r>
      <w:r>
        <w:t xml:space="preserve"> </w:t>
      </w:r>
      <w:r>
        <w:t xml:space="preserve">Lavrushin–Mamonova vaznlarni «eng munozarali va sub’ektiv» deb tan oladi, lekin boshqa yo‘l yo‘qligini ta’kidlaydi (p.68). Lavrushin 2014 «vaznlarni aniqlash reytingning eng asosiy masalasi» deydi (p.51). Izzi vaznlarni logit-regressiya orqali normallashtirish usulini beradi (α_j = β_j/Σβ, p.76). Karaliyev–Sayfiddinov O‘zbekiston CAMEL tajribasi uchun C 23%, A 37%, E 25%, L 15% vaznlarini keltiradi (p.213; OCR bo‘yicha talqini aniqlashtirilishi kerak). Bu MBII vaznlarini (0,2/0,3/0,25/0,15/0,1) solishtirish uchun asos.</w:t>
      </w:r>
    </w:p>
    <w:p>
      <w:pPr>
        <w:numPr>
          <w:ilvl w:val="0"/>
          <w:numId w:val="1001"/>
        </w:numPr>
        <w:pStyle w:val="Compact"/>
      </w:pPr>
      <w:r>
        <w:rPr>
          <w:bCs/>
          <w:b/>
        </w:rPr>
        <w:t xml:space="preserve">Chegaralar.</w:t>
      </w:r>
      <w:r>
        <w:t xml:space="preserve"> </w:t>
      </w:r>
      <w:r>
        <w:t xml:space="preserve">Rossiya Banki N1 uchun ≥14 / 12 / 11,1 shkalasini, CAMELS va Rossiya Banki aktivlar sifati shkalalarini (&lt;5/15/30/50 va ≤4/8/15) ishlatadi (Lavrushin–Mamonova, 4.1–4.2-jadvallar). AQSh PCA: 10/8/6/2% (Cargill). CCB foydani saqlash shkalasi: 5,125/5,75/6,375/7% (Tian). Bularning hammasi «normativ = ball chegarasi» tamoyilini tasdiqlaydi.</w:t>
      </w:r>
    </w:p>
    <w:p>
      <w:pPr>
        <w:numPr>
          <w:ilvl w:val="0"/>
          <w:numId w:val="1001"/>
        </w:numPr>
        <w:pStyle w:val="Compact"/>
      </w:pPr>
      <w:r>
        <w:rPr>
          <w:bCs/>
          <w:b/>
        </w:rPr>
        <w:t xml:space="preserve">Integral ko‘rsatkich zarurati.</w:t>
      </w:r>
      <w:r>
        <w:t xml:space="preserve"> </w:t>
      </w:r>
      <w:r>
        <w:t xml:space="preserve">Lavrushin 2014 makro ko‘rsatkichlar «mezoniy qiymatga va integral ko‘rsatkichga ega bo‘lishi kerak» deb yozadi (p.47). Berdiyarov va Karaliyev–Sayfiddinov kitoblarida integral indeks yo‘q, faqat alohida koeffitsiyentlar tahlil qilingan. Bu MBII yangiligini asoslaydi.</w:t>
      </w:r>
    </w:p>
    <w:p>
      <w:pPr>
        <w:numPr>
          <w:ilvl w:val="0"/>
          <w:numId w:val="1001"/>
        </w:numPr>
        <w:pStyle w:val="Compact"/>
      </w:pPr>
      <w:r>
        <w:rPr>
          <w:bCs/>
          <w:b/>
        </w:rPr>
        <w:t xml:space="preserve">Bashorat kuchini tekshirish.</w:t>
      </w:r>
      <w:r>
        <w:t xml:space="preserve"> </w:t>
      </w:r>
      <w:r>
        <w:t xml:space="preserve">Probit/logit modeli, bir yillik lag, I va II tur xatolari, AUROC, AR = 2·AUROC − 1, out-of-sample tekshiruv (Chiaramonte–Poli, Izzi, Karminskiy). Z-score oddiy, lekin ishonchli benchmark sifatida tavsiya etiladi.</w:t>
      </w:r>
    </w:p>
    <w:p>
      <w:pPr>
        <w:numPr>
          <w:ilvl w:val="0"/>
          <w:numId w:val="1001"/>
        </w:numPr>
        <w:pStyle w:val="Compact"/>
      </w:pPr>
      <w:r>
        <w:rPr>
          <w:bCs/>
          <w:b/>
        </w:rPr>
        <w:t xml:space="preserve">Davlat banklari.</w:t>
      </w:r>
      <w:r>
        <w:t xml:space="preserve"> </w:t>
      </w:r>
      <w:r>
        <w:t xml:space="preserve">Davlat qo‘llovi ta’sirida tashqi reytinglar yuqori chiqadi, shuning uchun bankning «stand-alone» barqarorligini alohida baholash kerak (Izzi, Langohr, Karminskiy). Ijtimoiy kreditlash mandati CAMEL bahosini yomonlashtiradi (Hendrickson). Bu SQB va Mikrokreditbank uchun MBII ni alohida talqin qilishni asoslaydi.</w:t>
      </w:r>
    </w:p>
    <w:p>
      <w:pPr>
        <w:numPr>
          <w:ilvl w:val="0"/>
          <w:numId w:val="1001"/>
        </w:numPr>
        <w:pStyle w:val="Compact"/>
      </w:pPr>
      <w:r>
        <w:rPr>
          <w:bCs/>
          <w:b/>
        </w:rPr>
        <w:t xml:space="preserve">MSFO va milliy hisobot farqi.</w:t>
      </w:r>
      <w:r>
        <w:t xml:space="preserve"> </w:t>
      </w:r>
      <w:r>
        <w:t xml:space="preserve">Bir bank 2015 yilda milliy hisobotda 63,7 mlrd rubl zarar, MSFO bo‘yicha esa 4,35 mlrd rubl foyda ko‘rsatgan (Sokolinskaya, p.85–87). MSFO 9 ga o‘tilganda zaxiralar kreditlarning 19,1% iga yetishi mumkin (p.108). Bu ΔMBII ko‘rsatkichi uchun bevosita empirik dalil.</w:t>
      </w:r>
    </w:p>
    <w:bookmarkEnd w:id="21"/>
    <w:bookmarkStart w:id="22" w:name="eslatmalar"/>
    <w:p>
      <w:pPr>
        <w:pStyle w:val="Heading2"/>
      </w:pPr>
      <w:r>
        <w:t xml:space="preserve">Eslatmalar</w:t>
      </w:r>
    </w:p>
    <w:p>
      <w:pPr>
        <w:numPr>
          <w:ilvl w:val="0"/>
          <w:numId w:val="1002"/>
        </w:numPr>
        <w:pStyle w:val="Compact"/>
      </w:pPr>
      <w:r>
        <w:t xml:space="preserve">Sokolinskaya va «Bazel III ga moslashtirish» kitoblarining skanida titul sahifasi yo‘q, nashr yillari matndagi manbalar bo‘yicha taxmin qilingan (2018-yil va keyin, 2017-yil va keyin). Afanasyeva–Dubova kitobi ham 2016–2017-yil manbalariga tayanadi. Iqtibos keltirishdan oldin kutubxona katalogi bo‘yicha tekshirilsin.</w:t>
      </w:r>
    </w:p>
    <w:p>
      <w:pPr>
        <w:numPr>
          <w:ilvl w:val="0"/>
          <w:numId w:val="1002"/>
        </w:numPr>
        <w:pStyle w:val="Compact"/>
      </w:pPr>
      <w:r>
        <w:t xml:space="preserve">Modina kitobidagi IRB korrelyatsiya formulasi va Tian kitobidagi ikki sana xato bosilgan; BCBS asl matni bilan tekshirilsin.</w:t>
      </w:r>
    </w:p>
    <w:bookmarkEnd w:id="22"/>
    <w:bookmarkEnd w:id="23"/>
    <w:bookmarkStart w:id="79" w:name="i.-rus-va-ozbek-tilidagi-kitoblar"/>
    <w:p>
      <w:pPr>
        <w:pStyle w:val="Heading1"/>
      </w:pPr>
      <w:r>
        <w:t xml:space="preserve">I. Rus va o‘zbek tilidagi kitoblar</w:t>
      </w:r>
    </w:p>
    <w:bookmarkStart w:id="33" w:name="Xf8fc4d9bf89426f9b04858c7c19d2c195bab3af"/>
    <w:p>
      <w:pPr>
        <w:pStyle w:val="Heading2"/>
      </w:pPr>
      <w:r>
        <w:t xml:space="preserve">1. Lavrushin O.I., Mamonova I.D. (tahr.) «Оценка финансовой устойчивости кредитной организации» (KNORUS, 2011)</w:t>
      </w:r>
    </w:p>
    <w:p>
      <w:pPr>
        <w:pStyle w:val="FirstParagraph"/>
      </w:pPr>
      <w:r>
        <w:rPr>
          <w:bCs/>
          <w:b/>
        </w:rPr>
        <w:t xml:space="preserve">Bibliografiya:</w:t>
      </w:r>
      <w:r>
        <w:t xml:space="preserve"> </w:t>
      </w:r>
      <w:r>
        <w:t xml:space="preserve">Оценка финансовой устойчивости кредитной организации: учебник / под ред. О.И. Лаврушина, И.Д. Мамоновой. — М.: КНОРУС, 2011. — 304 с.</w:t>
      </w:r>
    </w:p>
    <w:p>
      <w:pPr>
        <w:pStyle w:val="BodyText"/>
      </w:pPr>
      <w:r>
        <w:t xml:space="preserve">Matn skanerdan olingan va OCR orqali o‘qilgan. PDF sahifa raqami bosma sahifaga to‘g‘ri keladi (siljish 0). Topshiriqda 1-bob p.3 dan deyilgan, aslida</w:t>
      </w:r>
      <w:r>
        <w:t xml:space="preserve"> </w:t>
      </w:r>
      <w:r>
        <w:rPr>
          <w:bCs/>
          <w:b/>
        </w:rPr>
        <w:t xml:space="preserve">p.13–46</w:t>
      </w:r>
      <w:r>
        <w:t xml:space="preserve">. Barcha jadvallar (3.1, 4.1, 4.2, 4.4–4.8) sahifa tasviri bilan solishtirib tekshirildi. [OCR?] belgisi — qiymat noaniq ekanini bildiradi.</w:t>
      </w:r>
    </w:p>
    <w:bookmarkStart w:id="24" w:name="Xd3c82e5623318cbc7e568b54bcad2551b82ad5e"/>
    <w:p>
      <w:pPr>
        <w:pStyle w:val="Heading3"/>
      </w:pPr>
      <w:r>
        <w:t xml:space="preserve">1-bob. Moliyaviy barqarorlik mazmuni (p.13–46)</w:t>
      </w:r>
    </w:p>
    <w:p>
      <w:pPr>
        <w:numPr>
          <w:ilvl w:val="0"/>
          <w:numId w:val="1003"/>
        </w:numPr>
        <w:pStyle w:val="Compact"/>
      </w:pPr>
      <w:r>
        <w:rPr>
          <w:bCs/>
          <w:b/>
        </w:rPr>
        <w:t xml:space="preserve">Barqarorlik va stabillik farqi (p.14–15).</w:t>
      </w:r>
      <w:r>
        <w:t xml:space="preserve"> </w:t>
      </w:r>
      <w:r>
        <w:t xml:space="preserve">Fetisovga tayaniladi: stabillik — statika, ya’ni holat saqlanishi. Barqarorlik — dinamika, ya’ni progressga harakat. Barqarorlik natija, stabillik esa uning sababi (sharti). Mualliflar 5 xulosa chiqaradi: barqarorlik jarayonga xos (bankning xossasi emas), har doim ijobiy, kompleks xarakteristika va kengaytirilgan takror ishlab chiqarishni ifodalaydi.</w:t>
      </w:r>
    </w:p>
    <w:p>
      <w:pPr>
        <w:numPr>
          <w:ilvl w:val="0"/>
          <w:numId w:val="1003"/>
        </w:numPr>
        <w:pStyle w:val="Compact"/>
      </w:pPr>
      <w:r>
        <w:rPr>
          <w:bCs/>
          <w:b/>
        </w:rPr>
        <w:t xml:space="preserve">Barqarorlik turlari (p.17–20, rasm 1.1):</w:t>
      </w:r>
      <w:r>
        <w:t xml:space="preserve"> </w:t>
      </w:r>
      <w:r>
        <w:t xml:space="preserve">iqtisodiy, siyosiy, ma’naviy, faoliyat yo‘nalishlari bo‘yicha, operatsion, vaqt bo‘yicha (uzoq va qisqa muddatli; qisqa muddatlisi «xayoliy» deb ataladi), kadrlar va tashkiliy barqarorlik. Moliyaviy barqarorlik alohida va</w:t>
      </w:r>
      <w:r>
        <w:t xml:space="preserve"> </w:t>
      </w:r>
      <w:r>
        <w:rPr>
          <w:bCs/>
          <w:b/>
        </w:rPr>
        <w:t xml:space="preserve">asosiy</w:t>
      </w:r>
      <w:r>
        <w:t xml:space="preserve"> </w:t>
      </w:r>
      <w:r>
        <w:t xml:space="preserve">tur hisoblanadi (p.21, 24). Turlar orasida ziddiyat chiqsa, moliyaviy barqarorlik ustun qo‘yiladi (p.28).</w:t>
      </w:r>
    </w:p>
    <w:p>
      <w:pPr>
        <w:numPr>
          <w:ilvl w:val="0"/>
          <w:numId w:val="1003"/>
        </w:numPr>
        <w:pStyle w:val="Compact"/>
      </w:pPr>
      <w:r>
        <w:rPr>
          <w:bCs/>
          <w:b/>
        </w:rPr>
        <w:t xml:space="preserve">Ta’rif (p.24):</w:t>
      </w:r>
      <w:r>
        <w:t xml:space="preserve"> </w:t>
      </w:r>
      <w:r>
        <w:t xml:space="preserve">bankning moliyaviy barqarorligi — o‘z moliyasini va boshqa sub’ektlar moliyasini kengaytirilgan asosda ko‘paytirish. Uni aktiv va passivlar muvozanati bilan emas, bankning o‘z moliyasi (kapital, foyda, rezervlar, fondlar) barqarorligi bilan bog‘lash kerak (p.22–24).</w:t>
      </w:r>
    </w:p>
    <w:p>
      <w:pPr>
        <w:numPr>
          <w:ilvl w:val="0"/>
          <w:numId w:val="1003"/>
        </w:numPr>
        <w:pStyle w:val="Compact"/>
      </w:pPr>
      <w:r>
        <w:rPr>
          <w:bCs/>
          <w:b/>
        </w:rPr>
        <w:t xml:space="preserve">Belgilar (p.28–31):</w:t>
      </w:r>
    </w:p>
    <w:p>
      <w:pPr>
        <w:numPr>
          <w:ilvl w:val="1"/>
          <w:numId w:val="1004"/>
        </w:numPr>
        <w:pStyle w:val="Compact"/>
      </w:pPr>
      <w:r>
        <w:t xml:space="preserve">moliyaviy faoliyatning uzluksiz ijobiy dinamikasi (inqirozdan keyingi bir martalik o‘sish bunga kirmaydi);</w:t>
      </w:r>
    </w:p>
    <w:p>
      <w:pPr>
        <w:numPr>
          <w:ilvl w:val="1"/>
          <w:numId w:val="1004"/>
        </w:numPr>
        <w:pStyle w:val="Compact"/>
      </w:pPr>
      <w:r>
        <w:t xml:space="preserve">kapital, rezerv va foydaning muvozanatli o‘sishi (rezervlar o‘sishi inqiroz signali ham bo‘lishi mumkin);</w:t>
      </w:r>
    </w:p>
    <w:p>
      <w:pPr>
        <w:numPr>
          <w:ilvl w:val="1"/>
          <w:numId w:val="1004"/>
        </w:numPr>
        <w:pStyle w:val="Compact"/>
      </w:pPr>
      <w:r>
        <w:t xml:space="preserve">sifatning yaxshilanishi;</w:t>
      </w:r>
    </w:p>
    <w:p>
      <w:pPr>
        <w:numPr>
          <w:ilvl w:val="1"/>
          <w:numId w:val="1004"/>
        </w:numPr>
        <w:pStyle w:val="Compact"/>
      </w:pPr>
      <w:r>
        <w:t xml:space="preserve">bir tekis rivojlanish (keskin o‘sish xavfli);</w:t>
      </w:r>
    </w:p>
    <w:p>
      <w:pPr>
        <w:numPr>
          <w:ilvl w:val="1"/>
          <w:numId w:val="1004"/>
        </w:numPr>
        <w:pStyle w:val="Compact"/>
      </w:pPr>
      <w:r>
        <w:t xml:space="preserve">diversifikatsiya, muddatlar mosligi, majburiyatlarning o‘z vaqtida bajarilishi, obro‘ va shaffoflik.</w:t>
      </w:r>
    </w:p>
    <w:p>
      <w:pPr>
        <w:numPr>
          <w:ilvl w:val="0"/>
          <w:numId w:val="1003"/>
        </w:numPr>
        <w:pStyle w:val="Compact"/>
      </w:pPr>
      <w:r>
        <w:rPr>
          <w:bCs/>
          <w:b/>
        </w:rPr>
        <w:t xml:space="preserve">Tashqi omillar, 10 ta (p.31–36):</w:t>
      </w:r>
      <w:r>
        <w:t xml:space="preserve"> </w:t>
      </w:r>
      <w:r>
        <w:t xml:space="preserve">makroiqtisodiyot (YaIM, byudjet, iqtisodiy sikl, soliq), davlat maqsadli mo‘ljallari, talab va to‘lov qobiliyati, pul bozori, pul muomalasi (inflyatsiya), raqobat, bank tizimi holati, qonunchilik, infratuzilma,</w:t>
      </w:r>
      <w:r>
        <w:t xml:space="preserve"> </w:t>
      </w:r>
      <w:r>
        <w:rPr>
          <w:bCs/>
          <w:b/>
        </w:rPr>
        <w:t xml:space="preserve">ishonch</w:t>
      </w:r>
      <w:r>
        <w:t xml:space="preserve"> </w:t>
      </w:r>
      <w:r>
        <w:t xml:space="preserve">(«fundamental omil»).</w:t>
      </w:r>
    </w:p>
    <w:p>
      <w:pPr>
        <w:numPr>
          <w:ilvl w:val="0"/>
          <w:numId w:val="1003"/>
        </w:numPr>
        <w:pStyle w:val="Compact"/>
      </w:pPr>
      <w:r>
        <w:rPr>
          <w:bCs/>
          <w:b/>
        </w:rPr>
        <w:t xml:space="preserve">Ichki omillar, 9 ta (p.37–41):</w:t>
      </w:r>
      <w:r>
        <w:t xml:space="preserve"> </w:t>
      </w:r>
      <w:r>
        <w:t xml:space="preserve">strategiya va prognoz, miqdor va sifat ko‘rsatkichlarining o‘sishi (ROA, ROE), resurs mobilizatsiyasi va likvidlik, risklarga qarshi turish (risk kapitaldan oshmasligi kerak), xarajatlarni tejash, ichki infratuzilma va kadrlar, marketing va boshqaruv, texnologiyalar, ish tashkiloti.</w:t>
      </w:r>
    </w:p>
    <w:p>
      <w:pPr>
        <w:numPr>
          <w:ilvl w:val="0"/>
          <w:numId w:val="1003"/>
        </w:numPr>
        <w:pStyle w:val="Compact"/>
      </w:pPr>
      <w:r>
        <w:rPr>
          <w:bCs/>
          <w:b/>
        </w:rPr>
        <w:t xml:space="preserve">Bank va tizim (p.41–45):</w:t>
      </w:r>
      <w:r>
        <w:t xml:space="preserve"> </w:t>
      </w:r>
      <w:r>
        <w:t xml:space="preserve">tizim ko‘rsatkichlari banklarning oddiy yig‘indisi emas. Agregat ma’lumotlar «bank sektori»ga taalluqli, chunki tizimga markaziy bank ham kiradi. Bank uchun tashqi bo‘lgan omil tizim uchun ichki omil bo‘ladi. AQSh ma’lumotlariga ko‘ra barqarorlik pasayishining sabablari (p.44): aktivlar sifati yomonligi 98%, rejalashtirish va boshqaruv zaifligi 90%, ichki audit yo‘qligi 25%, firibgarlik 11%.</w:t>
      </w:r>
    </w:p>
    <w:p>
      <w:pPr>
        <w:numPr>
          <w:ilvl w:val="0"/>
          <w:numId w:val="1003"/>
        </w:numPr>
        <w:pStyle w:val="Compact"/>
      </w:pPr>
      <w:r>
        <w:rPr>
          <w:bCs/>
          <w:b/>
        </w:rPr>
        <w:t xml:space="preserve">Erta ogohlantirish signallari (p.45):</w:t>
      </w:r>
      <w:r>
        <w:t xml:space="preserve"> </w:t>
      </w:r>
      <w:r>
        <w:t xml:space="preserve">aktivlar daromadliligining tushishi; kredit portfelining keskin o‘sishi; depozitlarning qisqarishi va stavkalarning oshishi;</w:t>
      </w:r>
      <w:r>
        <w:t xml:space="preserve"> </w:t>
      </w:r>
      <w:r>
        <w:rPr>
          <w:bCs/>
          <w:b/>
        </w:rPr>
        <w:t xml:space="preserve">umidsiz kreditlar ulushi 5% dan oshishi</w:t>
      </w:r>
      <w:r>
        <w:t xml:space="preserve">; MBK narxining o‘sishi; uzoq muddatli xorijiy kreditlar; aktiv narxlarining real qiymatdan oshishi.</w:t>
      </w:r>
    </w:p>
    <w:bookmarkEnd w:id="24"/>
    <w:bookmarkStart w:id="25" w:name="bob.-metodologik-yondashuvlar-p.4774"/>
    <w:p>
      <w:pPr>
        <w:pStyle w:val="Heading3"/>
      </w:pPr>
      <w:r>
        <w:t xml:space="preserve">2-bob. Metodologik yondashuvlar (p.47–74)</w:t>
      </w:r>
    </w:p>
    <w:p>
      <w:pPr>
        <w:numPr>
          <w:ilvl w:val="0"/>
          <w:numId w:val="1005"/>
        </w:numPr>
        <w:pStyle w:val="Compact"/>
      </w:pPr>
      <w:r>
        <w:rPr>
          <w:bCs/>
          <w:b/>
        </w:rPr>
        <w:t xml:space="preserve">Baholash tizimi elementlari (p.48–52):</w:t>
      </w:r>
      <w:r>
        <w:t xml:space="preserve"> </w:t>
      </w:r>
      <w:r>
        <w:t xml:space="preserve">sub’ekt (nazorat organi, reyting agentligi, auditor, sherik banklar, mijozlar, bankning o‘zi), ob’ekt, normativ-huquqiy asos, mexanizm (vositalar, protseduralar, tashkiliy choralar) va yig‘ma baho turlari (formallashgan — reyting yoki ball; formallashmagan).</w:t>
      </w:r>
    </w:p>
    <w:p>
      <w:pPr>
        <w:numPr>
          <w:ilvl w:val="0"/>
          <w:numId w:val="1005"/>
        </w:numPr>
        <w:pStyle w:val="Compact"/>
      </w:pPr>
      <w:r>
        <w:rPr>
          <w:bCs/>
          <w:b/>
        </w:rPr>
        <w:t xml:space="preserve">Moliyaviy holat va moliyaviy barqarorlik (p.49–50).</w:t>
      </w:r>
      <w:r>
        <w:t xml:space="preserve"> </w:t>
      </w:r>
      <w:r>
        <w:t xml:space="preserve">Moliyaviy holat — ma’lum sanadagi statik baho. Barqarorlik — dinamik «moliyaviy mustahkamlik zaxirasi». U ikki shartga tayanadi: oqim va natijalarning</w:t>
      </w:r>
      <w:r>
        <w:t xml:space="preserve"> </w:t>
      </w:r>
      <w:r>
        <w:rPr>
          <w:bCs/>
          <w:b/>
        </w:rPr>
        <w:t xml:space="preserve">stabilligi</w:t>
      </w:r>
      <w:r>
        <w:t xml:space="preserve"> </w:t>
      </w:r>
      <w:r>
        <w:t xml:space="preserve">hamda tizim elementlarining</w:t>
      </w:r>
      <w:r>
        <w:t xml:space="preserve"> </w:t>
      </w:r>
      <w:r>
        <w:rPr>
          <w:bCs/>
          <w:b/>
        </w:rPr>
        <w:t xml:space="preserve">muvozanati</w:t>
      </w:r>
      <w:r>
        <w:t xml:space="preserve">. To‘liq barqarorlik bahosini faqat bankning o‘zi, regulyator va qisman reyting agentligi bera oladi.</w:t>
      </w:r>
    </w:p>
    <w:p>
      <w:pPr>
        <w:numPr>
          <w:ilvl w:val="0"/>
          <w:numId w:val="1005"/>
        </w:numPr>
        <w:pStyle w:val="Compact"/>
      </w:pPr>
      <w:r>
        <w:rPr>
          <w:bCs/>
          <w:b/>
        </w:rPr>
        <w:t xml:space="preserve">Model tasnifi (p.54–57):</w:t>
      </w:r>
    </w:p>
    <w:p>
      <w:pPr>
        <w:numPr>
          <w:ilvl w:val="1"/>
          <w:numId w:val="1006"/>
        </w:numPr>
        <w:pStyle w:val="Compact"/>
      </w:pPr>
      <w:r>
        <w:t xml:space="preserve">maqsadi bo‘yicha: komponentlar modeli (CAMELS) yoki risk modeli (BAITE);</w:t>
      </w:r>
    </w:p>
    <w:p>
      <w:pPr>
        <w:numPr>
          <w:ilvl w:val="1"/>
          <w:numId w:val="1006"/>
        </w:numPr>
        <w:pStyle w:val="Compact"/>
      </w:pPr>
      <w:r>
        <w:t xml:space="preserve">yig‘ma bahoni shakllantirish usuli bo‘yicha: reyting (AQSh), ekspert (Angliya) yoki aralash (Rossiya Banki);</w:t>
      </w:r>
    </w:p>
    <w:p>
      <w:pPr>
        <w:numPr>
          <w:ilvl w:val="1"/>
          <w:numId w:val="1006"/>
        </w:numPr>
        <w:pStyle w:val="Compact"/>
      </w:pPr>
      <w:r>
        <w:t xml:space="preserve">o‘rganish usuli bo‘yicha: statistik (masofaviy, 2–3 yillik prognoz) yoki analitik;</w:t>
      </w:r>
    </w:p>
    <w:p>
      <w:pPr>
        <w:numPr>
          <w:ilvl w:val="1"/>
          <w:numId w:val="1006"/>
        </w:numPr>
        <w:pStyle w:val="Compact"/>
      </w:pPr>
      <w:r>
        <w:t xml:space="preserve">shaffoflik bo‘yicha: ochiq yoki yopiq.</w:t>
      </w:r>
    </w:p>
    <w:p>
      <w:pPr>
        <w:numPr>
          <w:ilvl w:val="0"/>
          <w:numId w:val="1005"/>
        </w:numPr>
        <w:pStyle w:val="Compact"/>
      </w:pPr>
      <w:r>
        <w:rPr>
          <w:bCs/>
          <w:b/>
        </w:rPr>
        <w:t xml:space="preserve">Stabillik va muvozanat (p.57–61).</w:t>
      </w:r>
      <w:r>
        <w:t xml:space="preserve"> </w:t>
      </w:r>
      <w:r>
        <w:t xml:space="preserve">Stabillik 3–5 yillik dinamika orqali tekshiriladi: aniq trend bo‘lishi va keskin qarama-qarshi tebranishlar bo‘lmasligi kerak. Iqtisodiy muvozanat: kreditlar o‘sishi depozitlar, kapital, rezervlar va foyda o‘sishi bilan birga borishi lozim.</w:t>
      </w:r>
    </w:p>
    <w:p>
      <w:pPr>
        <w:numPr>
          <w:ilvl w:val="0"/>
          <w:numId w:val="1005"/>
        </w:numPr>
        <w:pStyle w:val="Compact"/>
      </w:pPr>
      <w:r>
        <w:rPr>
          <w:bCs/>
          <w:b/>
        </w:rPr>
        <w:t xml:space="preserve">4 bosqich (p.62–65):</w:t>
      </w:r>
      <w:r>
        <w:t xml:space="preserve"> </w:t>
      </w:r>
      <w:r>
        <w:t xml:space="preserve">ma’lumot yig‘ish → jadvallar tuzish (kamida 2–3 yillik dinamika, bir turdagi banklar bilan solishtirish) → tahlil → xulosa. Formal ballga albatta</w:t>
      </w:r>
      <w:r>
        <w:t xml:space="preserve"> </w:t>
      </w:r>
      <w:r>
        <w:rPr>
          <w:bCs/>
          <w:b/>
        </w:rPr>
        <w:t xml:space="preserve">asoslangan mulohaza</w:t>
      </w:r>
      <w:r>
        <w:t xml:space="preserve"> </w:t>
      </w:r>
      <w:r>
        <w:t xml:space="preserve">(motivированное суждение) ilova qilinadi.</w:t>
      </w:r>
    </w:p>
    <w:p>
      <w:pPr>
        <w:numPr>
          <w:ilvl w:val="0"/>
          <w:numId w:val="1005"/>
        </w:numPr>
        <w:pStyle w:val="Compact"/>
      </w:pPr>
      <w:r>
        <w:rPr>
          <w:bCs/>
          <w:b/>
        </w:rPr>
        <w:t xml:space="preserve">2.5 Yig‘ma baho (p.65–69).</w:t>
      </w:r>
      <w:r>
        <w:t xml:space="preserve"> </w:t>
      </w:r>
      <w:r>
        <w:t xml:space="preserve">MSFO tamoyillari qo‘llaniladi: mazmunning shakldan ustunligi, ehtiyotkorlik (ssenariy yondashuvi), muhimlik. Muhim og‘ishlarga misollar: N1 normativi bajarilmasligi (ozgina bo‘lsa ham), kapitalning absolyut kamayishi, kapital va risklarning qarama-qarshi trendi.</w:t>
      </w:r>
    </w:p>
    <w:p>
      <w:pPr>
        <w:numPr>
          <w:ilvl w:val="1"/>
          <w:numId w:val="1007"/>
        </w:numPr>
        <w:pStyle w:val="Compact"/>
      </w:pPr>
      <w:r>
        <w:t xml:space="preserve">Bosqichlar: (1) har bir komponentni mezon qiymatlariga, dinamikaga va omillar tahliliga qarab ballash; (2)</w:t>
      </w:r>
      <w:r>
        <w:t xml:space="preserve"> </w:t>
      </w:r>
      <w:r>
        <w:rPr>
          <w:bCs/>
          <w:b/>
        </w:rPr>
        <w:t xml:space="preserve">vazn koeffitsiyentlari</w:t>
      </w:r>
      <w:r>
        <w:t xml:space="preserve">: Rossiya Bankida N1 vazni 3, kapital sifati vazni 1. Vaznlar «eng munozarali va sub’ektiv» deb tan olinadi, lekin boshqa yo‘l yo‘q; (3) banklarni guruhlarga ajratish (p.68).</w:t>
      </w:r>
    </w:p>
    <w:p>
      <w:pPr>
        <w:numPr>
          <w:ilvl w:val="1"/>
          <w:numId w:val="1007"/>
        </w:numPr>
        <w:pStyle w:val="Compact"/>
      </w:pPr>
      <w:r>
        <w:t xml:space="preserve">Rossiya Banki 2008-yil 2-yarmidan boshlab foyda va kapital prognozini kiritgan (kamida 2 yillik ma’lumot asosida). AQShda 2 yil ichida reyting pasayishi va bankrotlikni bashorat qiluvchi modellar ishlatiladi (p.69).</w:t>
      </w:r>
    </w:p>
    <w:bookmarkEnd w:id="25"/>
    <w:bookmarkStart w:id="26" w:name="camels-p.7792"/>
    <w:p>
      <w:pPr>
        <w:pStyle w:val="Heading3"/>
      </w:pPr>
      <w:r>
        <w:t xml:space="preserve">3.1 CAMELS (p.77–92)</w:t>
      </w:r>
    </w:p>
    <w:p>
      <w:pPr>
        <w:numPr>
          <w:ilvl w:val="0"/>
          <w:numId w:val="1008"/>
        </w:numPr>
        <w:pStyle w:val="Compact"/>
      </w:pPr>
      <w:r>
        <w:rPr>
          <w:bCs/>
          <w:b/>
        </w:rPr>
        <w:t xml:space="preserve">Kapital, jadval 3.1 (p.80):</w:t>
      </w:r>
    </w:p>
    <w:p>
      <w:pPr>
        <w:numPr>
          <w:ilvl w:val="1"/>
          <w:numId w:val="1009"/>
        </w:numPr>
        <w:pStyle w:val="Compact"/>
      </w:pPr>
      <w:r>
        <w:t xml:space="preserve">1-reyting: Tier 1 kapital koeffitsiyenti 4% dan «ancha yuqori», umumiy kapital koeffitsiyenti 8% dan «ancha yuqori»; aktivlar sifati reytingi 2 dan yomon emas; riskli aktivlar koeffitsiyenti ≤11%;</w:t>
      </w:r>
    </w:p>
    <w:p>
      <w:pPr>
        <w:numPr>
          <w:ilvl w:val="1"/>
          <w:numId w:val="1009"/>
        </w:numPr>
        <w:pStyle w:val="Compact"/>
      </w:pPr>
      <w:r>
        <w:t xml:space="preserve">3-reyting: koeffitsiyentlar 4% va 8% atrofida;</w:t>
      </w:r>
    </w:p>
    <w:p>
      <w:pPr>
        <w:numPr>
          <w:ilvl w:val="1"/>
          <w:numId w:val="1009"/>
        </w:numPr>
        <w:pStyle w:val="Compact"/>
      </w:pPr>
      <w:r>
        <w:t xml:space="preserve">4-reyting: «biroz past»; zaxiralar dastlabki kapitaldan oshadi;</w:t>
      </w:r>
    </w:p>
    <w:p>
      <w:pPr>
        <w:numPr>
          <w:ilvl w:val="1"/>
          <w:numId w:val="1009"/>
        </w:numPr>
        <w:pStyle w:val="Compact"/>
      </w:pPr>
      <w:r>
        <w:t xml:space="preserve">5-reyting: «ancha past»; zararlar kapitaldan oshadi.</w:t>
      </w:r>
    </w:p>
    <w:p>
      <w:pPr>
        <w:numPr>
          <w:ilvl w:val="1"/>
          <w:numId w:val="1009"/>
        </w:numPr>
        <w:pStyle w:val="Compact"/>
      </w:pPr>
      <w:r>
        <w:t xml:space="preserve">Leverage (Tier 1 / aktivlar) ≥3%. Qo‘shimcha kapital : asosiy kapital ≤ 1:1 (p.79).</w:t>
      </w:r>
    </w:p>
    <w:p>
      <w:pPr>
        <w:numPr>
          <w:ilvl w:val="0"/>
          <w:numId w:val="1008"/>
        </w:numPr>
        <w:pStyle w:val="Compact"/>
      </w:pPr>
      <w:r>
        <w:rPr>
          <w:bCs/>
          <w:b/>
        </w:rPr>
        <w:t xml:space="preserve">Aktivlar sifati (p.81–82).</w:t>
      </w:r>
      <w:r>
        <w:t xml:space="preserve"> </w:t>
      </w:r>
      <w:r>
        <w:t xml:space="preserve">Formula: SR = nostandart×0,2 + shubhali×0,5 + zararli×1,0. Ko‘rsatkich = SR / (kapital + rezervlar) × 100. Jadval 3.2 shkalasi: &lt;5; 5–15; 15–30; 30–50; ≥50%.</w:t>
      </w:r>
    </w:p>
    <w:p>
      <w:pPr>
        <w:numPr>
          <w:ilvl w:val="0"/>
          <w:numId w:val="1008"/>
        </w:numPr>
        <w:pStyle w:val="Compact"/>
      </w:pPr>
      <w:r>
        <w:rPr>
          <w:bCs/>
          <w:b/>
        </w:rPr>
        <w:t xml:space="preserve">Rentabellik (ROA), jadval 3.3 (p.84–85):</w:t>
      </w:r>
      <w:r>
        <w:t xml:space="preserve"> </w:t>
      </w:r>
      <w:r>
        <w:t xml:space="preserve">&gt;1% (1-reyting); 0,75–1; 0,5–0,75; 0,25–0,5; &lt;0,25% yoki zarar (5-reyting). Normativ bank guruhlari (aktivlar &lt;100 mln, 100–300 mln, 300 mln–1 mlrd, 1–5 mlrd, &gt;5 mlrd dollar) bo‘yicha 3 yillik o‘rtacha qiymatdan aniqlanadi; foizli taqsimot 15/50/20/15 (p.83).</w:t>
      </w:r>
    </w:p>
    <w:p>
      <w:pPr>
        <w:numPr>
          <w:ilvl w:val="0"/>
          <w:numId w:val="1008"/>
        </w:numPr>
        <w:pStyle w:val="Compact"/>
      </w:pPr>
      <w:r>
        <w:rPr>
          <w:bCs/>
          <w:b/>
        </w:rPr>
        <w:t xml:space="preserve">Likvidlik (p.85–88).</w:t>
      </w:r>
      <w:r>
        <w:t xml:space="preserve"> </w:t>
      </w:r>
      <w:r>
        <w:t xml:space="preserve">Mezon qiymatlari yo‘q, baho boshqaruv sifatiga qarab beriladi. «Asosiy» (core) depozitlar ≥75% bo‘lishi norma hisoblanadi.</w:t>
      </w:r>
    </w:p>
    <w:p>
      <w:pPr>
        <w:numPr>
          <w:ilvl w:val="0"/>
          <w:numId w:val="1008"/>
        </w:numPr>
        <w:pStyle w:val="Compact"/>
      </w:pPr>
      <w:r>
        <w:rPr>
          <w:bCs/>
          <w:b/>
        </w:rPr>
        <w:t xml:space="preserve">Menejment (p.88–90).</w:t>
      </w:r>
      <w:r>
        <w:t xml:space="preserve"> </w:t>
      </w:r>
      <w:r>
        <w:t xml:space="preserve">Dastlab boshqa komponentlarning o‘rtacha tortilgan bahosi olinadi, keyin joyida tekshiruv o‘tkaziladi. S komponenti 1997-yildan kiritilgan (p.90).</w:t>
      </w:r>
    </w:p>
    <w:p>
      <w:pPr>
        <w:numPr>
          <w:ilvl w:val="0"/>
          <w:numId w:val="1008"/>
        </w:numPr>
        <w:pStyle w:val="Compact"/>
      </w:pPr>
      <w:r>
        <w:rPr>
          <w:bCs/>
          <w:b/>
        </w:rPr>
        <w:t xml:space="preserve">Yig‘ma reyting (p.91–92):</w:t>
      </w:r>
      <w:r>
        <w:t xml:space="preserve"> </w:t>
      </w:r>
      <w:r>
        <w:t xml:space="preserve">1,0–1,4 / 1,5–2,4 / 2,5–3,4 / 3,5–4,4 / 4,5–5,0. Bu oddiy o‘rtacha arifmetik emas, ayrim komponentlarga ko‘proq vazn berilishi mumkin.</w:t>
      </w:r>
    </w:p>
    <w:bookmarkEnd w:id="26"/>
    <w:bookmarkStart w:id="27" w:name="baite-p.92106"/>
    <w:p>
      <w:pPr>
        <w:pStyle w:val="Heading3"/>
      </w:pPr>
      <w:r>
        <w:t xml:space="preserve">3.2 BAITE (p.92–106)</w:t>
      </w:r>
    </w:p>
    <w:p>
      <w:pPr>
        <w:numPr>
          <w:ilvl w:val="0"/>
          <w:numId w:val="1010"/>
        </w:numPr>
        <w:pStyle w:val="Compact"/>
      </w:pPr>
      <w:r>
        <w:t xml:space="preserve">Angliya Banki 1997-yildan qo‘llaydi. 3 blokdan iborat: risklarni baholash, nazorat vositalari (Tools), samaradorlikni baholash (Evaluation).</w:t>
      </w:r>
    </w:p>
    <w:p>
      <w:pPr>
        <w:numPr>
          <w:ilvl w:val="0"/>
          <w:numId w:val="1010"/>
        </w:numPr>
        <w:pStyle w:val="Compact"/>
      </w:pPr>
      <w:r>
        <w:rPr>
          <w:bCs/>
          <w:b/>
        </w:rPr>
        <w:t xml:space="preserve">9 yo‘nalish:</w:t>
      </w:r>
      <w:r>
        <w:t xml:space="preserve"> </w:t>
      </w:r>
      <w:r>
        <w:t xml:space="preserve">kapital, aktivlar sifati, bozor riski, daromadlilik, likvidlik,</w:t>
      </w:r>
      <w:r>
        <w:t xml:space="preserve"> </w:t>
      </w:r>
      <w:r>
        <w:rPr>
          <w:bCs/>
          <w:b/>
        </w:rPr>
        <w:t xml:space="preserve">biznes</w:t>
      </w:r>
      <w:r>
        <w:t xml:space="preserve">, ichki nazorat, tashkiliy tuzilma, boshqaruv. Jadval 3.4 (p.94–103, burilgan, qayta OCR qilindi) har yo‘nalish uchun mezonlarni beradi, masalan, aktivlar konsentratsiyasi — kapital bazasining &gt;10%.</w:t>
      </w:r>
    </w:p>
    <w:p>
      <w:pPr>
        <w:numPr>
          <w:ilvl w:val="0"/>
          <w:numId w:val="1010"/>
        </w:numPr>
        <w:pStyle w:val="Compact"/>
      </w:pPr>
      <w:r>
        <w:rPr>
          <w:bCs/>
          <w:b/>
        </w:rPr>
        <w:t xml:space="preserve">5 qadam (p.93, 104).</w:t>
      </w:r>
      <w:r>
        <w:t xml:space="preserve"> </w:t>
      </w:r>
      <w:r>
        <w:t xml:space="preserve">Yakuniy reyting kompyuter paneli orqali chiqariladi: o‘rtacha arifmetik + mutaxassis fikri.</w:t>
      </w:r>
    </w:p>
    <w:p>
      <w:pPr>
        <w:numPr>
          <w:ilvl w:val="0"/>
          <w:numId w:val="1010"/>
        </w:numPr>
        <w:pStyle w:val="Compact"/>
      </w:pPr>
      <w:r>
        <w:rPr>
          <w:bCs/>
          <w:b/>
        </w:rPr>
        <w:t xml:space="preserve">Risk matritsasi, jadval 3.5 (p.105–106):</w:t>
      </w:r>
    </w:p>
    <w:p>
      <w:pPr>
        <w:numPr>
          <w:ilvl w:val="1"/>
          <w:numId w:val="1011"/>
        </w:numPr>
        <w:pStyle w:val="Compact"/>
      </w:pPr>
      <w:r>
        <w:t xml:space="preserve">A (past risk / yuqori nazorat) — nazorat davri 18–24 oy;</w:t>
      </w:r>
    </w:p>
    <w:p>
      <w:pPr>
        <w:numPr>
          <w:ilvl w:val="1"/>
          <w:numId w:val="1011"/>
        </w:numPr>
        <w:pStyle w:val="Compact"/>
      </w:pPr>
      <w:r>
        <w:t xml:space="preserve">B (yuqori risk / yuqori nazorat) — 12–18 oy;</w:t>
      </w:r>
    </w:p>
    <w:p>
      <w:pPr>
        <w:numPr>
          <w:ilvl w:val="1"/>
          <w:numId w:val="1011"/>
        </w:numPr>
        <w:pStyle w:val="Compact"/>
      </w:pPr>
      <w:r>
        <w:t xml:space="preserve">C (yuqori risk / past nazorat) — 6–12 oy;</w:t>
      </w:r>
    </w:p>
    <w:p>
      <w:pPr>
        <w:numPr>
          <w:ilvl w:val="1"/>
          <w:numId w:val="1011"/>
        </w:numPr>
        <w:pStyle w:val="Compact"/>
      </w:pPr>
      <w:r>
        <w:t xml:space="preserve">D (past risk / past nazorat) — taxminan 1 yil.</w:t>
      </w:r>
    </w:p>
    <w:bookmarkEnd w:id="27"/>
    <w:bookmarkStart w:id="28" w:name="statistik-modellar-p.107115"/>
    <w:p>
      <w:pPr>
        <w:pStyle w:val="Heading3"/>
      </w:pPr>
      <w:r>
        <w:t xml:space="preserve">3.3 Statistik modellar (p.107–115)</w:t>
      </w:r>
    </w:p>
    <w:p>
      <w:pPr>
        <w:numPr>
          <w:ilvl w:val="0"/>
          <w:numId w:val="1012"/>
        </w:numPr>
        <w:pStyle w:val="Compact"/>
      </w:pPr>
      <w:r>
        <w:rPr>
          <w:bCs/>
          <w:b/>
        </w:rPr>
        <w:t xml:space="preserve">FIMS (FRS):</w:t>
      </w:r>
      <w:r>
        <w:t xml:space="preserve"> </w:t>
      </w:r>
      <w:r>
        <w:t xml:space="preserve">model PR_t = β0 + β1X1,t−1 + … + ε.</w:t>
      </w:r>
    </w:p>
    <w:p>
      <w:pPr>
        <w:numPr>
          <w:ilvl w:val="1"/>
          <w:numId w:val="1013"/>
        </w:numPr>
        <w:pStyle w:val="Compact"/>
      </w:pPr>
      <w:r>
        <w:rPr>
          <w:iCs/>
          <w:i/>
        </w:rPr>
        <w:t xml:space="preserve">FIMS rating</w:t>
      </w:r>
      <w:r>
        <w:t xml:space="preserve"> </w:t>
      </w:r>
      <w:r>
        <w:t xml:space="preserve">— CAMELS reytingini bashorat qiladi (tartibli logit), 11 o‘zgaruvchi: 3–89 va 90+ kun muddati o‘tgan ssudalar, foiz hisoblanmaydigan ssudalar, garovdan olingan ko‘chmas mulk, kapital/aktivlar, foyda/aktivlar (qimmatli qog‘ozlar daromadisiz), investitsion qog‘ozlar, aktivlar o‘sishi, UBSS reytingi [OCR «0ВSS»], oldingi CAMELS va M komponenti.</w:t>
      </w:r>
    </w:p>
    <w:p>
      <w:pPr>
        <w:numPr>
          <w:ilvl w:val="1"/>
          <w:numId w:val="1013"/>
        </w:numPr>
        <w:pStyle w:val="Compact"/>
      </w:pPr>
      <w:r>
        <w:rPr>
          <w:iCs/>
          <w:i/>
        </w:rPr>
        <w:t xml:space="preserve">FIMS risk rank</w:t>
      </w:r>
      <w:r>
        <w:t xml:space="preserve"> </w:t>
      </w:r>
      <w:r>
        <w:t xml:space="preserve">— 2 yil ichida bankrotlik ehtimolini baholaydi (binar logit), 9 o‘zgaruvchi (yuqoridagilar + RVPS/aktivlar + ≥100 ming dollarlik depozit sertifikatlari). Bog‘liq o‘zgaruvchi NPACR = (kapital + RVPS − ishlamaydigan aktivlar) / aktivlar.</w:t>
      </w:r>
    </w:p>
    <w:p>
      <w:pPr>
        <w:numPr>
          <w:ilvl w:val="0"/>
          <w:numId w:val="1012"/>
        </w:numPr>
        <w:pStyle w:val="Compact"/>
      </w:pPr>
      <w:r>
        <w:rPr>
          <w:bCs/>
          <w:b/>
        </w:rPr>
        <w:t xml:space="preserve">Natijalar (p.112–114):</w:t>
      </w:r>
    </w:p>
    <w:p>
      <w:pPr>
        <w:numPr>
          <w:ilvl w:val="1"/>
          <w:numId w:val="1014"/>
        </w:numPr>
        <w:pStyle w:val="Compact"/>
      </w:pPr>
      <w:r>
        <w:t xml:space="preserve">FIMS to‘g‘ri bashorati 74,6%, UBSS niki 50%;</w:t>
      </w:r>
    </w:p>
    <w:p>
      <w:pPr>
        <w:numPr>
          <w:ilvl w:val="1"/>
          <w:numId w:val="1014"/>
        </w:numPr>
        <w:pStyle w:val="Compact"/>
      </w:pPr>
      <w:r>
        <w:t xml:space="preserve">I tur xatosi 17% (UBSS — 32,7%), II tur xatosi 7,4% (UBSS — 12,2%);</w:t>
      </w:r>
    </w:p>
    <w:p>
      <w:pPr>
        <w:numPr>
          <w:ilvl w:val="1"/>
          <w:numId w:val="1014"/>
        </w:numPr>
        <w:pStyle w:val="Compact"/>
      </w:pPr>
      <w:r>
        <w:t xml:space="preserve">qoniqarli/qoniqarsiz chegarasi 2,5 dan</w:t>
      </w:r>
      <w:r>
        <w:t xml:space="preserve"> </w:t>
      </w:r>
      <w:r>
        <w:rPr>
          <w:bCs/>
          <w:b/>
        </w:rPr>
        <w:t xml:space="preserve">2,3 ga</w:t>
      </w:r>
      <w:r>
        <w:t xml:space="preserve"> </w:t>
      </w:r>
      <w:r>
        <w:t xml:space="preserve">tushirilgan;</w:t>
      </w:r>
    </w:p>
    <w:p>
      <w:pPr>
        <w:numPr>
          <w:ilvl w:val="1"/>
          <w:numId w:val="1014"/>
        </w:numPr>
        <w:pStyle w:val="Compact"/>
      </w:pPr>
      <w:r>
        <w:t xml:space="preserve">48 306 kuzatuv; bankrot bo‘lganlarning 20% i «yashovchan» deb tasniflangan (UBSS — 28%, CAMELS — 32%);</w:t>
      </w:r>
    </w:p>
    <w:p>
      <w:pPr>
        <w:numPr>
          <w:ilvl w:val="1"/>
          <w:numId w:val="1014"/>
        </w:numPr>
        <w:pStyle w:val="Compact"/>
      </w:pPr>
      <w:r>
        <w:t xml:space="preserve">262 bankrot bank taqsimoti «97,7% / 27,9% / 1,9%» deb berilgan — yig‘indi 100% dan oshadi, OCR yoki matnning o‘zida xato bo‘lishi mumkin [OCR?].</w:t>
      </w:r>
    </w:p>
    <w:p>
      <w:pPr>
        <w:numPr>
          <w:ilvl w:val="0"/>
          <w:numId w:val="1012"/>
        </w:numPr>
        <w:pStyle w:val="Compact"/>
      </w:pPr>
      <w:r>
        <w:rPr>
          <w:bCs/>
          <w:b/>
        </w:rPr>
        <w:t xml:space="preserve">SAABA (Fransiya, p.114–115):</w:t>
      </w:r>
      <w:r>
        <w:t xml:space="preserve"> </w:t>
      </w:r>
      <w:r>
        <w:t xml:space="preserve">25 ta ma’lumotlar bazasidan foydalanadi. Kapital &gt;8% bo‘lsa, bank keyingi 3 yil to‘lovga qodir hisoblanadi.</w:t>
      </w:r>
    </w:p>
    <w:bookmarkEnd w:id="28"/>
    <w:bookmarkStart w:id="29" w:name="bob.-rossiya-banki-yondashuvi-p.116164"/>
    <w:p>
      <w:pPr>
        <w:pStyle w:val="Heading3"/>
      </w:pPr>
      <w:r>
        <w:t xml:space="preserve">4-bob. Rossiya Banki yondashuvi (p.116–164)</w:t>
      </w:r>
    </w:p>
    <w:p>
      <w:pPr>
        <w:numPr>
          <w:ilvl w:val="0"/>
          <w:numId w:val="1015"/>
        </w:numPr>
        <w:pStyle w:val="Compact"/>
      </w:pPr>
      <w:r>
        <w:rPr>
          <w:bCs/>
          <w:b/>
        </w:rPr>
        <w:t xml:space="preserve">Evolyutsiya (p.116–128):</w:t>
      </w:r>
    </w:p>
    <w:p>
      <w:pPr>
        <w:numPr>
          <w:ilvl w:val="1"/>
          <w:numId w:val="1016"/>
        </w:numPr>
        <w:pStyle w:val="Compact"/>
      </w:pPr>
      <w:r>
        <w:t xml:space="preserve">1995 — xat № 15-3-3/668 (CAMELga asoslangan, 4 parametr);</w:t>
      </w:r>
    </w:p>
    <w:p>
      <w:pPr>
        <w:numPr>
          <w:ilvl w:val="1"/>
          <w:numId w:val="1016"/>
        </w:numPr>
        <w:pStyle w:val="Compact"/>
      </w:pPr>
      <w:r>
        <w:t xml:space="preserve">1997 — xat № 457 (ikki toifa × ikki guruh). 1997-yil 1-yanvar holatiga 2601 bankdan 852 tasi (32,8%) barqaror, 1052 tasi (40,4%) muammoli;</w:t>
      </w:r>
    </w:p>
    <w:p>
      <w:pPr>
        <w:numPr>
          <w:ilvl w:val="1"/>
          <w:numId w:val="1016"/>
        </w:numPr>
        <w:pStyle w:val="Compact"/>
      </w:pPr>
      <w:r>
        <w:t xml:space="preserve">2000 — Ko‘rsatma 766-U;</w:t>
      </w:r>
    </w:p>
    <w:p>
      <w:pPr>
        <w:numPr>
          <w:ilvl w:val="1"/>
          <w:numId w:val="1016"/>
        </w:numPr>
        <w:pStyle w:val="Compact"/>
      </w:pPr>
      <w:r>
        <w:t xml:space="preserve">2004 — Ko‘rsatma 1379-U (depozitlarni sug‘urtalash tizimiga kirish uchun): 4 ballik shkala, vaznlar, yig‘ma ball, boshqaruv sifati bloki;</w:t>
      </w:r>
    </w:p>
    <w:p>
      <w:pPr>
        <w:numPr>
          <w:ilvl w:val="1"/>
          <w:numId w:val="1016"/>
        </w:numPr>
        <w:pStyle w:val="Compact"/>
      </w:pPr>
      <w:r>
        <w:t xml:space="preserve">2008 — Ko‘rsatma</w:t>
      </w:r>
      <w:r>
        <w:t xml:space="preserve"> </w:t>
      </w:r>
      <w:r>
        <w:rPr>
          <w:bCs/>
          <w:b/>
        </w:rPr>
        <w:t xml:space="preserve">2005-U</w:t>
      </w:r>
      <w:r>
        <w:t xml:space="preserve">: 5 guruh, 12 oylik prognoz, strategik risk bloki.</w:t>
      </w:r>
    </w:p>
    <w:p>
      <w:pPr>
        <w:numPr>
          <w:ilvl w:val="1"/>
          <w:numId w:val="1016"/>
        </w:numPr>
        <w:pStyle w:val="Compact"/>
      </w:pPr>
      <w:r>
        <w:t xml:space="preserve">Mualliflar uni</w:t>
      </w:r>
      <w:r>
        <w:t xml:space="preserve"> </w:t>
      </w:r>
      <w:r>
        <w:rPr>
          <w:bCs/>
          <w:b/>
        </w:rPr>
        <w:t xml:space="preserve">aralash</w:t>
      </w:r>
      <w:r>
        <w:t xml:space="preserve"> </w:t>
      </w:r>
      <w:r>
        <w:t xml:space="preserve">model deb baholaydi; komponentlar bir-biri bilan bog‘lanmagan holda baholanadi (p.139).</w:t>
      </w:r>
    </w:p>
    <w:p>
      <w:pPr>
        <w:numPr>
          <w:ilvl w:val="0"/>
          <w:numId w:val="1015"/>
        </w:numPr>
        <w:pStyle w:val="Compact"/>
      </w:pPr>
      <w:r>
        <w:rPr>
          <w:bCs/>
          <w:b/>
        </w:rPr>
        <w:t xml:space="preserve">Kapital, jadval 4.1 (p.135):</w:t>
      </w:r>
    </w:p>
    <w:p>
      <w:pPr>
        <w:numPr>
          <w:ilvl w:val="1"/>
          <w:numId w:val="1017"/>
        </w:numPr>
        <w:pStyle w:val="Compact"/>
      </w:pPr>
      <w:r>
        <w:t xml:space="preserve">PK1 = N1, vazni 3: ≥14 / &lt;14≥12 / &lt;12≥11,1 / &lt;11,1 (kapitali 5 mln yevrodan kam banklar uchun); ≥13 / &lt;13≥11 / &lt;11≥10,1 / &lt;10,1 (5 mln yevro va undan ortiq);</w:t>
      </w:r>
    </w:p>
    <w:p>
      <w:pPr>
        <w:numPr>
          <w:ilvl w:val="1"/>
          <w:numId w:val="1017"/>
        </w:numPr>
        <w:pStyle w:val="Compact"/>
      </w:pPr>
      <w:r>
        <w:t xml:space="preserve">PK2 = K/(A − A_r0), vazni 2: ≥10 / &lt;10≥8 / &lt;8≥6 / &lt;6;</w:t>
      </w:r>
    </w:p>
    <w:p>
      <w:pPr>
        <w:numPr>
          <w:ilvl w:val="1"/>
          <w:numId w:val="1017"/>
        </w:numPr>
        <w:pStyle w:val="Compact"/>
      </w:pPr>
      <w:r>
        <w:t xml:space="preserve">PK3 = qo‘shimcha / asosiy kapital, vazni 1: 1 ball «≥30» deb bosilgan (mantiqan ≤30 bo‘lishi kerak, nashrdagi xato bo‘lishi mumkin) / &gt;30≤60 / &gt;60≤90 / &gt;90.</w:t>
      </w:r>
    </w:p>
    <w:p>
      <w:pPr>
        <w:numPr>
          <w:ilvl w:val="1"/>
          <w:numId w:val="1017"/>
        </w:numPr>
        <w:pStyle w:val="Compact"/>
      </w:pPr>
      <w:r>
        <w:t xml:space="preserve">Oylik ma’lumotlardan o‘rtacha tortilgan choraklik ball hisoblanadi. 12 oylik prognoz tuziladi; u haqiqiy bahodan 2 balldan ko‘p farq qilsa, baho ±1 ballga tuzatiladi (p.136).</w:t>
      </w:r>
    </w:p>
    <w:p>
      <w:pPr>
        <w:numPr>
          <w:ilvl w:val="0"/>
          <w:numId w:val="1015"/>
        </w:numPr>
        <w:pStyle w:val="Compact"/>
      </w:pPr>
      <w:r>
        <w:rPr>
          <w:bCs/>
          <w:b/>
        </w:rPr>
        <w:t xml:space="preserve">Aktivlar (7 ko‘rsatkich, p.139–143):</w:t>
      </w:r>
    </w:p>
    <w:p>
      <w:pPr>
        <w:numPr>
          <w:ilvl w:val="1"/>
          <w:numId w:val="1018"/>
        </w:numPr>
        <w:pStyle w:val="Compact"/>
      </w:pPr>
      <w:r>
        <w:t xml:space="preserve">PA2 = [A&gt;20% − (RP + RR + PP)] / K, vazni 2 (eng yuqori vazn 3). Jadval 4.2 da CAMELS bilan solishtiriladi: CAMELS — &lt;5 / 5–15 / 15–30 / 30–50 / ≥50; Rossiya Banki — ≤4 / &gt;4≤8 / &gt;8≤15 / &gt;15. Rossiya shkalasi qattiqroq, chunki banklar kapitallashuvi past;</w:t>
      </w:r>
    </w:p>
    <w:p>
      <w:pPr>
        <w:numPr>
          <w:ilvl w:val="1"/>
          <w:numId w:val="1018"/>
        </w:numPr>
        <w:pStyle w:val="Compact"/>
      </w:pPr>
      <w:r>
        <w:t xml:space="preserve">PA1 — umidsiz ssudalar / ssudalar; PA3 — 30 kundan ortiq muddati o‘tgan ssudalar / ssudalar (jadval 4.3);</w:t>
      </w:r>
    </w:p>
    <w:p>
      <w:pPr>
        <w:numPr>
          <w:ilvl w:val="1"/>
          <w:numId w:val="1018"/>
        </w:numPr>
        <w:pStyle w:val="Compact"/>
      </w:pPr>
      <w:r>
        <w:t xml:space="preserve">PA4 = (RVPS hisoblangan − RVPS haqiqiy) / K: ≤10 / 10–15 / 15–25 / &gt;25;</w:t>
      </w:r>
    </w:p>
    <w:p>
      <w:pPr>
        <w:numPr>
          <w:ilvl w:val="1"/>
          <w:numId w:val="1018"/>
        </w:numPr>
        <w:pStyle w:val="Compact"/>
      </w:pPr>
      <w:r>
        <w:t xml:space="preserve">PA5–PA7 — konsentratsiya normativlari (110-I bo‘yicha);</w:t>
      </w:r>
    </w:p>
    <w:p>
      <w:pPr>
        <w:numPr>
          <w:ilvl w:val="1"/>
          <w:numId w:val="1018"/>
        </w:numPr>
        <w:pStyle w:val="Compact"/>
      </w:pPr>
      <w:r>
        <w:t xml:space="preserve">PA1 va PA3 ning chegaralari hamda vaznlari kitobda keltirilmagan.</w:t>
      </w:r>
    </w:p>
    <w:p>
      <w:pPr>
        <w:numPr>
          <w:ilvl w:val="0"/>
          <w:numId w:val="1015"/>
        </w:numPr>
        <w:pStyle w:val="Compact"/>
      </w:pPr>
      <w:r>
        <w:rPr>
          <w:bCs/>
          <w:b/>
        </w:rPr>
        <w:t xml:space="preserve">Daromadlilik (p.145–147).</w:t>
      </w:r>
      <w:r>
        <w:t xml:space="preserve"> </w:t>
      </w:r>
      <w:r>
        <w:t xml:space="preserve">Kitobda 5 ko‘rsatkich deyiladi, lekin faqat 4 tasi (PD1, PD2, PD5, PD6) chegara va vazn bilan to‘liq beriladi; PD3 umuman tilga olinmaydi:</w:t>
      </w:r>
    </w:p>
    <w:p>
      <w:pPr>
        <w:numPr>
          <w:ilvl w:val="1"/>
          <w:numId w:val="1019"/>
        </w:numPr>
        <w:pStyle w:val="Compact"/>
      </w:pPr>
      <w:r>
        <w:t xml:space="preserve">PD1 (ROA, bir martalik daromadlarsiz), vazni 3: ≥1,4 / &lt;1,4≥0,7 / &lt;0,7≥0 / &lt;0;</w:t>
      </w:r>
    </w:p>
    <w:p>
      <w:pPr>
        <w:numPr>
          <w:ilvl w:val="1"/>
          <w:numId w:val="1019"/>
        </w:numPr>
        <w:pStyle w:val="Compact"/>
      </w:pPr>
      <w:r>
        <w:t xml:space="preserve">PD2 (ROE, soliqdan keyin), vazni 3: ≥4 / &lt;4≥1 / &lt;1≥0 / &lt;0;</w:t>
      </w:r>
    </w:p>
    <w:p>
      <w:pPr>
        <w:numPr>
          <w:ilvl w:val="1"/>
          <w:numId w:val="1019"/>
        </w:numPr>
        <w:pStyle w:val="Compact"/>
      </w:pPr>
      <w:r>
        <w:t xml:space="preserve">PD4 (ma’muriy xarajatlar / sof daromad): ≤60% — 1 ball, &gt;100% — 4 ball. Vazni ham, oraliq chegaralari ham berilmagan;</w:t>
      </w:r>
    </w:p>
    <w:p>
      <w:pPr>
        <w:numPr>
          <w:ilvl w:val="1"/>
          <w:numId w:val="1019"/>
        </w:numPr>
        <w:pStyle w:val="Compact"/>
      </w:pPr>
      <w:r>
        <w:t xml:space="preserve">PD5 (sof foiz marjasi), vazni 2: ≥5 / &lt;5≥3 / &lt;3≥1 / &lt;1;</w:t>
      </w:r>
    </w:p>
    <w:p>
      <w:pPr>
        <w:numPr>
          <w:ilvl w:val="1"/>
          <w:numId w:val="1019"/>
        </w:numPr>
        <w:pStyle w:val="Compact"/>
      </w:pPr>
      <w:r>
        <w:t xml:space="preserve">PD6 (sof spred), vazni 1: ≥12 / &lt;12≥8 / &lt;8≥4 / &lt;4.</w:t>
      </w:r>
    </w:p>
    <w:p>
      <w:pPr>
        <w:numPr>
          <w:ilvl w:val="0"/>
          <w:numId w:val="1015"/>
        </w:numPr>
        <w:pStyle w:val="Compact"/>
      </w:pPr>
      <w:r>
        <w:rPr>
          <w:bCs/>
          <w:b/>
        </w:rPr>
        <w:t xml:space="preserve">Likvidlik (11 ko‘rsatkich, p.149–154):</w:t>
      </w:r>
    </w:p>
    <w:p>
      <w:pPr>
        <w:numPr>
          <w:ilvl w:val="1"/>
          <w:numId w:val="1020"/>
        </w:numPr>
        <w:pStyle w:val="Compact"/>
      </w:pPr>
      <w:r>
        <w:t xml:space="preserve">PL1, vazni 2: ≥30 / &lt;30≥20 / &lt;20≥10 / &lt;10;</w:t>
      </w:r>
    </w:p>
    <w:p>
      <w:pPr>
        <w:numPr>
          <w:ilvl w:val="1"/>
          <w:numId w:val="1020"/>
        </w:numPr>
        <w:pStyle w:val="Compact"/>
      </w:pPr>
      <w:r>
        <w:t xml:space="preserve">PL2 (N2), vazni 3: ≥17 / 16 / 15 / &lt;15;</w:t>
      </w:r>
    </w:p>
    <w:p>
      <w:pPr>
        <w:numPr>
          <w:ilvl w:val="1"/>
          <w:numId w:val="1020"/>
        </w:numPr>
        <w:pStyle w:val="Compact"/>
      </w:pPr>
      <w:r>
        <w:t xml:space="preserve">PL3 (N3), vazni 3: ≥55 / 52 / 50 / &lt;50;</w:t>
      </w:r>
    </w:p>
    <w:p>
      <w:pPr>
        <w:numPr>
          <w:ilvl w:val="1"/>
          <w:numId w:val="1020"/>
        </w:numPr>
        <w:pStyle w:val="Compact"/>
      </w:pPr>
      <w:r>
        <w:t xml:space="preserve">PL4 (talab qilib olinguncha majburiyatlar / jalb qilingan mablag‘lar), vazni 2: ≤25 / ≤40 / ≤50 / &gt;50;</w:t>
      </w:r>
    </w:p>
    <w:p>
      <w:pPr>
        <w:numPr>
          <w:ilvl w:val="1"/>
          <w:numId w:val="1020"/>
        </w:numPr>
        <w:pStyle w:val="Compact"/>
      </w:pPr>
      <w:r>
        <w:t xml:space="preserve">PL5 (MBK bog‘liqligi), vazni 2: ≤8 / ≤18 / ≤27 / &gt;27;</w:t>
      </w:r>
    </w:p>
    <w:p>
      <w:pPr>
        <w:numPr>
          <w:ilvl w:val="1"/>
          <w:numId w:val="1020"/>
        </w:numPr>
        <w:pStyle w:val="Compact"/>
      </w:pPr>
      <w:r>
        <w:t xml:space="preserve">PL6 (veksellar / K), vazni 2: ≤45 / ≤75 / ≤90 / &gt;90;</w:t>
      </w:r>
    </w:p>
    <w:p>
      <w:pPr>
        <w:numPr>
          <w:ilvl w:val="1"/>
          <w:numId w:val="1020"/>
        </w:numPr>
        <w:pStyle w:val="Compact"/>
      </w:pPr>
      <w:r>
        <w:t xml:space="preserve">PL10 (yirik kreditorlar / likvid aktivlar), vazni 2: ≤80 / ≤180 / ≤270 / &gt;270;</w:t>
      </w:r>
    </w:p>
    <w:p>
      <w:pPr>
        <w:numPr>
          <w:ilvl w:val="1"/>
          <w:numId w:val="1020"/>
        </w:numPr>
        <w:pStyle w:val="Compact"/>
      </w:pPr>
      <w:r>
        <w:t xml:space="preserve">PL7 (ssudalar / mijozlar mablag‘lari), vazni 1: ≤85 / ≤120 / ≤140 / &gt;140. Matnda «1, ya’ni eng yuqori» deyilgan — bu ziddiyat;</w:t>
      </w:r>
    </w:p>
    <w:p>
      <w:pPr>
        <w:numPr>
          <w:ilvl w:val="1"/>
          <w:numId w:val="1020"/>
        </w:numPr>
        <w:pStyle w:val="Compact"/>
      </w:pPr>
      <w:r>
        <w:t xml:space="preserve">PL8 (majburiy rezervlarni o‘rtachalashtirish), vazni 2: har qanday buzilish — 4 ball;</w:t>
      </w:r>
    </w:p>
    <w:p>
      <w:pPr>
        <w:numPr>
          <w:ilvl w:val="1"/>
          <w:numId w:val="1020"/>
        </w:numPr>
        <w:pStyle w:val="Compact"/>
      </w:pPr>
      <w:r>
        <w:t xml:space="preserve">PL9, vazni 2: 1–2 kun — 2 ball, 3–7 kun — 3 ball, undan ko‘p — 4 ball;</w:t>
      </w:r>
    </w:p>
    <w:p>
      <w:pPr>
        <w:numPr>
          <w:ilvl w:val="1"/>
          <w:numId w:val="1020"/>
        </w:numPr>
        <w:pStyle w:val="Compact"/>
      </w:pPr>
      <w:r>
        <w:t xml:space="preserve">PL11 (kreditorlar talablarini bajarmaslik), vazni 3: 1 kun — 2 ball, 2–3 kun — 3 ball, 3 kundan ortiq — 4 ball.</w:t>
      </w:r>
    </w:p>
    <w:p>
      <w:pPr>
        <w:numPr>
          <w:ilvl w:val="0"/>
          <w:numId w:val="1015"/>
        </w:numPr>
        <w:pStyle w:val="Compact"/>
      </w:pPr>
      <w:r>
        <w:rPr>
          <w:bCs/>
          <w:b/>
        </w:rPr>
        <w:t xml:space="preserve">Boshqaruv (p.155–161):</w:t>
      </w:r>
    </w:p>
    <w:p>
      <w:pPr>
        <w:numPr>
          <w:ilvl w:val="1"/>
          <w:numId w:val="1021"/>
        </w:numPr>
        <w:pStyle w:val="Compact"/>
      </w:pPr>
      <w:r>
        <w:t xml:space="preserve">PU4 — risklarni boshqarish, 8 savol. Vaznlar 2, 2, 3, 2, 2, 3, 1, 3 (6-savol vazni [OCR?]). Savol 7 — stress-test. Javoblar: 1 = «ha» … 4 = «yo‘q»;</w:t>
      </w:r>
    </w:p>
    <w:p>
      <w:pPr>
        <w:numPr>
          <w:ilvl w:val="1"/>
          <w:numId w:val="1021"/>
        </w:numPr>
        <w:pStyle w:val="Compact"/>
      </w:pPr>
      <w:r>
        <w:t xml:space="preserve">PU5 — ichki nazorat, 14 savol (asosan AML);</w:t>
      </w:r>
    </w:p>
    <w:p>
      <w:pPr>
        <w:numPr>
          <w:ilvl w:val="1"/>
          <w:numId w:val="1021"/>
        </w:numPr>
        <w:pStyle w:val="Compact"/>
      </w:pPr>
      <w:r>
        <w:t xml:space="preserve">PU6 — strategik risk, 7 savol (SWOT savolining vazni 3);</w:t>
      </w:r>
    </w:p>
    <w:p>
      <w:pPr>
        <w:numPr>
          <w:ilvl w:val="1"/>
          <w:numId w:val="1021"/>
        </w:numPr>
        <w:pStyle w:val="Compact"/>
      </w:pPr>
      <w:r>
        <w:t xml:space="preserve">Yig‘ish qoidasi: 1 ball — PU4 va PU5 = 1, PU6 ≤ 2; … 4 ball — PU4 yoki PU5 = 4;</w:t>
      </w:r>
    </w:p>
    <w:p>
      <w:pPr>
        <w:numPr>
          <w:ilvl w:val="1"/>
          <w:numId w:val="1021"/>
        </w:numPr>
        <w:pStyle w:val="Compact"/>
      </w:pPr>
      <w:r>
        <w:t xml:space="preserve">Mulk tuzilmasi shaffofligi 3 ballik shkalada baholanadi.</w:t>
      </w:r>
    </w:p>
    <w:p>
      <w:pPr>
        <w:numPr>
          <w:ilvl w:val="0"/>
          <w:numId w:val="1015"/>
        </w:numPr>
        <w:pStyle w:val="Compact"/>
      </w:pPr>
      <w:r>
        <w:rPr>
          <w:bCs/>
          <w:b/>
        </w:rPr>
        <w:t xml:space="preserve">5 guruh (p.161–163):</w:t>
      </w:r>
    </w:p>
    <w:p>
      <w:pPr>
        <w:numPr>
          <w:ilvl w:val="1"/>
          <w:numId w:val="1022"/>
        </w:numPr>
        <w:pStyle w:val="Compact"/>
      </w:pPr>
      <w:r>
        <w:t xml:space="preserve">1-guruh — barcha komponentlar «yaxshi»;</w:t>
      </w:r>
    </w:p>
    <w:p>
      <w:pPr>
        <w:numPr>
          <w:ilvl w:val="1"/>
          <w:numId w:val="1022"/>
        </w:numPr>
        <w:pStyle w:val="Compact"/>
      </w:pPr>
      <w:r>
        <w:t xml:space="preserve">2-guruh — «qoniqarli» komponent bor yoki normativ (N1 dan tashqari) chorakdagi bir oyda ≥6 kun buzilgan;</w:t>
      </w:r>
    </w:p>
    <w:p>
      <w:pPr>
        <w:numPr>
          <w:ilvl w:val="1"/>
          <w:numId w:val="1022"/>
        </w:numPr>
        <w:pStyle w:val="Compact"/>
      </w:pPr>
      <w:r>
        <w:t xml:space="preserve">3-guruh — «shubhali» komponent, noshaffof mulk tuzilmasi yoki oxirgi 6 oyning ≥4 oyida normativ buzilgan;</w:t>
      </w:r>
    </w:p>
    <w:p>
      <w:pPr>
        <w:numPr>
          <w:ilvl w:val="1"/>
          <w:numId w:val="1022"/>
        </w:numPr>
        <w:pStyle w:val="Compact"/>
      </w:pPr>
      <w:r>
        <w:t xml:space="preserve">4-guruh — «qoniqarsiz» komponent yoki N1 ≤5 kun buzilgan;</w:t>
      </w:r>
    </w:p>
    <w:p>
      <w:pPr>
        <w:numPr>
          <w:ilvl w:val="1"/>
          <w:numId w:val="1022"/>
        </w:numPr>
        <w:pStyle w:val="Compact"/>
      </w:pPr>
      <w:r>
        <w:t xml:space="preserve">5-guruh — bankrotlikning oldini olish yoki litsenziyani chaqirib olish uchun asos bor.</w:t>
      </w:r>
    </w:p>
    <w:bookmarkEnd w:id="29"/>
    <w:bookmarkStart w:id="30" w:name="dissertatsiyada-qollash"/>
    <w:p>
      <w:pPr>
        <w:pStyle w:val="Heading3"/>
      </w:pPr>
      <w:r>
        <w:t xml:space="preserve">Dissertatsiyada qo‘llash</w:t>
      </w:r>
    </w:p>
    <w:p>
      <w:pPr>
        <w:numPr>
          <w:ilvl w:val="0"/>
          <w:numId w:val="1023"/>
        </w:numPr>
        <w:pStyle w:val="Compact"/>
      </w:pPr>
      <w:r>
        <w:rPr>
          <w:bCs/>
          <w:b/>
        </w:rPr>
        <w:t xml:space="preserve">§1.1:</w:t>
      </w:r>
      <w:r>
        <w:t xml:space="preserve"> </w:t>
      </w:r>
      <w:r>
        <w:t xml:space="preserve">stabillik va barqarorlik farqi (p.14–15), barqarorlik turlari (rasm 1.1), 10 tashqi va 9 ichki omil (p.31–41), bank va tizim farqi (p.41–45). — iqtisodiy va moliyaviy barqarorlik farqi uchun asos.</w:t>
      </w:r>
    </w:p>
    <w:p>
      <w:pPr>
        <w:numPr>
          <w:ilvl w:val="0"/>
          <w:numId w:val="1023"/>
        </w:numPr>
        <w:pStyle w:val="Compact"/>
      </w:pPr>
      <w:r>
        <w:rPr>
          <w:bCs/>
          <w:b/>
        </w:rPr>
        <w:t xml:space="preserve">§1.3:</w:t>
      </w:r>
      <w:r>
        <w:t xml:space="preserve"> </w:t>
      </w:r>
      <w:r>
        <w:t xml:space="preserve">jadval 4.2 (CAMELS va Rossiya Banki chegaralari), CAMELS yig‘ma reyting oraliqlari, BAITE matritsasi, FIMS natijalari (74,6%; I va II tur xatolari) — xorij tajribasi jadvali uchun.</w:t>
      </w:r>
    </w:p>
    <w:p>
      <w:pPr>
        <w:numPr>
          <w:ilvl w:val="0"/>
          <w:numId w:val="1023"/>
        </w:numPr>
        <w:pStyle w:val="Compact"/>
      </w:pPr>
      <w:r>
        <w:rPr>
          <w:bCs/>
          <w:b/>
        </w:rPr>
        <w:t xml:space="preserve">§3.1 MBII:</w:t>
      </w:r>
      <w:r>
        <w:t xml:space="preserve"> </w:t>
      </w:r>
      <w:r>
        <w:t xml:space="preserve">4336-U/2005-U chegaralari (jadvallar 4.1, 4.4–4.8) MBIIning 1–4 ballik shkalasiga to‘g‘ridan-to‘g‘ri namuna. N2/N3 kabi normativ bilan bog‘langan chegaralar «normativ = 4 ball chegarasi» tamoyilini qo‘llab-quvvatlaydi (p.151). Vaznlarning sub’ektivligi haqidagi tan olishni (p.68) MBII blok vaznlarini asoslashda keltirish mumkin.</w:t>
      </w:r>
    </w:p>
    <w:p>
      <w:pPr>
        <w:numPr>
          <w:ilvl w:val="0"/>
          <w:numId w:val="1023"/>
        </w:numPr>
        <w:pStyle w:val="Compact"/>
      </w:pPr>
      <w:r>
        <w:rPr>
          <w:bCs/>
          <w:b/>
        </w:rPr>
        <w:t xml:space="preserve">§3.2:</w:t>
      </w:r>
      <w:r>
        <w:t xml:space="preserve"> </w:t>
      </w:r>
      <w:r>
        <w:t xml:space="preserve">p.45 dagi erta ogohlantirish signallari (umidsiz kreditlar &gt;5%), FIMSda chegarani 2,5 dan 2,3 ga tushirish (I tur xatosini kamaytirish), 12 oylik prognoz va ±1 ball tuzatish qoidasi — MBII-Basel signal qoidalari uchun.</w:t>
      </w:r>
    </w:p>
    <w:p>
      <w:pPr>
        <w:numPr>
          <w:ilvl w:val="0"/>
          <w:numId w:val="1023"/>
        </w:numPr>
        <w:pStyle w:val="Compact"/>
      </w:pPr>
      <w:r>
        <w:rPr>
          <w:bCs/>
          <w:b/>
        </w:rPr>
        <w:t xml:space="preserve">§4.2:</w:t>
      </w:r>
      <w:r>
        <w:t xml:space="preserve"> </w:t>
      </w:r>
      <w:r>
        <w:t xml:space="preserve">FIMS (oldingi reyting va o‘zgaruvchilar bilan logit model, I va II tur xatolari) — MBII bashorat kuchini tekshirish metodikasi uchun.</w:t>
      </w:r>
    </w:p>
    <w:bookmarkEnd w:id="30"/>
    <w:bookmarkStart w:id="31" w:name="iqtiboslar-ocr"/>
    <w:p>
      <w:pPr>
        <w:pStyle w:val="Heading3"/>
      </w:pPr>
      <w:r>
        <w:t xml:space="preserve">Iqtiboslar [OCR]</w:t>
      </w:r>
    </w:p>
    <w:p>
      <w:pPr>
        <w:numPr>
          <w:ilvl w:val="0"/>
          <w:numId w:val="1024"/>
        </w:numPr>
        <w:pStyle w:val="Compact"/>
      </w:pPr>
      <w:r>
        <w:t xml:space="preserve">«устойчивость является следствием, а стабильность — причиной ее обеспечения» (p.14).</w:t>
      </w:r>
    </w:p>
    <w:p>
      <w:pPr>
        <w:numPr>
          <w:ilvl w:val="0"/>
          <w:numId w:val="1024"/>
        </w:numPr>
        <w:pStyle w:val="Compact"/>
      </w:pPr>
      <w:r>
        <w:t xml:space="preserve">«финансовая устойчивость — это не финансовое состояние банка… а процесс развития деятельности» (p.28).</w:t>
      </w:r>
    </w:p>
    <w:p>
      <w:pPr>
        <w:numPr>
          <w:ilvl w:val="0"/>
          <w:numId w:val="1024"/>
        </w:numPr>
        <w:pStyle w:val="Compact"/>
      </w:pPr>
      <w:r>
        <w:t xml:space="preserve">«В отличие от финансового состояния финансовая устойчивость представляет собой динамическую характеристику, отражающую запас финансовой прочности по отношению к внешним и внутренним рискам» (p.49).</w:t>
      </w:r>
    </w:p>
    <w:p>
      <w:pPr>
        <w:numPr>
          <w:ilvl w:val="0"/>
          <w:numId w:val="1024"/>
        </w:numPr>
        <w:pStyle w:val="Compact"/>
      </w:pPr>
      <w:r>
        <w:t xml:space="preserve">«Присвоение весовых коэффициентов… относится к числу наиболее спорных моментов… Однако другого способа… пока не найдено» (p.68).</w:t>
      </w:r>
    </w:p>
    <w:p>
      <w:pPr>
        <w:numPr>
          <w:ilvl w:val="0"/>
          <w:numId w:val="1024"/>
        </w:numPr>
        <w:pStyle w:val="Compact"/>
      </w:pPr>
      <w:r>
        <w:t xml:space="preserve">«Для России более жесткий подход оправдан более низкой капитализацией банков» (p.141).</w:t>
      </w:r>
    </w:p>
    <w:bookmarkEnd w:id="31"/>
    <w:bookmarkStart w:id="32" w:name="moslashtiriladigan-jadval-va-formulalar"/>
    <w:p>
      <w:pPr>
        <w:pStyle w:val="Heading3"/>
      </w:pPr>
      <w:r>
        <w:t xml:space="preserve">Moslashtiriladigan jadval va formulalar</w:t>
      </w:r>
    </w:p>
    <w:p>
      <w:pPr>
        <w:numPr>
          <w:ilvl w:val="0"/>
          <w:numId w:val="1025"/>
        </w:numPr>
        <w:pStyle w:val="Compact"/>
      </w:pPr>
      <w:r>
        <w:t xml:space="preserve">Rasm 1.1 — barqarorlik turlari (p.20).</w:t>
      </w:r>
    </w:p>
    <w:p>
      <w:pPr>
        <w:numPr>
          <w:ilvl w:val="0"/>
          <w:numId w:val="1025"/>
        </w:numPr>
        <w:pStyle w:val="Compact"/>
      </w:pPr>
      <w:r>
        <w:t xml:space="preserve">Jadval 3.1 — CAMELS kapital (p.80); 3.2 — aktivlar sifati (p.82); 3.3 — ROA (p.84–85); SR formulasi (p.82).</w:t>
      </w:r>
    </w:p>
    <w:p>
      <w:pPr>
        <w:numPr>
          <w:ilvl w:val="0"/>
          <w:numId w:val="1025"/>
        </w:numPr>
        <w:pStyle w:val="Compact"/>
      </w:pPr>
      <w:r>
        <w:t xml:space="preserve">Jadval 3.4 — BAITE bloklari (p.94–103); 3.5 — risk matritsasi (p.105).</w:t>
      </w:r>
    </w:p>
    <w:p>
      <w:pPr>
        <w:numPr>
          <w:ilvl w:val="0"/>
          <w:numId w:val="1025"/>
        </w:numPr>
        <w:pStyle w:val="Compact"/>
      </w:pPr>
      <w:r>
        <w:t xml:space="preserve">FIMS tenglamasi va NPACR (p.108–109).</w:t>
      </w:r>
    </w:p>
    <w:p>
      <w:pPr>
        <w:numPr>
          <w:ilvl w:val="0"/>
          <w:numId w:val="1025"/>
        </w:numPr>
        <w:pStyle w:val="Compact"/>
      </w:pPr>
      <w:r>
        <w:t xml:space="preserve">Jadvallar 4.1–4.8 va PA2, PA4, PD1–PD6, PL1–PL10 formulalari (p.135–153); 4.9–4.11 — boshqaruv anketalari (p.156–160).</w:t>
      </w:r>
    </w:p>
    <w:p>
      <w:pPr>
        <w:numPr>
          <w:ilvl w:val="0"/>
          <w:numId w:val="1025"/>
        </w:numPr>
        <w:pStyle w:val="Compact"/>
      </w:pPr>
      <w:r>
        <w:t xml:space="preserve">5 guruh tavsifi (p.162–163).</w:t>
      </w:r>
    </w:p>
    <w:bookmarkEnd w:id="32"/>
    <w:bookmarkEnd w:id="33"/>
    <w:bookmarkStart w:id="40" w:name="Xee10dc0d1046320311113333ce020bbf1c6f33b"/>
    <w:p>
      <w:pPr>
        <w:pStyle w:val="Heading2"/>
      </w:pPr>
      <w:r>
        <w:t xml:space="preserve">2. Karminskiy A.M. «Кредитные рейтинги и их моделирование» (VShE, 2015)</w:t>
      </w:r>
    </w:p>
    <w:p>
      <w:pPr>
        <w:pStyle w:val="FirstParagraph"/>
      </w:pPr>
      <w:r>
        <w:rPr>
          <w:bCs/>
          <w:b/>
        </w:rPr>
        <w:t xml:space="preserve">Bibliografiya:</w:t>
      </w:r>
      <w:r>
        <w:t xml:space="preserve"> </w:t>
      </w:r>
      <w:r>
        <w:t xml:space="preserve">Карминский А.М. Кредитные рейтинги и их моделирование. — М.: Изд. дом НИУ ВШЭ, 2015. — 304 с. ISBN 978-5-7598-1232-6. (PDF sahifasi = bosma sahifa, siljish yo‘q; matn qatlami bor.)</w:t>
      </w:r>
    </w:p>
    <w:bookmarkStart w:id="34" w:name="bazel-kelishuvlari-pp.1524-qisman"/>
    <w:p>
      <w:pPr>
        <w:pStyle w:val="Heading3"/>
      </w:pPr>
      <w:r>
        <w:t xml:space="preserve">1.2 Bazel kelishuvlari (pp.15–24, qisman)</w:t>
      </w:r>
    </w:p>
    <w:p>
      <w:pPr>
        <w:numPr>
          <w:ilvl w:val="0"/>
          <w:numId w:val="1026"/>
        </w:numPr>
        <w:pStyle w:val="Compact"/>
      </w:pPr>
      <w:r>
        <w:t xml:space="preserve">Risklarni boshqarishning 3 tamoyili: tarkibiy risklar; butun kompaniyaning yo‘qotish salohiyati; maksimal yo‘l qo‘yiladigan yo‘qotish salohiyati (p.15–16).</w:t>
      </w:r>
    </w:p>
    <w:p>
      <w:pPr>
        <w:numPr>
          <w:ilvl w:val="0"/>
          <w:numId w:val="1026"/>
        </w:numPr>
        <w:pStyle w:val="Compact"/>
      </w:pPr>
      <w:r>
        <w:t xml:space="preserve">Masofaviy usullar, «zaif signallar» bo‘yicha diagnostika, erta ogohlantirish tizimi — tashqi tahdidlar haqida o‘z vaqtida ma’lumot beruvchi axborot tizimi (p.18).</w:t>
      </w:r>
    </w:p>
    <w:p>
      <w:pPr>
        <w:numPr>
          <w:ilvl w:val="0"/>
          <w:numId w:val="1026"/>
        </w:numPr>
        <w:pStyle w:val="Compact"/>
      </w:pPr>
      <w:r>
        <w:t xml:space="preserve">CAMELS komponentlari: C, A, M, E, L, S (p.19). Reytingning sifati — kutilgan va haqiqiy natijalarning mos kelishi, «matematik ichki tuzilishi ahamiyatsiz» (p.20).</w:t>
      </w:r>
    </w:p>
    <w:p>
      <w:pPr>
        <w:numPr>
          <w:ilvl w:val="0"/>
          <w:numId w:val="1026"/>
        </w:numPr>
        <w:pStyle w:val="Compact"/>
      </w:pPr>
      <w:r>
        <w:t xml:space="preserve">Bazel I (1988, 1992-yilgacha joriy): Tier 1/Tier 2, kapitalning kamida yarmi Tier 1; 1996 — bozor riski (p.20–21).</w:t>
      </w:r>
    </w:p>
    <w:p>
      <w:pPr>
        <w:numPr>
          <w:ilvl w:val="0"/>
          <w:numId w:val="1026"/>
        </w:numPr>
        <w:pStyle w:val="Compact"/>
      </w:pPr>
      <w:r>
        <w:t xml:space="preserve">Bazel II (2004/2006): 3 ustun; kredit, bozor va operatsion risklar; IRB yondashuvi (PD, LGD, EAD, M); RWA ga nisbatan minimum ≥8% (p.21–22). Ichki reytinglarga qo‘yiladigan 8 ta talab (p.22). Moody’s baholashi: AQSh banklari uchun kapital talablari ~30% ga kamayishi mumkin (p.23).</w:t>
      </w:r>
    </w:p>
    <w:p>
      <w:pPr>
        <w:numPr>
          <w:ilvl w:val="0"/>
          <w:numId w:val="1026"/>
        </w:numPr>
        <w:pStyle w:val="Compact"/>
      </w:pPr>
      <w:r>
        <w:t xml:space="preserve">Bazel III: kapital talablarini qattiqlashtirish, kontsentratsiya, tizimli risk, protsiklik, joriy va o‘rta muddatli likvidlik ko‘rsatkichlari, resekyuritizatsiya (p.23–24).</w:t>
      </w:r>
    </w:p>
    <w:bookmarkEnd w:id="34"/>
    <w:bookmarkStart w:id="35" w:name="reytinglar-konstruktori-pp.8794"/>
    <w:p>
      <w:pPr>
        <w:pStyle w:val="Heading3"/>
      </w:pPr>
      <w:r>
        <w:t xml:space="preserve">2.2.3 Reytinglar konstruktori (pp.87–94)</w:t>
      </w:r>
    </w:p>
    <w:p>
      <w:pPr>
        <w:numPr>
          <w:ilvl w:val="0"/>
          <w:numId w:val="1027"/>
        </w:numPr>
        <w:pStyle w:val="Compact"/>
      </w:pPr>
      <w:r>
        <w:t xml:space="preserve">Dinamik reyting konstruktori (KDR): ichki reyting (hisobotdan olingan ko‘rsatkichlar) + tashqi reyting (sektordagi ulush) = dinamik reyting (p.88).</w:t>
      </w:r>
    </w:p>
    <w:p>
      <w:pPr>
        <w:numPr>
          <w:ilvl w:val="0"/>
          <w:numId w:val="1027"/>
        </w:numPr>
        <w:pStyle w:val="Compact"/>
      </w:pPr>
      <w:r>
        <w:t xml:space="preserve">Xususiyatlari: bir qator hisobot sanalari bo‘yicha dinamika; eski qiymatlarni asta-sekin «unutish»; tartib (ordinal) shkalalar; sektor bo‘yicha to‘liq ma’lumotlar bazasi (p.88).</w:t>
      </w:r>
    </w:p>
    <w:p>
      <w:pPr>
        <w:numPr>
          <w:ilvl w:val="0"/>
          <w:numId w:val="1027"/>
        </w:numPr>
        <w:pStyle w:val="Compact"/>
      </w:pPr>
      <w:r>
        <w:t xml:space="preserve">Formula (2.1): D(P^k) = 2/(T(T+1)) · Σ_{t=1..T} t·P_t^k / Σ_{j=1..N} P_t^j, T=12 (vazni chiziqli kamayib boradigan sirpanuvchi «oyna») (p.89).</w:t>
      </w:r>
    </w:p>
    <w:p>
      <w:pPr>
        <w:numPr>
          <w:ilvl w:val="0"/>
          <w:numId w:val="1027"/>
        </w:numPr>
        <w:pStyle w:val="Compact"/>
      </w:pPr>
      <w:r>
        <w:t xml:space="preserve">Ichki ko‘rsatkichlar ballari guruh ichidagi tanlanma taqsimot funksiyasi kvantillari orqali, [0,1] ehtimollik shkalasini teng bo‘laklarga bo‘lish yo‘li bilan beriladi (p.89–91).</w:t>
      </w:r>
    </w:p>
    <w:p>
      <w:pPr>
        <w:numPr>
          <w:ilvl w:val="0"/>
          <w:numId w:val="1027"/>
        </w:numPr>
        <w:pStyle w:val="Compact"/>
      </w:pPr>
      <w:r>
        <w:t xml:space="preserve">Ko‘lam guruhlari (masalan, passivlar summasi bo‘yicha): X — 70% hajm, L — 15%, M — 10%, S — 5% (p.90). Reyting shkalasi har bir guruh uchun alohida tuziladi.</w:t>
      </w:r>
    </w:p>
    <w:p>
      <w:pPr>
        <w:numPr>
          <w:ilvl w:val="0"/>
          <w:numId w:val="1027"/>
        </w:numPr>
        <w:pStyle w:val="Compact"/>
      </w:pPr>
      <w:r>
        <w:t xml:space="preserve">Ko‘rsatkichlarni CAMEL dan tanlash, takrorlanishga yo‘l qo‘ymaslik; «makrovaziyat qanchalik barqaror bo‘lsa, shunchalik kam omil ta’sir qiladi» (p.91).</w:t>
      </w:r>
    </w:p>
    <w:p>
      <w:pPr>
        <w:numPr>
          <w:ilvl w:val="0"/>
          <w:numId w:val="1027"/>
        </w:numPr>
        <w:pStyle w:val="Compact"/>
      </w:pPr>
      <w:r>
        <w:t xml:space="preserve">«Mobile» agentligining Moliyaviy barqarorlik dinamik reytingi (RDFS) shu asosda tuzilgan (p.90). RASK shkalasi: 10–12 gradatsiya, ~4 sinf (p.93).</w:t>
      </w:r>
    </w:p>
    <w:bookmarkEnd w:id="35"/>
    <w:bookmarkStart w:id="36" w:name="X4ab7e2e595dc13b948871342e14366111b2bd65"/>
    <w:p>
      <w:pPr>
        <w:pStyle w:val="Heading3"/>
      </w:pPr>
      <w:r>
        <w:t xml:space="preserve">2.3 Banklar reytinglarining ekonometrik modellari (pp.99–135)</w:t>
      </w:r>
    </w:p>
    <w:p>
      <w:pPr>
        <w:numPr>
          <w:ilvl w:val="0"/>
          <w:numId w:val="1028"/>
        </w:numPr>
        <w:pStyle w:val="Compact"/>
      </w:pPr>
      <w:r>
        <w:t xml:space="preserve">Jadval 2.10: S&amp;P/Moody’s raqamli shkalasi (sinflar 1–8; gradatsiyalar 1–18; aralash). Kichik son = yuqori reyting, shuning uchun manfiy koeffitsiyent = ijobiy ta’sir (p.99).</w:t>
      </w:r>
    </w:p>
    <w:p>
      <w:pPr>
        <w:numPr>
          <w:ilvl w:val="0"/>
          <w:numId w:val="1028"/>
        </w:numPr>
        <w:pStyle w:val="Compact"/>
      </w:pPr>
      <w:r>
        <w:t xml:space="preserve">1998-yildan keyingi Rossiya RA modellari: kapital yetarliligi, kapital hajmi, likvidlik ijobiy; uzoq muddatli kreditlar ulushi salbiy (U-shakl); muddati o‘tgan qarz va ROE ahamiyatsiz chiqqan. Ba’zi ko‘rsatkichlar U-shakl → kvadratik had (p.100). Barqarorlik uchun: hajm logarifmi, makroo‘zgaruvchilar, ordinal shkalalar (p.100).</w:t>
      </w:r>
    </w:p>
    <w:p>
      <w:pPr>
        <w:numPr>
          <w:ilvl w:val="0"/>
          <w:numId w:val="1028"/>
        </w:numPr>
        <w:pStyle w:val="Compact"/>
      </w:pPr>
      <w:r>
        <w:t xml:space="preserve">Moody’s modeli: 311 bank, 28 mamlakat, 777 kuzatuv (2003–2005); mB/mY/mP (kvantil shkala)/mN (normallashtirilgan) modellar; Pseudo R² 0,431–0,439; aniq bashorat 69–71%, ±1 sinf ~95% (Jadval 2.11, p.104). Makro bilan (macro2): Pseudo R² 0,571, aniq 77,9%, ±1 99,5% (Jadval 2.12, p.107); out-of-sample 1000 simulyatsiya (75/25): aniq 76,4%, &gt;99% ±1 (Jadval 2.14, p.109).</w:t>
      </w:r>
    </w:p>
    <w:p>
      <w:pPr>
        <w:numPr>
          <w:ilvl w:val="0"/>
          <w:numId w:val="1028"/>
        </w:numPr>
        <w:pStyle w:val="Compact"/>
      </w:pPr>
      <w:r>
        <w:t xml:space="preserve">Xulosa: Moody’s nisbiy holatga (bank tizimidagi o‘rni) qaraydi, absolyut ko‘rsatkichlarga emas (p.108).</w:t>
      </w:r>
    </w:p>
    <w:p>
      <w:pPr>
        <w:numPr>
          <w:ilvl w:val="0"/>
          <w:numId w:val="1028"/>
        </w:numPr>
        <w:pStyle w:val="Compact"/>
      </w:pPr>
      <w:r>
        <w:t xml:space="preserve">Xalqaro taqqoslash: 551 bank, 86 mamlakat, 5629 kuzatuv (1995–2009), MSFO, Bloomberg, 30+ CAMELS o‘zgaruvchisi, 1 yillik lag (p.110–112). Jadval 2.15 (p.113–114): ln(aktivlar) −0,38…−0,56; Kapital/Aktivlar −1,6…−3,0; LLR/Aktivlar +12…+43; Foiz xarajatlari/daromadlari +0,17…+0,35; Taqsimlanmagan foyda/Aktivlar −1,4…−9,8; Yuqori likvid aktivlar/Majburiyatlar (∩); korrupsiya indeksi, inflyatsiya (−), Eksport/Import, PPP YaIM (+); Pseudo R² 0,19–0,30.</w:t>
      </w:r>
    </w:p>
    <w:p>
      <w:pPr>
        <w:numPr>
          <w:ilvl w:val="0"/>
          <w:numId w:val="1028"/>
        </w:numPr>
        <w:pStyle w:val="Compact"/>
      </w:pPr>
      <w:r>
        <w:t xml:space="preserve">Lag: 0,5–1,5 yil; tavsiya 1 yil, rivojlanayotgan mamlakatlar uchun 1–1,5 yil (p.117). Aniqlik: aniq 40–44%, ±1 90–91%, ±2 ~99% (Jadval 2.17, p.123). Modellar konservativligi past (manfiy asimmetriya; Moody’s −0,55) (p.121).</w:t>
      </w:r>
    </w:p>
    <w:p>
      <w:pPr>
        <w:numPr>
          <w:ilvl w:val="0"/>
          <w:numId w:val="1028"/>
        </w:numPr>
        <w:pStyle w:val="Compact"/>
      </w:pPr>
      <w:r>
        <w:t xml:space="preserve">OECD dummy ijobiy; MDH/Rossiya dummy ahamiyatsiz; S&amp;P eng konservativ, Moody’s &gt; Fitch (Jadval 2.19, p.125).</w:t>
      </w:r>
    </w:p>
    <w:p>
      <w:pPr>
        <w:numPr>
          <w:ilvl w:val="0"/>
          <w:numId w:val="1028"/>
        </w:numPr>
        <w:pStyle w:val="Compact"/>
      </w:pPr>
      <w:r>
        <w:t xml:space="preserve">RSBU bo‘yicha Rossiya banklari: 370 bank, 2600+ kuzatuv (2006–2010). O‘zgaruvchilar (Jadval 2.20, p.127): LTA, EQ_TA (∩, kvadrat), LIQ_1, LIQ_2, LC_TA, NPL_LC, LLP_LC, ROA, EFF, INC_ST, ST_DUM, FOR_DUM, SOV_DUM. Rossiya RA modellari (Jadval 2.21, p.131): Ekspert RA Pseudo R² 0,635, aniq 85%/±1 94%; Rus-Reyting 0,372 (69/94); NRA 0,277 (47/92); AK&amp;M 0,425 (58/90). Xorijiy RA (Jadval 2.22): Pseudo R² 0,21–0,39, aniq 38–45%, ±1 89–92%.</w:t>
      </w:r>
    </w:p>
    <w:p>
      <w:pPr>
        <w:numPr>
          <w:ilvl w:val="0"/>
          <w:numId w:val="1028"/>
        </w:numPr>
        <w:pStyle w:val="Compact"/>
      </w:pPr>
      <w:r>
        <w:t xml:space="preserve">Davlat/xorijiy qo‘llab-quvvatlash dummylari ijobiy; faqat hajm + mulkchilik dummylari bo‘lgan modellar deyarli bir xil aniqlik beradi (p.130–134). Past reytinglar (Caa) yomon bashorat qilinadi (Jadval 2.23, p.135).</w:t>
      </w:r>
    </w:p>
    <w:bookmarkEnd w:id="36"/>
    <w:bookmarkStart w:id="37" w:name="X4068d479414c86e008307b93bb0e39e9d03a423"/>
    <w:p>
      <w:pPr>
        <w:pStyle w:val="Heading3"/>
      </w:pPr>
      <w:r>
        <w:t xml:space="preserve">3.3 Bank defolti modellari. Rossiya tajribasi (pp.182–216)</w:t>
      </w:r>
    </w:p>
    <w:p>
      <w:pPr>
        <w:numPr>
          <w:ilvl w:val="0"/>
          <w:numId w:val="1029"/>
        </w:numPr>
        <w:pStyle w:val="Compact"/>
      </w:pPr>
      <w:r>
        <w:t xml:space="preserve">Rossiya bank tizimi bosqichlari: shakllanish (1989–1999), dinamik o‘sish (2000–2008; aktivlar/YaIM 67%, kapital 9%, kreditlar 48% — 2008), barqaror rivojlanish (2010–2014) (p.184–186).</w:t>
      </w:r>
    </w:p>
    <w:p>
      <w:pPr>
        <w:numPr>
          <w:ilvl w:val="0"/>
          <w:numId w:val="1029"/>
        </w:numPr>
        <w:pStyle w:val="Compact"/>
      </w:pPr>
      <w:r>
        <w:t xml:space="preserve">1998-yil inqirozi modellari: LIVE=0, agar 2 yil ichida litsenziya chaqirilsa; 1996–2002 «Mobile» ma’lumotlari, 3000+ epizod; 12 ko‘rsatkich (Jadval 3.2: BP, KE, KDB, NDO, PNA, VB, SK, RES, LA, VFDL, PNAOS, GDO) (p.186–188). Adekvat lag 0,5–1,5 yil.</w:t>
      </w:r>
    </w:p>
    <w:p>
      <w:pPr>
        <w:numPr>
          <w:ilvl w:val="0"/>
          <w:numId w:val="1029"/>
        </w:numPr>
        <w:pStyle w:val="Compact"/>
      </w:pPr>
      <w:r>
        <w:t xml:space="preserve">Ekspert klasterlari: VB, GDO/VB, KE/VB, SK/VB bo‘yicha 12 klaster (8 tasi tahlil qilingan) (p.189–190). Optimal ln(VB) 11,6–12,4; optimal KE/VB 0,39–0,40; SK/VB deyarli barcha modellarda ahamiyatli va ijobiy (Jadval 3.4, p.193–195). 10 ta eng yomon bankdan ~57% to‘g‘ri aniqlanadi (p.196).</w:t>
      </w:r>
    </w:p>
    <w:p>
      <w:pPr>
        <w:numPr>
          <w:ilvl w:val="0"/>
          <w:numId w:val="1029"/>
        </w:numPr>
        <w:pStyle w:val="Compact"/>
      </w:pPr>
      <w:r>
        <w:t xml:space="preserve">Makro bilan: EXP/IMP va valyuta kursi (ERATE) eng yaxshi qo‘shimchalar; ln(VB/DEFL)² — kvadratik bog‘liqlik (Jadval 3.5, p.198).</w:t>
      </w:r>
    </w:p>
    <w:p>
      <w:pPr>
        <w:numPr>
          <w:ilvl w:val="0"/>
          <w:numId w:val="1029"/>
        </w:numPr>
        <w:pStyle w:val="Compact"/>
      </w:pPr>
      <w:r>
        <w:t xml:space="preserve">I/II tur xatolar formulalari: P1(c)=(M−m_c)/M; P2(c)=(n_c−m_c)/(N−M); egri chiziq Γ={(P1(c),P2(c))} (3.11–3.13, p.199–200). I tur xatoning narxi II turnikidan yuqori (p.193).</w:t>
      </w:r>
    </w:p>
    <w:p>
      <w:pPr>
        <w:numPr>
          <w:ilvl w:val="0"/>
          <w:numId w:val="1029"/>
        </w:numPr>
        <w:pStyle w:val="Compact"/>
      </w:pPr>
      <w:r>
        <w:t xml:space="preserve">1998–2011 modeli: 910 ta litsenziya chaqirilishi + 37 sanatsiya, 374 holat modellashtirilgan; kvartal ma’lumotlari; logit (p.201–204). ANOVA bilan tanlangan o‘zgaruvchilar (Jadval 3.6, p.205–206): sk_ca, bp_ca, la_ca, ncb_ca, pzs_ke, oks_ca, ln_ca, res_ca va boshq.; CAMELS bo‘yicha guruhlash (p.206–207).</w:t>
      </w:r>
    </w:p>
    <w:p>
      <w:pPr>
        <w:numPr>
          <w:ilvl w:val="0"/>
          <w:numId w:val="1029"/>
        </w:numPr>
        <w:pStyle w:val="Compact"/>
      </w:pPr>
      <w:r>
        <w:t xml:space="preserve">Nomutanosiblik: defoltlar ~1% → 1000 kichik tanlanma (5% «tirik» + barcha defoltlar → 10–12% defolt) (p.208). Lag 2 kvartal; lag1 AUC 0,851, lag2 0,828, lag8 0,722 (Rasm 3.9, p.214).</w:t>
      </w:r>
    </w:p>
    <w:p>
      <w:pPr>
        <w:numPr>
          <w:ilvl w:val="0"/>
          <w:numId w:val="1029"/>
        </w:numPr>
        <w:pStyle w:val="Compact"/>
      </w:pPr>
      <w:r>
        <w:t xml:space="preserve">Model ketma-ketligi basic → b_e1 → b_e2 → b_e2_t → b_e2_t_m → b_e2_t_m_i → yakuniy (Jadval 3.7, p.210–211): Pseudo R² ~0,52 dan ~0,71 gacha, ROC AUC ~0,89 dan ~0,97 gacha, to‘g‘ri bashorat ~93–95%.</w:t>
      </w:r>
    </w:p>
    <w:p>
      <w:pPr>
        <w:numPr>
          <w:ilvl w:val="0"/>
          <w:numId w:val="1029"/>
        </w:numPr>
        <w:pStyle w:val="Compact"/>
      </w:pPr>
      <w:r>
        <w:t xml:space="preserve">Natijalar: optimal sk_ca ≈ 0,4; optimal bp_ca ≈ 0,05; davlatga tegishli bo‘lmagan qimmatli qog‘ozlar &lt;10% bo‘lsa zararsiz; hajm faqat kvadratik shaklda ahamiyatli («too big to fail» tasdiqlanmagan); 2009-yil dummysi (+), I kvartal (−); CPI (+), YaIM o‘sishi ahamiyatsiz; Lerner indeksi (−), Moskva dummysi (p.213–216).</w:t>
      </w:r>
    </w:p>
    <w:p>
      <w:pPr>
        <w:numPr>
          <w:ilvl w:val="0"/>
          <w:numId w:val="1029"/>
        </w:numPr>
        <w:pStyle w:val="Compact"/>
      </w:pPr>
      <w:r>
        <w:t xml:space="preserve">Out-of-sample 2010–2011 (19 defolt): PD ≥30% chegarasi, risk guruhi 30 bank, 63% defolt to‘g‘ri bashorat qilingan (Jadval 3.8: X=10 → 84%, 40 → 52%) (p.216–217).</w:t>
      </w:r>
    </w:p>
    <w:bookmarkEnd w:id="37"/>
    <w:bookmarkStart w:id="38" w:name="X3659707fabd367b6b68a889e99a319c3e74ba57"/>
    <w:p>
      <w:pPr>
        <w:pStyle w:val="Heading3"/>
      </w:pPr>
      <w:r>
        <w:t xml:space="preserve">3.6 Kredit risklarini stress-test qilish (pp.230–241)</w:t>
      </w:r>
    </w:p>
    <w:p>
      <w:pPr>
        <w:numPr>
          <w:ilvl w:val="0"/>
          <w:numId w:val="1030"/>
        </w:numPr>
        <w:pStyle w:val="Compact"/>
      </w:pPr>
      <w:r>
        <w:t xml:space="preserve">Ta’rif: «istisno, ammo ehtimolli» makroshoklarga barqarorlikni baholash (Blaschke 2001); IMF 2012 tizimli ahamiyatli banklarni (D-SIB) tahlil qilishga urg‘u beradi (p.231). Čihák (2007) NPL–CAR koordinatalari (p.231).</w:t>
      </w:r>
    </w:p>
    <w:p>
      <w:pPr>
        <w:numPr>
          <w:ilvl w:val="0"/>
          <w:numId w:val="1030"/>
        </w:numPr>
        <w:pStyle w:val="Compact"/>
      </w:pPr>
      <w:r>
        <w:t xml:space="preserve">Chebyshev: P{ROA &lt; −EQ/TA} ≤ Var(ROA)/(E(ROA)+EQ/TA)² (3.24); Z = (E(ROA)+EQ/TA)/√Var(ROA) (3.25); yangi o‘lchov Z(PZS) = (LLR − E(PZS))/√Var(PZS) (3.26); 2 yillik oyna; EQ/TA o‘rniga N1 ning ortiqcha qismi (p.232–234).</w:t>
      </w:r>
    </w:p>
    <w:p>
      <w:pPr>
        <w:numPr>
          <w:ilvl w:val="0"/>
          <w:numId w:val="1030"/>
        </w:numPr>
        <w:pStyle w:val="Compact"/>
      </w:pPr>
      <w:r>
        <w:t xml:space="preserve">Mulkchilik turi bo‘yicha 3 guruhdan 2 tadan bank (davlat, xorijiy, xususiy); segmentlar (korporativ/chakana); chegara = mediana; Z(PZS)×Z(ROA) kvadrantlari: kuchli/riskli banklar (Jadval 3.10–3.11, p.234–236).</w:t>
      </w:r>
    </w:p>
    <w:p>
      <w:pPr>
        <w:numPr>
          <w:ilvl w:val="0"/>
          <w:numId w:val="1030"/>
        </w:numPr>
        <w:pStyle w:val="Compact"/>
      </w:pPr>
      <w:r>
        <w:t xml:space="preserve">Sezgirlik: kreditlarning 85% ini bergan banklar (IMF tavsiyasi) — 104 korporativ, 97 chakana bank; oylik ma’lumotlar 2004–2012; VAR(3): X_t = A0 + A1X_{t−1}+A2X_{t−2}+A3X_{t−3}+e_t; X=(M0, INV, Y, K, PZS) (3.27) (p.236–238).</w:t>
      </w:r>
    </w:p>
    <w:p>
      <w:pPr>
        <w:numPr>
          <w:ilvl w:val="0"/>
          <w:numId w:val="1030"/>
        </w:numPr>
        <w:pStyle w:val="Compact"/>
      </w:pPr>
      <w:r>
        <w:t xml:space="preserve">Variatsiya dekompozitsiyasi (1 yil): korporativ PZS o‘sishining 23% i makro bilan (YaIM 10%, M0 9%, INV 4%), 14% kredit o‘sishi bilan; chakana PZS ~40% makro bilan, 8% kredit bilan (p.238–239).</w:t>
      </w:r>
    </w:p>
    <w:p>
      <w:pPr>
        <w:numPr>
          <w:ilvl w:val="0"/>
          <w:numId w:val="1030"/>
        </w:numPr>
        <w:pStyle w:val="Compact"/>
      </w:pPr>
      <w:r>
        <w:t xml:space="preserve">YaIM shoki (1 s.o. = oylik +0,7 p.p.) → PZS o‘sishi korporativda −2,4 p.p., chakanada −2,7 p.p.; ta’sir 1 kvartalda so‘nadi (G‘arbda 3–4 kvartal) (p.239).</w:t>
      </w:r>
    </w:p>
    <w:p>
      <w:pPr>
        <w:numPr>
          <w:ilvl w:val="0"/>
          <w:numId w:val="1030"/>
        </w:numPr>
        <w:pStyle w:val="Compact"/>
      </w:pPr>
      <w:r>
        <w:t xml:space="preserve">Stress-ssenariy = 2008 takrorlanishi (korporativ PZS shoki +50,5 p.p., chakana +31,4 p.p.); chakanada tiklanish ~2 yil (p.240). Xulosa: chakana segment makroshoklarga sezgirroq (p.241).</w:t>
      </w:r>
    </w:p>
    <w:bookmarkEnd w:id="38"/>
    <w:bookmarkStart w:id="39" w:name="yagona-reyting-maydoni-pp.257270"/>
    <w:p>
      <w:pPr>
        <w:pStyle w:val="Heading3"/>
      </w:pPr>
      <w:r>
        <w:t xml:space="preserve">4.2 Yagona reyting maydoni (pp.257–270)</w:t>
      </w:r>
    </w:p>
    <w:p>
      <w:pPr>
        <w:numPr>
          <w:ilvl w:val="0"/>
          <w:numId w:val="1031"/>
        </w:numPr>
        <w:pStyle w:val="Compact"/>
      </w:pPr>
      <w:r>
        <w:t xml:space="preserve">YeRP: bazaviy shkalani tanlash + barcha RA va ichki reytinglarni har bir sinf subyektlari uchun bazaviy shkalaga akslantirish (tarixiy mapping) (p.258).</w:t>
      </w:r>
    </w:p>
    <w:p>
      <w:pPr>
        <w:numPr>
          <w:ilvl w:val="0"/>
          <w:numId w:val="1031"/>
        </w:numPr>
        <w:pStyle w:val="Compact"/>
      </w:pPr>
      <w:r>
        <w:t xml:space="preserve">Parametrik mapping algoritmi (6 qadam): bazaviy shkala → har bir RS_i ni raqamli NS_i ga → F_i(α_i) → yaqinlik o‘lchovi → integral mezon → optimallashtirish (p.259–260). 9 ta metodologik vazifa va 7 ta mapping tamoyili (p.261–262).</w:t>
      </w:r>
    </w:p>
    <w:p>
      <w:pPr>
        <w:numPr>
          <w:ilvl w:val="0"/>
          <w:numId w:val="1031"/>
        </w:numPr>
        <w:pStyle w:val="Compact"/>
      </w:pPr>
      <w:r>
        <w:t xml:space="preserve">Formulalar: F_i: R_i → B (4.1); S = Σ[F_i1(R_i1jt) − F_i2(R_i2jt)]² → min (4.3–4.4); F_i = α_i1·f_i(R_i)+α_i2 (4.5) (p.263–265).</w:t>
      </w:r>
    </w:p>
    <w:p>
      <w:pPr>
        <w:numPr>
          <w:ilvl w:val="0"/>
          <w:numId w:val="1031"/>
        </w:numPr>
        <w:pStyle w:val="Compact"/>
      </w:pPr>
      <w:r>
        <w:t xml:space="preserve">Ma’lumotlar: 2646 kuzatuv, 370 bank, 2006–2010, 10 ta shkala (Big-3 ning 6 tasi + 4 ta Rossiya RA); bazaviy shkala — Moody’s xalqaro (3400+ juftlik); Aaa=1 … C=20 (p.265–266).</w:t>
      </w:r>
    </w:p>
    <w:p>
      <w:pPr>
        <w:numPr>
          <w:ilvl w:val="0"/>
          <w:numId w:val="1031"/>
        </w:numPr>
        <w:pStyle w:val="Compact"/>
      </w:pPr>
      <w:r>
        <w:t xml:space="preserve">PD = 0,000218·R^3,8 (Moody’s 1980–2008) (4.6); ln(M)=a_i·ln(R_i)+b_i (4.7) (p.266). Moody’s–S&amp;P: y=0,8408x+1,1287, R²=0,815 (Rasm 4.3); Moody’s xalq.–milliy: y=9,80x^0,226, R²=0,83 (Rasm 4.4) (p.269–270).</w:t>
      </w:r>
    </w:p>
    <w:p>
      <w:pPr>
        <w:numPr>
          <w:ilvl w:val="0"/>
          <w:numId w:val="1031"/>
        </w:numPr>
        <w:pStyle w:val="Compact"/>
      </w:pPr>
      <w:r>
        <w:t xml:space="preserve">Jadval 4.2 (p.271): ln(M)=Σ(a_i ln R_i + b_i)d_i; masalan, S&amp;P a=0,916, b=0,146; Ekspert RA a=0,373, b=2,329; N=3432, Pseudo R²=0,902. Aniqlik ¼ gradatsiya; yillik sirpanuvchi yangilash (p.272).</w:t>
      </w:r>
    </w:p>
    <w:p>
      <w:pPr>
        <w:pStyle w:val="FirstParagraph"/>
      </w:pPr>
      <w:r>
        <w:rPr>
          <w:bCs/>
          <w:b/>
        </w:rPr>
        <w:t xml:space="preserve">Dissertatsiyada qo‘llash</w:t>
      </w:r>
      <w:r>
        <w:t xml:space="preserve"> </w:t>
      </w:r>
      <w:r>
        <w:t xml:space="preserve">- §1.3 – Masofaviy reyting modellarining sharhi: KDR (2.1 formula), Moody’s/S&amp;P/Fitch modellari omillari (Jadval 2.15, 2.20) — CAMELS asosidagi ekonometrik yondashuvning empirik isboti sifatida.</w:t>
      </w:r>
      <w:r>
        <w:t xml:space="preserve"> </w:t>
      </w:r>
      <w:r>
        <w:t xml:space="preserve">- §3.1 – MBII ning 1–4 ballik shkalasi va guruhlash uchun asos: kvantil ballash (p.89–91), X/L/M/S ko‘lam guruhlari (70/15/10/5%); U-shaklli ko‘rsatkichlar (kapital ~0,4, ROA ~0,05, kreditlar/aktivlar ~0,39–0,40) uchun «optimal oraliq» — chegaralarni ikki tomonlama qo‘yishni asoslash.</w:t>
      </w:r>
      <w:r>
        <w:t xml:space="preserve"> </w:t>
      </w:r>
      <w:r>
        <w:t xml:space="preserve">- §3.2/§2.2 – D-SIB monitoringi uchun Z(ROA) va Z(PZS) (3.25–3.26) va mediana-kvadrant usuli; SQB/Mikrokreditbank ni boshqa banklar bilan Z-kvadrantda ko‘rsatish; erta ogohlantirish signallari uchun PD ≥30% risk guruhi mantig‘i.</w:t>
      </w:r>
      <w:r>
        <w:t xml:space="preserve"> </w:t>
      </w:r>
      <w:r>
        <w:t xml:space="preserve">- §4.2 – MBII bashorat kuchini tekshirish: I/II tur xatolar (3.12–3.13), ROC/AUC, out-of-sample (75/25, 1000 simulyatsiya), lag 2 kvartal–1 yil; MBII darajalarini (75/50/25) xalqaro reyting shkalasiga ln-ln mapping orqali bog‘lash (4.7, Jadval 4.2).</w:t>
      </w:r>
      <w:r>
        <w:t xml:space="preserve"> </w:t>
      </w:r>
      <w:r>
        <w:t xml:space="preserve">- §4.1/§4.3 – NPL satellit modeli uchun VAR spetsifikatsiyasi (3.27), YaIM, M0, investitsiyalar, kredit o‘sishi; stress-ssenariyni tarixiy eng yomon shok sifatida kalibrlash (p.240); chakana segmentning yuqori sezgirligi.</w:t>
      </w:r>
      <w:r>
        <w:t xml:space="preserve"> </w:t>
      </w:r>
      <w:r>
        <w:t xml:space="preserve">- §2.2 – davlat qo‘llab-quvvatlashi (ST_DUM) reytingni oshiradi: davlat banklarining reytingi «qo‘llab-quvvatlash» hisobiga yuqori, bu MBII ning sof moliyaviy bahosidan farq qilishini izohlaydi.</w:t>
      </w:r>
    </w:p>
    <w:p>
      <w:pPr>
        <w:pStyle w:val="BodyText"/>
      </w:pPr>
      <w:r>
        <w:rPr>
          <w:bCs/>
          <w:b/>
        </w:rPr>
        <w:t xml:space="preserve">Iqtiboslar</w:t>
      </w:r>
      <w:r>
        <w:t xml:space="preserve"> </w:t>
      </w:r>
      <w:r>
        <w:t xml:space="preserve">- «Качество рейтинга определяется сходимостью ожидаемых и фактических результатов. Не имеет значения математическая начинка системы рейтинга.» (p.20)</w:t>
      </w:r>
      <w:r>
        <w:t xml:space="preserve"> </w:t>
      </w:r>
      <w:r>
        <w:t xml:space="preserve">- «Чем стабильнее макроэкономическая ситуация, тем меньшее число факторов оказывает влияние на состояние субъектов.» (p.91)</w:t>
      </w:r>
      <w:r>
        <w:t xml:space="preserve"> </w:t>
      </w:r>
      <w:r>
        <w:t xml:space="preserve">- «…рейтинговое агентство Moody’s ориентируется в большей степени на относительное положение банка в банковской системе, а не на абсолютные показатели его деятельности.» (p.108)</w:t>
      </w:r>
      <w:r>
        <w:t xml:space="preserve"> </w:t>
      </w:r>
      <w:r>
        <w:t xml:space="preserve">- «Очевидно, цена ошибки I рода выше цены ошибки II рода.» (p.193)</w:t>
      </w:r>
      <w:r>
        <w:t xml:space="preserve"> </w:t>
      </w:r>
      <w:r>
        <w:t xml:space="preserve">- «К группе риска следует причислять те банки, вероятность дефолта которых превышает 30%.» (p.216)</w:t>
      </w:r>
      <w:r>
        <w:t xml:space="preserve"> </w:t>
      </w:r>
      <w:r>
        <w:t xml:space="preserve">- «Стресс-тестирование определяется как оценка устойчивости банковской системы к исключительным, но вероятным макроэкономическим шокам» (p.231)</w:t>
      </w:r>
      <w:r>
        <w:t xml:space="preserve"> </w:t>
      </w:r>
      <w:r>
        <w:t xml:space="preserve">- «…как рост объемов, так и рост просроченной задолженности более чувствителен к макроэкономическим факторам в розничном сегменте.» (p.239)</w:t>
      </w:r>
    </w:p>
    <w:p>
      <w:pPr>
        <w:pStyle w:val="BodyText"/>
      </w:pPr>
      <w:r>
        <w:rPr>
          <w:bCs/>
          <w:b/>
        </w:rPr>
        <w:t xml:space="preserve">Moslashtiriladigan jadval/formulalar</w:t>
      </w:r>
      <w:r>
        <w:t xml:space="preserve"> </w:t>
      </w:r>
      <w:r>
        <w:t xml:space="preserve">- (2.1) dinamik ulush reytingi, X/L/M/S guruhlash (p.89–90); Jadval 2.10 raqamli shkala (p.99); Jadval 2.15 va 2.20 omillar va kutilgan belgilari (p.113, 127); Jadval 2.17 xato taqsimoti (p.123).</w:t>
      </w:r>
      <w:r>
        <w:t xml:space="preserve"> </w:t>
      </w:r>
      <w:r>
        <w:t xml:space="preserve">- Jadval 3.6 ANOVA bo‘yicha CAMELS o‘zgaruvchilari (p.205); Jadval 3.7 model ketma-ketligi (p.210–211); Jadval 3.8 risk guruhi chegarasi (p.217); (3.11–3.13) P1/P2 (p.199).</w:t>
      </w:r>
      <w:r>
        <w:t xml:space="preserve"> </w:t>
      </w:r>
      <w:r>
        <w:t xml:space="preserve">- (3.24)–(3.26) Z-score va Z(PZS) (p.232–233); Jadval 3.11 (p.235); (3.27) VAR (p.238).</w:t>
      </w:r>
      <w:r>
        <w:t xml:space="preserve"> </w:t>
      </w:r>
      <w:r>
        <w:t xml:space="preserve">- (4.3)–(4.8) mapping, Jadval 4.2 (p.264–271).</w:t>
      </w:r>
    </w:p>
    <w:bookmarkEnd w:id="39"/>
    <w:bookmarkEnd w:id="40"/>
    <w:bookmarkStart w:id="49" w:name="X10fd6147ea77e8b20ceb3bd12778ed5468d353a"/>
    <w:p>
      <w:pPr>
        <w:pStyle w:val="Heading2"/>
      </w:pPr>
      <w:r>
        <w:t xml:space="preserve">3. Lavrushin O.I. (tahr.) «Устойчивость банковской системы и развитие банковской политики» (KNORUS, 2014)</w:t>
      </w:r>
    </w:p>
    <w:p>
      <w:pPr>
        <w:pStyle w:val="FirstParagraph"/>
      </w:pPr>
      <w:r>
        <w:rPr>
          <w:bCs/>
          <w:b/>
        </w:rPr>
        <w:t xml:space="preserve">Bibliografiya:</w:t>
      </w:r>
      <w:r>
        <w:t xml:space="preserve"> </w:t>
      </w:r>
      <w:r>
        <w:t xml:space="preserve">Устойчивость банковской системы и развитие банковской политики: монография / коллектив авторов; под ред. О.И. Лаврушина. — М.: КНОРУС, 2014. — 280 с. ISBN 978-5-406-03263-3. (PDF sahifasi = bosma sahifa.)</w:t>
      </w:r>
    </w:p>
    <w:bookmarkStart w:id="41" w:name="X7510a992ce92f6b75d2496236f2b2ed9e4fa847"/>
    <w:p>
      <w:pPr>
        <w:pStyle w:val="Heading3"/>
      </w:pPr>
      <w:r>
        <w:t xml:space="preserve">2.1 Bank tizimi barqarorligining mazmuni (pp.36–40)</w:t>
      </w:r>
    </w:p>
    <w:p>
      <w:pPr>
        <w:numPr>
          <w:ilvl w:val="0"/>
          <w:numId w:val="1032"/>
        </w:numPr>
        <w:pStyle w:val="Compact"/>
      </w:pPr>
      <w:r>
        <w:t xml:space="preserve">«Barqarorlik (устойчивость)», «stabillik», «ishonchlilik», «muvozanat» farqlanadi; stabillik — statika/status-kvo, barqarorlik — harakat, rivojlanish; barqarorlik stabillik asosida erishiladi (stabillik — sabab, barqarorlik — oqibat) (p.37).</w:t>
      </w:r>
    </w:p>
    <w:p>
      <w:pPr>
        <w:numPr>
          <w:ilvl w:val="0"/>
          <w:numId w:val="1032"/>
        </w:numPr>
        <w:pStyle w:val="Compact"/>
      </w:pPr>
      <w:r>
        <w:t xml:space="preserve">Bank — ijtimoiy institut; barqarorlik bank faoliyatining jamiyat ehtiyojlariga mosligi bilan o‘lchanadi (p.38).</w:t>
      </w:r>
    </w:p>
    <w:p>
      <w:pPr>
        <w:numPr>
          <w:ilvl w:val="0"/>
          <w:numId w:val="1032"/>
        </w:numPr>
        <w:pStyle w:val="Compact"/>
      </w:pPr>
      <w:r>
        <w:t xml:space="preserve">Ta’rif: tizimning ijtimoiy tuzilma sifatida rivojlanish xususiyati, u ijtimoiy ehtiyojlarga muvofiq faoliyatning kengaytirilgan takror ishlab chiqarilishi bilan kechadi (p.38).</w:t>
      </w:r>
    </w:p>
    <w:p>
      <w:pPr>
        <w:numPr>
          <w:ilvl w:val="0"/>
          <w:numId w:val="1032"/>
        </w:numPr>
        <w:pStyle w:val="Compact"/>
      </w:pPr>
      <w:r>
        <w:t xml:space="preserve">Belgilari: uzoq muddatli jarayon (kredit ekspansiyasidan farqli), barcha bloklarning rivojlanishi, tizimli (infratuzilma, tashqi muhit), muvozanatli (kapital, majburiyatlar, aktivlarning hajm/qiymat/muddat bo‘yicha sinxron o‘sishi) (p.39).</w:t>
      </w:r>
    </w:p>
    <w:p>
      <w:pPr>
        <w:numPr>
          <w:ilvl w:val="0"/>
          <w:numId w:val="1032"/>
        </w:numPr>
        <w:pStyle w:val="Compact"/>
      </w:pPr>
      <w:r>
        <w:t xml:space="preserve">Moliyaviy barqarorlik markaziy tip; shartlar: ijobiy dinamika, uzluksizlik, kapital-moliya-zaxira-foyda muvozanati, sifat yaxshilanishi, diversifikatsiya, risklarning kamayishi (p.39–40).</w:t>
      </w:r>
    </w:p>
    <w:p>
      <w:pPr>
        <w:numPr>
          <w:ilvl w:val="0"/>
          <w:numId w:val="1032"/>
        </w:numPr>
        <w:pStyle w:val="Compact"/>
      </w:pPr>
      <w:r>
        <w:t xml:space="preserve">Barqaror bank: rivojlanayotgan resurs bazasiga ega, uni samarali ishlatadi — aktivlar sifati, daromad barqarorligi, likvidlik, yuqori boshqaruv darajasi (p.40).</w:t>
      </w:r>
    </w:p>
    <w:bookmarkEnd w:id="41"/>
    <w:bookmarkStart w:id="42" w:name="X8c815d8a6b7318c2a0555feefc3e53b90317078"/>
    <w:p>
      <w:pPr>
        <w:pStyle w:val="Heading3"/>
      </w:pPr>
      <w:r>
        <w:t xml:space="preserve">2.2 Bank sektori barqarorligining mezon va ko‘rsatkichlari (pp.41–48)</w:t>
      </w:r>
    </w:p>
    <w:p>
      <w:pPr>
        <w:numPr>
          <w:ilvl w:val="0"/>
          <w:numId w:val="1033"/>
        </w:numPr>
        <w:pStyle w:val="Compact"/>
      </w:pPr>
      <w:r>
        <w:t xml:space="preserve">Mezonlar: ijtimoiy ahamiyatli institut qiyofasining o‘zgarmasligi va funksiyalardan kelib chiquvchi majburiyatlarni bajarish; ko‘rsatkichlar uzluksizlik/hayotiylik, bir tekislik, muvozanatni aks ettirishi kerak (p.41).</w:t>
      </w:r>
    </w:p>
    <w:p>
      <w:pPr>
        <w:numPr>
          <w:ilvl w:val="0"/>
          <w:numId w:val="1033"/>
        </w:numPr>
        <w:pStyle w:val="Compact"/>
      </w:pPr>
      <w:r>
        <w:t xml:space="preserve">Barqaror tizim belgilari ro‘yxati (12 ta): inqirozsizlik, o‘zini-o‘zi tuzatish, ayrim banklar bankrot bo‘lsa ham umumiy ijobiy trend va h.k. (p.41–42).</w:t>
      </w:r>
    </w:p>
    <w:p>
      <w:pPr>
        <w:numPr>
          <w:ilvl w:val="0"/>
          <w:numId w:val="1033"/>
        </w:numPr>
        <w:pStyle w:val="Compact"/>
      </w:pPr>
      <w:r>
        <w:t xml:space="preserve">Makro ko‘rsatkichlar: aktivlar/YaIM, foyda/YaIM, kapital/YaIM, real sektor kreditlari/YaIM, qimmatli qog‘ozlar/YaIM, aholi va korxonalar mablag‘lari/YaIM, rentabellik, kontsentratsiya; shuningdek pul birligi barqarorligi, monetizatsiya, inflyatsiya (p.42).</w:t>
      </w:r>
    </w:p>
    <w:p>
      <w:pPr>
        <w:numPr>
          <w:ilvl w:val="0"/>
          <w:numId w:val="1033"/>
        </w:numPr>
        <w:pStyle w:val="Compact"/>
      </w:pPr>
      <w:r>
        <w:t xml:space="preserve">Bank of Russia makroprudensial ko‘rsatkichlari: kapital yetarliligi (3), kredit riski (5), likvidlik (5), bozor riski (valyuta, foiz, fond), moliyaviy natija/aktivlar va /kapital (p.43–44).</w:t>
      </w:r>
    </w:p>
    <w:p>
      <w:pPr>
        <w:numPr>
          <w:ilvl w:val="0"/>
          <w:numId w:val="1033"/>
        </w:numPr>
        <w:pStyle w:val="Compact"/>
      </w:pPr>
      <w:r>
        <w:t xml:space="preserve">IMF FSI: 49 davlat e’lon qiladi; maqsadlar (4); 12 ta asosiy va 28 ta qo‘shimcha ko‘rsatkich (Jadval 2.1, p.45): kapital (regulyativ kapital/RWA, Tier1/RWA), aktivlar sifati (rezervsiz NPL/kapital, NPL/kreditlar, tarmoq taqsimoti), daromad (ROA, ROE, foiz marjasi/yalpi daromad, nofoiz xarajatlar/yalpi daromad), likvidlik (LA/TA, LA/qisqa muddatli majburiyatlar), bozor riski (sof ochiq valyuta pozitsiyasi/kapital).</w:t>
      </w:r>
    </w:p>
    <w:p>
      <w:pPr>
        <w:numPr>
          <w:ilvl w:val="0"/>
          <w:numId w:val="1033"/>
        </w:numPr>
        <w:pStyle w:val="Compact"/>
      </w:pPr>
      <w:r>
        <w:t xml:space="preserve">Rossiya 2008–2012: kapital/YaIM 10,5→9,6%, kapital/aktivlar 14,0→12,6% (2011); N1 13,3% (01.08.2012); «sof likvid aktivlar» manfiy GAP 26→32% (01.07.2012) (p.46).</w:t>
      </w:r>
    </w:p>
    <w:p>
      <w:pPr>
        <w:numPr>
          <w:ilvl w:val="0"/>
          <w:numId w:val="1033"/>
        </w:numPr>
        <w:pStyle w:val="Compact"/>
      </w:pPr>
      <w:r>
        <w:t xml:space="preserve">Makro ko‘rsatkichlarning kamchiliklari: yetarli emas, umumiqtisodiy ko‘rsatkichlarga bog‘lanishi, kelajakka yo‘naltirilgan bo‘lishi, mezoniy qiymatga va</w:t>
      </w:r>
      <w:r>
        <w:t xml:space="preserve"> </w:t>
      </w:r>
      <w:r>
        <w:rPr>
          <w:bCs/>
          <w:b/>
        </w:rPr>
        <w:t xml:space="preserve">integral ko‘rsatkichga</w:t>
      </w:r>
      <w:r>
        <w:t xml:space="preserve"> </w:t>
      </w:r>
      <w:r>
        <w:t xml:space="preserve">ega bo‘lishi kerak (p.47). Infratuzilma ko‘rsatkichlari: qonunchilik, texnologiya, kadrlar (p.47).</w:t>
      </w:r>
    </w:p>
    <w:bookmarkEnd w:id="42"/>
    <w:bookmarkStart w:id="43" w:name="X5dea5f5194d4b25b8e0446f9a3733bb54a145e1"/>
    <w:p>
      <w:pPr>
        <w:pStyle w:val="Heading3"/>
      </w:pPr>
      <w:r>
        <w:t xml:space="preserve">2.3 Alohida banklar barqarorligi mezon va ko‘rsatkichlari (pp.48–54)</w:t>
      </w:r>
    </w:p>
    <w:p>
      <w:pPr>
        <w:numPr>
          <w:ilvl w:val="0"/>
          <w:numId w:val="1034"/>
        </w:numPr>
        <w:pStyle w:val="Compact"/>
      </w:pPr>
      <w:r>
        <w:t xml:space="preserve">Yagona universal metodika yo‘q; 2 yondashuv: birinchi darajali banklar bilan taqqoslash va nazorat organlarining reytingi (p.48).</w:t>
      </w:r>
    </w:p>
    <w:p>
      <w:pPr>
        <w:numPr>
          <w:ilvl w:val="0"/>
          <w:numId w:val="1034"/>
        </w:numPr>
        <w:pStyle w:val="Compact"/>
      </w:pPr>
      <w:r>
        <w:t xml:space="preserve">Bank of Russia 2005-U (2803-U tahririda): mezonlar — moliyaviy holat, normativlarga rioya, boshqaruv sifati, mulk tuzilmasining shaffofligi; 5 guruh: kapital, aktivlar, daromadlilik, likvidlik, boshqaruv sifati; har bir guruh integral bahosi ≤2,3 ball bo‘lsa «qoniqarli» (omonatlarni sug‘urtalash tizimiga qatnashish sharti) (p.48–49).</w:t>
      </w:r>
    </w:p>
    <w:p>
      <w:pPr>
        <w:numPr>
          <w:ilvl w:val="0"/>
          <w:numId w:val="1034"/>
        </w:numPr>
        <w:pStyle w:val="Compact"/>
      </w:pPr>
      <w:r>
        <w:t xml:space="preserve">Kamchiliklari: dinamika hisobga olinmaydi, prognoz yo‘q, kechikadi, subyektivlik (p.49).</w:t>
      </w:r>
    </w:p>
    <w:p>
      <w:pPr>
        <w:numPr>
          <w:ilvl w:val="0"/>
          <w:numId w:val="1034"/>
        </w:numPr>
        <w:pStyle w:val="Compact"/>
      </w:pPr>
      <w:r>
        <w:t xml:space="preserve">Jadval 2.2: 9 ta metodika (CBR, Ekspert RA, Interfaks, Kommersant, RBK, AFIC, RusReyting, NAUFOR) taqqoslanadi (p.50–51); vaznlar ko‘pincha «shubhali ekspert yo‘li» bilan aniqlanadi yoki tushuntirilmaydi (p.51).</w:t>
      </w:r>
    </w:p>
    <w:p>
      <w:pPr>
        <w:numPr>
          <w:ilvl w:val="0"/>
          <w:numId w:val="1034"/>
        </w:numPr>
        <w:pStyle w:val="Compact"/>
      </w:pPr>
      <w:r>
        <w:t xml:space="preserve">Qo‘shimcha dinamik ko‘rsatkichlar: kreditlar va aktivlar o‘sish sur’ati, aktivlar multiplikatori (aktivlar/kapital), depozitlar va kreditlar o‘sishi, daromad keltiruvchi aktivlar/pullik passivlar, operatsion daromad va nofoiz xarajatlar o‘sishi (p.52).</w:t>
      </w:r>
    </w:p>
    <w:p>
      <w:pPr>
        <w:numPr>
          <w:ilvl w:val="0"/>
          <w:numId w:val="1034"/>
        </w:numPr>
        <w:pStyle w:val="Compact"/>
      </w:pPr>
      <w:r>
        <w:t xml:space="preserve">Kritik chegaralar: kredit/depozit &gt;100%; sof ssuda va nolikvid qimmatli qog‘ozlar/asosiy depozitlar 50%; daromad keltiruvchi aktivlar ulushi &lt;60%; riskli aktivlar ≤75%; nishlamaydigan kreditlar 10% — salbiy vaziyat darakchisi; fond indeksi o‘rtachadan 10 p.p. tushishi (p.52–53).</w:t>
      </w:r>
    </w:p>
    <w:p>
      <w:pPr>
        <w:numPr>
          <w:ilvl w:val="0"/>
          <w:numId w:val="1034"/>
        </w:numPr>
        <w:pStyle w:val="Compact"/>
      </w:pPr>
      <w:r>
        <w:t xml:space="preserve">Bank guruhlari bo‘yicha (kapitaldagi ishtirok shakliga ko‘ra) baholashni joriy etish taklifi (p.54).</w:t>
      </w:r>
    </w:p>
    <w:bookmarkEnd w:id="43"/>
    <w:bookmarkStart w:id="44" w:name="xorijiy-tajriba-pp.5463"/>
    <w:p>
      <w:pPr>
        <w:pStyle w:val="Heading3"/>
      </w:pPr>
      <w:r>
        <w:t xml:space="preserve">2.4 Xorijiy tajriba (pp.54–63)</w:t>
      </w:r>
    </w:p>
    <w:p>
      <w:pPr>
        <w:numPr>
          <w:ilvl w:val="0"/>
          <w:numId w:val="1035"/>
        </w:numPr>
        <w:pStyle w:val="Compact"/>
      </w:pPr>
      <w:r>
        <w:t xml:space="preserve">3 usul: bozor indikatorlari (CDS spredlari, bank va suveren CDS nisbati, banklararo spredlar, kredit faolligi/YaIM), milliy reyting tizimlari, stress-testlar (p.54–56).</w:t>
      </w:r>
    </w:p>
    <w:p>
      <w:pPr>
        <w:numPr>
          <w:ilvl w:val="0"/>
          <w:numId w:val="1035"/>
        </w:numPr>
        <w:pStyle w:val="Compact"/>
      </w:pPr>
      <w:r>
        <w:t xml:space="preserve">4 tur tizim: nazorat reyting tizimlari, moliyaviy ko‘rsatkichlarga asoslangan tahliliy tizimlar, kompleks risk baholash tizimlari, statistik modellar (BIS, 2000) (p.56).</w:t>
      </w:r>
    </w:p>
    <w:p>
      <w:pPr>
        <w:numPr>
          <w:ilvl w:val="0"/>
          <w:numId w:val="1035"/>
        </w:numPr>
        <w:pStyle w:val="Compact"/>
      </w:pPr>
      <w:r>
        <w:t xml:space="preserve">Jadval 2.3 G10: ORAP, SAABA (Fransiya), BAKIS (Germaniya), PATROL (Italiya), RAST (Niderlandiya), RATE/TRAM (Angliya), CAMELS, IBMS, SEER, CAEL, GMS, SCOR, Bank Calculator (AQSh) (p.57).</w:t>
      </w:r>
    </w:p>
    <w:p>
      <w:pPr>
        <w:numPr>
          <w:ilvl w:val="0"/>
          <w:numId w:val="1035"/>
        </w:numPr>
        <w:pStyle w:val="Compact"/>
      </w:pPr>
      <w:r>
        <w:t xml:space="preserve">CAMELS: 1979-yildan, S komponenti 01.01.1997 dan; 5 ballik kompozit reyting. BOPEC: 1 (eng yaxshi)–5 (p.58).</w:t>
      </w:r>
    </w:p>
    <w:p>
      <w:pPr>
        <w:numPr>
          <w:ilvl w:val="0"/>
          <w:numId w:val="1035"/>
        </w:numPr>
        <w:pStyle w:val="Compact"/>
      </w:pPr>
      <w:r>
        <w:t xml:space="preserve">BAKIS: 47 ko‘rsatkich (19 kredit riski, 16 bozor riski, 2 likvidlik, 10 rentabellik), barchasi teng vaznli; guruh o‘rtachasi bilan taqqoslash (p.59).</w:t>
      </w:r>
    </w:p>
    <w:p>
      <w:pPr>
        <w:numPr>
          <w:ilvl w:val="0"/>
          <w:numId w:val="1035"/>
        </w:numPr>
        <w:pStyle w:val="Compact"/>
      </w:pPr>
      <w:r>
        <w:t xml:space="preserve">RATE: CAMEL-B (kapital, aktivlar, bozor riski, foyda, majburiyatlar, biznes) + COM (nazorat, tashkiliy tuzilma, boshqaruv) = 9 omil → yagona ball; nazorat davri 6 oydan 3 yilgacha (p.60–61).</w:t>
      </w:r>
    </w:p>
    <w:p>
      <w:pPr>
        <w:numPr>
          <w:ilvl w:val="0"/>
          <w:numId w:val="1035"/>
        </w:numPr>
        <w:pStyle w:val="Compact"/>
      </w:pPr>
      <w:r>
        <w:t xml:space="preserve">Statistik modellar: kelajakdagi risklarni aniqlash; guruhlar — reyting/reytingni pasaytirish, to‘lovga qobiliyatsizlik/omon qolish, kutilgan yo‘qotishlar (p.61).</w:t>
      </w:r>
    </w:p>
    <w:p>
      <w:pPr>
        <w:numPr>
          <w:ilvl w:val="0"/>
          <w:numId w:val="1035"/>
        </w:numPr>
        <w:pStyle w:val="Compact"/>
      </w:pPr>
      <w:r>
        <w:t xml:space="preserve">Takliflar: risk-yo‘naltirilgan kompleks tizim; ochiq ma’lumotlarga asoslangan, oylik e’lon qilinadigan klaster-tahliliy tizim; statistik prognoz modeli; bank xoldinglari; kredit tarixi byurosi ma’lumotlari (p.62–63).</w:t>
      </w:r>
    </w:p>
    <w:bookmarkEnd w:id="44"/>
    <w:bookmarkStart w:id="45" w:name="X29060ec066eada53ccabc8e2791b4f6a595159f"/>
    <w:p>
      <w:pPr>
        <w:pStyle w:val="Heading3"/>
      </w:pPr>
      <w:r>
        <w:t xml:space="preserve">5.2 Davlat va xususiy banklar nisbati (pp.109–120)</w:t>
      </w:r>
    </w:p>
    <w:p>
      <w:pPr>
        <w:numPr>
          <w:ilvl w:val="0"/>
          <w:numId w:val="1036"/>
        </w:numPr>
        <w:pStyle w:val="Compact"/>
      </w:pPr>
      <w:r>
        <w:t xml:space="preserve">Davlat ta’sirining 3 kanali (mulk, boshqaruv, boshqa) va 3 kengayib boruvchi bank toifasi (Rasm 5.1, p.109–110).</w:t>
      </w:r>
    </w:p>
    <w:p>
      <w:pPr>
        <w:numPr>
          <w:ilvl w:val="0"/>
          <w:numId w:val="1036"/>
        </w:numPr>
        <w:pStyle w:val="Compact"/>
      </w:pPr>
      <w:r>
        <w:t xml:space="preserve">01.01.2010 da aktivlarning 60% dan ortig‘i davlat ta’sirida (p.111); 22 ta davlat banki — aktivlarning 54,45–55,06% (Jadval 5.4, 01.01.2012: Sberbank 26,73%, VTB 10,63%…) (p.112).</w:t>
      </w:r>
    </w:p>
    <w:p>
      <w:pPr>
        <w:numPr>
          <w:ilvl w:val="0"/>
          <w:numId w:val="1036"/>
        </w:numPr>
        <w:pStyle w:val="Compact"/>
      </w:pPr>
      <w:r>
        <w:t xml:space="preserve">Jadval 5.5: davlat nazoratidagi banklar 22→27 ta; aktivlardagi ulush 43,9→45,8%, kapitaldagi ulush 48,9→47,3% (2010→2011) (p.113).</w:t>
      </w:r>
    </w:p>
    <w:p>
      <w:pPr>
        <w:numPr>
          <w:ilvl w:val="0"/>
          <w:numId w:val="1036"/>
        </w:numPr>
        <w:pStyle w:val="Compact"/>
      </w:pPr>
      <w:r>
        <w:t xml:space="preserve">Development theory (davlat mulki foydasiga 3+4 dalil) va political view (3 qarshi dalil) (p.113–115).</w:t>
      </w:r>
    </w:p>
    <w:p>
      <w:pPr>
        <w:numPr>
          <w:ilvl w:val="0"/>
          <w:numId w:val="1036"/>
        </w:numPr>
        <w:pStyle w:val="Compact"/>
      </w:pPr>
      <w:r>
        <w:t xml:space="preserve">Davlat banklarining samarasizligi dalillari: past foydalilik, xarajat samaradorligi, past aktivlar sifati, yuqori nishlamaydigan aktivlar, siyosiy direktivalar, xodimlar soni ortiqcha, zaif risk-menejment va monitoring (p.116–117).</w:t>
      </w:r>
    </w:p>
    <w:p>
      <w:pPr>
        <w:numPr>
          <w:ilvl w:val="0"/>
          <w:numId w:val="1036"/>
        </w:numPr>
        <w:pStyle w:val="Compact"/>
      </w:pPr>
      <w:r>
        <w:t xml:space="preserve">Empirika noaniq: foydalilikdagi farq isbotlanmagan (Bonin va boshq.; Micco va boshq.); Andrews (2005) — farqlar bankka xos omillarga bog‘liq; Glushkova (2011) — Rossiya davlat banklarining past rentabelligi gipotezasi rad etilgan (p.117–118).</w:t>
      </w:r>
    </w:p>
    <w:p>
      <w:pPr>
        <w:numPr>
          <w:ilvl w:val="0"/>
          <w:numId w:val="1036"/>
        </w:numPr>
        <w:pStyle w:val="Compact"/>
      </w:pPr>
      <w:r>
        <w:t xml:space="preserve">Taklif: xususiylashtirish emas, demonopolizatsiya va rivojlanish banklari sifatida ixtisoslashtirish; samaradorlik ko‘rsatkichlari davlat strategiyalari bilan bog‘lanishi (p.120).</w:t>
      </w:r>
    </w:p>
    <w:bookmarkEnd w:id="45"/>
    <w:bookmarkStart w:id="46" w:name="tizimli-ahamiyatli-banklar-pp.141146"/>
    <w:p>
      <w:pPr>
        <w:pStyle w:val="Heading3"/>
      </w:pPr>
      <w:r>
        <w:t xml:space="preserve">6.2 Tizimli ahamiyatli banklar (pp.141–146)</w:t>
      </w:r>
    </w:p>
    <w:p>
      <w:pPr>
        <w:numPr>
          <w:ilvl w:val="0"/>
          <w:numId w:val="1037"/>
        </w:numPr>
        <w:pStyle w:val="Compact"/>
      </w:pPr>
      <w:r>
        <w:t xml:space="preserve">(6.1 oxiri, p.141) Agregatlangan moliyaviy stress indeksi: darajalar yuqori/o‘rtacha/past; komponentlarning hissasi orqali manzilli nazorat choralari.</w:t>
      </w:r>
    </w:p>
    <w:p>
      <w:pPr>
        <w:numPr>
          <w:ilvl w:val="0"/>
          <w:numId w:val="1037"/>
        </w:numPr>
        <w:pStyle w:val="Compact"/>
      </w:pPr>
      <w:r>
        <w:t xml:space="preserve">BCBS (2011.07) G-SIB metodikasi: hajm, o‘zaro bog‘liqlik, almashtirib bo‘lmaslik, xalqaro faoliyat, murakkablik — har biri 20% vazn, kategoriya ichida teng vaznlar (p.142).</w:t>
      </w:r>
    </w:p>
    <w:p>
      <w:pPr>
        <w:numPr>
          <w:ilvl w:val="0"/>
          <w:numId w:val="1037"/>
        </w:numPr>
        <w:pStyle w:val="Compact"/>
      </w:pPr>
      <w:r>
        <w:t xml:space="preserve">Bank of Russia o‘sha paytda barcha banklarga bir xil normativlar qo‘llagan; differensial yondashuv 2015-gacha strategiyada (p.141–142).</w:t>
      </w:r>
    </w:p>
    <w:p>
      <w:pPr>
        <w:numPr>
          <w:ilvl w:val="0"/>
          <w:numId w:val="1037"/>
        </w:numPr>
        <w:pStyle w:val="Compact"/>
      </w:pPr>
      <w:r>
        <w:t xml:space="preserve">Ta’riflar: Murichev (banklararo bozor pozitsiyalari), Aksakov (infratuzilma, aholi mablag‘lari) va «hajm o‘z-o‘zidan mezon emas — tizimli riskka hissa» (p.143).</w:t>
      </w:r>
    </w:p>
    <w:p>
      <w:pPr>
        <w:numPr>
          <w:ilvl w:val="0"/>
          <w:numId w:val="1037"/>
        </w:numPr>
        <w:pStyle w:val="Compact"/>
      </w:pPr>
      <w:r>
        <w:t xml:space="preserve">Bahs: kuchaytirilgan talablar vs mavjud qoidalarga rioya qilinmasligi, bozor shaffofligi (p.144); davlat yordami real sektorga o‘tmagan, istemol kreditiga og‘ish (p.145).</w:t>
      </w:r>
    </w:p>
    <w:p>
      <w:pPr>
        <w:numPr>
          <w:ilvl w:val="0"/>
          <w:numId w:val="1037"/>
        </w:numPr>
        <w:pStyle w:val="Compact"/>
      </w:pPr>
      <w:r>
        <w:t xml:space="preserve">Mualliflar taklif qilgan miqdoriy mezonlar: aktivlardagi ulush &gt;1%; kapitaldagi ulush &gt;1%; banklararo kredit bozoridagi ulush &gt;3%; majburiyatlar bozoridagi ulush &gt;2%, jismoniy shaxslar mablag‘laridagi ulush &gt;5%; sifat mezonlari — mulkchilik shakli, davlat dasturlarida ishtiroki, to‘lov tizimlariga a’zoligi (p.146).</w:t>
      </w:r>
    </w:p>
    <w:bookmarkEnd w:id="46"/>
    <w:bookmarkStart w:id="47" w:name="stress-test-pp.162166-kozdan-kechirildi"/>
    <w:p>
      <w:pPr>
        <w:pStyle w:val="Heading3"/>
      </w:pPr>
      <w:r>
        <w:t xml:space="preserve">6.4.2 Stress-test (pp.162–166, ko‘zdan kechirildi)</w:t>
      </w:r>
    </w:p>
    <w:p>
      <w:pPr>
        <w:numPr>
          <w:ilvl w:val="0"/>
          <w:numId w:val="1038"/>
        </w:numPr>
        <w:pStyle w:val="Compact"/>
      </w:pPr>
      <w:r>
        <w:t xml:space="preserve">IMF 2001 metodologiyasi asos; 01.01.2011: yo‘qotishlar YaIMning 5,2% i yoki kapitalning 50,7% i; kredit riski 24,2%, likvidlik 13,8% (p.163).</w:t>
      </w:r>
    </w:p>
    <w:p>
      <w:pPr>
        <w:numPr>
          <w:ilvl w:val="0"/>
          <w:numId w:val="1038"/>
        </w:numPr>
        <w:pStyle w:val="Compact"/>
      </w:pPr>
      <w:r>
        <w:t xml:space="preserve">2012-yil ssenariylari (Jadval 6.2): YaIM +2,0 / −1,4%; investitsiyalar 0/−1,3%; davlat qog‘ozlari +200/+360 b.p.; korporativ +500/+1000 b.p.; bivalyuta savati +10/+20%; yo‘qotishlar 27% / 37% kapital; N1 13,1% / 10,85% gacha (p.164).</w:t>
      </w:r>
    </w:p>
    <w:p>
      <w:pPr>
        <w:numPr>
          <w:ilvl w:val="0"/>
          <w:numId w:val="1038"/>
        </w:numPr>
        <w:pStyle w:val="Compact"/>
      </w:pPr>
      <w:r>
        <w:t xml:space="preserve">Likvidlik testi: chiqib ketish 10–30%, diskont 5–30% (37 bankda 37 mlrd rubl taqchillik); bozor riski parametrlari (Jadval 6.3): rubl ±20%, OFZ +350 b.p., korporativ +1000 b.p., aksiyalar −50% (p.164–165). 2008: banklarning 83% i stress-test o‘tkazgan (p.166).</w:t>
      </w:r>
    </w:p>
    <w:bookmarkEnd w:id="47"/>
    <w:bookmarkStart w:id="48" w:name="Xd9708c04f8d4208eac9287e7838eba1492dfd10"/>
    <w:p>
      <w:pPr>
        <w:pStyle w:val="Heading3"/>
      </w:pPr>
      <w:r>
        <w:t xml:space="preserve">6.4.7 Bazel qo‘mitasi tavsiyalariga ko‘ra moliyaviy barqarorlik ko‘rsatkichlari (pp.182–187)</w:t>
      </w:r>
    </w:p>
    <w:p>
      <w:pPr>
        <w:pStyle w:val="FirstParagraph"/>
      </w:pPr>
      <w:r>
        <w:t xml:space="preserve">(Eslatma: kitobda bo‘lim sarlavhasi «в соответствии с рекомендациями Базельского комитета», IMF emas.)</w:t>
      </w:r>
      <w:r>
        <w:t xml:space="preserve"> </w:t>
      </w:r>
      <w:r>
        <w:t xml:space="preserve">- Bazel I (1988) → II (risklarga sezgirlik, kelajakdagi risk darajasi) → III (II ni almashtirmaydi; makro va mikroprudensial tartibga solishni bog‘laydi) (p.182–183).</w:t>
      </w:r>
      <w:r>
        <w:t xml:space="preserve"> </w:t>
      </w:r>
      <w:r>
        <w:t xml:space="preserve">- Kapital tuzilmasi: Tier1 = bazaviy + qo‘shimcha; Tier2 = qo‘shimcha kapital; Tier3 bekor (p.183). Minimumlar: CET1 4,5%, Tier1 6%, jami 10,5% (p.183; bu yerda jami ko‘rsatkich konservatsiya buferini o‘z ichiga oladi).</w:t>
      </w:r>
      <w:r>
        <w:t xml:space="preserve"> </w:t>
      </w:r>
      <w:r>
        <w:t xml:space="preserve">- Buferlar: konservatsiya ≥2,5%, kontrsiklik ≤2,5%; to‘lovlarga cheklovlar: CET1 ≥7% — cheklov yo‘q, 4,5–5,125% — foydaning 100% i ushlab qolinadi (p.184). Tizimli ahamiyatli banklar uchun qo‘shimcha CET1 1–2,5% (p.184). O‘tish davri 5 yilgacha.</w:t>
      </w:r>
      <w:r>
        <w:t xml:space="preserve"> </w:t>
      </w:r>
      <w:r>
        <w:t xml:space="preserve">- Leverage: Tier1/(aktivlar + balansdan tashqari majburiyatlar) ≥3%, 01.01.2018 dan majburiy (p.184).</w:t>
      </w:r>
      <w:r>
        <w:t xml:space="preserve"> </w:t>
      </w:r>
      <w:r>
        <w:t xml:space="preserve">- LCR = YuSLA/30 kunlik sof chiqim ≥100%; NSFR — o‘rta va uzoq muddatli muddat nomutanosibligi (p.185).</w:t>
      </w:r>
      <w:r>
        <w:t xml:space="preserve"> </w:t>
      </w:r>
      <w:r>
        <w:t xml:space="preserve">- CVA, umumiy va maxsus noxush korrelyatsiya riski (wrong-way risk), aktivlar qiymati korrelyatsiyasi (p.185–186).</w:t>
      </w:r>
      <w:r>
        <w:t xml:space="preserve"> </w:t>
      </w:r>
      <w:r>
        <w:t xml:space="preserve">- Jadval 6.7 (RSPP): dinamik zaxiralar — standart ssudalar: pasayishda 0%, yuksalishda 2–15%; nostandart 1–20 / 15–20%; shubhali 21–50%; muammoli 51–100%; umidsiz 100% (p.186).</w:t>
      </w:r>
      <w:r>
        <w:t xml:space="preserve"> </w:t>
      </w:r>
      <w:r>
        <w:t xml:space="preserve">- Xulosalar: makro- va mikroprudensial integratsiya; avval kapital sifati, keyin normativlarni oshirish; o‘tish davri zarur (p.187).</w:t>
      </w:r>
    </w:p>
    <w:p>
      <w:pPr>
        <w:pStyle w:val="BodyText"/>
      </w:pPr>
      <w:r>
        <w:rPr>
          <w:bCs/>
          <w:b/>
        </w:rPr>
        <w:t xml:space="preserve">Dissertatsiyada qo‘llash</w:t>
      </w:r>
      <w:r>
        <w:t xml:space="preserve"> </w:t>
      </w:r>
      <w:r>
        <w:t xml:space="preserve">- §1.1 – «устойчивость» va «стабильность» farqi (p.37), bank tizimi barqarorligi ta’rifi (p.38) va barqaror bank ta’rifi (p.40) — moliyaviy va iqtisodiy barqarorlikni farqlash uchun nazariy asos; barqarorlik belgilari ro‘yxati (p.39–40).</w:t>
      </w:r>
      <w:r>
        <w:t xml:space="preserve"> </w:t>
      </w:r>
      <w:r>
        <w:t xml:space="preserve">- §1.3 – Bank of Russia 2005-U ning 5 guruhli ball tizimi (≤2,3 ball) va uning kamchiliklari (dinamika/prognoz yo‘q), Jadval 2.2 (vaznlarning asoslanmaganligi), G10 tizimlari (Jadval 2.3), BAKIS/RATE — MBII ning blok tuzilmasi va asoslangan vaznlari (0,2/0,3/0,25/0,15/0,1) uchun argument; mualliflar talab qilgan «integral ko‘rsatkich» va «mezoniy qiymatlar» (p.47) — MBII ning bevosita asoslanishi.</w:t>
      </w:r>
      <w:r>
        <w:t xml:space="preserve"> </w:t>
      </w:r>
      <w:r>
        <w:t xml:space="preserve">- §3.1 – MBII chegaralari uchun kritik qiymatlar: kredit/depozit &gt;100%, NPL 10%, daromad keltiruvchi aktivlar &lt;60%, riskli aktivlar ≤75% (p.52–53); IMF FSI asosiy ro‘yxati (Jadval 2.1) — 12 ta MBII ko‘rsatkichini tanlashni xalqaro standartga moslash (kapital, aktivlar, daromad, likvidlik, FX — sof ochiq valyuta pozitsiyasi/kapital).</w:t>
      </w:r>
      <w:r>
        <w:t xml:space="preserve"> </w:t>
      </w:r>
      <w:r>
        <w:t xml:space="preserve">- §1.2/§3.2 – Bazel III miqdoriy chegaralari (CET1 4,5%, Tier1 6%, buferlar 2,5%, D-SIB qo‘shimchasi 1–2,5%, leverage 3%, LCR 100%, to‘lovlarni cheklash pog‘onalari 4,5–5,125–7%) (p.183–185) — MBII-Basel signallari va 4 ballik chegaralar uchun.</w:t>
      </w:r>
      <w:r>
        <w:t xml:space="preserve"> </w:t>
      </w:r>
      <w:r>
        <w:t xml:space="preserve">- §2.2/§3.2 – D-SIB ni aniqlash mezonlari (aktivlar &gt;1%, kapital &gt;1%, banklararo &gt;3%, majburiyatlar &gt;2%, aholi mablag‘lari &gt;5%; BCBS 5×20%) (p.142, 146) — SQB va Mikrokreditbankni tizimli ahamiyatli deb asoslash; davlat banklari bo‘yicha samaradorlik bahsi va empirik natijalar (p.113–118).</w:t>
      </w:r>
      <w:r>
        <w:t xml:space="preserve"> </w:t>
      </w:r>
      <w:r>
        <w:t xml:space="preserve">- §4.3 – stress ssenariy dizayni (Jadval 6.2, 6.3: YaIM, valyuta kursi, foiz stavkalari shoklari, ta’sir N1 orqali) va kontrsiklik zaxiralar (Jadval 6.7) — 2026–2028 baza/stress/optimistik ssenariylar va siyosat dastaklari uchun.</w:t>
      </w:r>
    </w:p>
    <w:p>
      <w:pPr>
        <w:pStyle w:val="BodyText"/>
      </w:pPr>
      <w:r>
        <w:rPr>
          <w:bCs/>
          <w:b/>
        </w:rPr>
        <w:t xml:space="preserve">Iqtiboslar</w:t>
      </w:r>
      <w:r>
        <w:t xml:space="preserve"> </w:t>
      </w:r>
      <w:r>
        <w:t xml:space="preserve">- «…устойчивость является следствием, а стабильность — причиной ее обеспечения; устойчивость достигается на основе стабильности.» (p.37)</w:t>
      </w:r>
      <w:r>
        <w:t xml:space="preserve"> </w:t>
      </w:r>
      <w:r>
        <w:t xml:space="preserve">- «…устойчивость банковской системы — это такое свойство развития системы как общественной структуры, которое сопровождается расширением воспроизводства ее функционирования… в соответствии с общественными потребностями.» (p.38)</w:t>
      </w:r>
      <w:r>
        <w:t xml:space="preserve"> </w:t>
      </w:r>
      <w:r>
        <w:t xml:space="preserve">- «Устойчивый банк — это такой денежно-кредитный институт, который обладает устойчивой (развивающейся) ресурсной базой, эффективно используемой, что выражается в достижении качества активов, стабильности доходов, ликвидности и высокого уровня управления.» (p.40)</w:t>
      </w:r>
      <w:r>
        <w:t xml:space="preserve"> </w:t>
      </w:r>
      <w:r>
        <w:t xml:space="preserve">- «…должны иметь критериальное значение; должны содержать интегральный показатель.» (p.47)</w:t>
      </w:r>
      <w:r>
        <w:t xml:space="preserve"> </w:t>
      </w:r>
      <w:r>
        <w:t xml:space="preserve">- «Единой универсальной методики анализа устойчивости, надежности банка не существует…» (p.48)</w:t>
      </w:r>
      <w:r>
        <w:t xml:space="preserve"> </w:t>
      </w:r>
      <w:r>
        <w:t xml:space="preserve">- «…определение</w:t>
      </w:r>
      <w:r>
        <w:t xml:space="preserve"> </w:t>
      </w:r>
      <w:r>
        <w:t xml:space="preserve">“</w:t>
      </w:r>
      <w:r>
        <w:t xml:space="preserve">весов</w:t>
      </w:r>
      <w:r>
        <w:t xml:space="preserve">”</w:t>
      </w:r>
      <w:r>
        <w:t xml:space="preserve"> </w:t>
      </w:r>
      <w:r>
        <w:t xml:space="preserve">показателей банка является едва ли не самым главным при определении рейтинга банка.» (p.51)</w:t>
      </w:r>
      <w:r>
        <w:t xml:space="preserve"> </w:t>
      </w:r>
      <w:r>
        <w:t xml:space="preserve">- «Повышение доли неработающих кредитов в структуре кредитного портфеля до уровня 10% можно считать предвестником возникновения негативной ситуации…» (p.53)</w:t>
      </w:r>
      <w:r>
        <w:t xml:space="preserve"> </w:t>
      </w:r>
      <w:r>
        <w:t xml:space="preserve">- «…размер конкретного учреждения не является сам по себе критерием для его классификации как системно важного.» (p.143)</w:t>
      </w:r>
    </w:p>
    <w:p>
      <w:pPr>
        <w:pStyle w:val="BodyText"/>
      </w:pPr>
      <w:r>
        <w:rPr>
          <w:bCs/>
          <w:b/>
        </w:rPr>
        <w:t xml:space="preserve">Moslashtiriladigan jadval/formulalar</w:t>
      </w:r>
      <w:r>
        <w:t xml:space="preserve"> </w:t>
      </w:r>
      <w:r>
        <w:t xml:space="preserve">- Jadval 2.1 — IMF FSI ning asosiy va qo‘shimcha ro‘yxati (p.45); Bank of Russia makroprudensial ko‘rsatkichlari ro‘yxati (p.43–44).</w:t>
      </w:r>
      <w:r>
        <w:t xml:space="preserve"> </w:t>
      </w:r>
      <w:r>
        <w:t xml:space="preserve">- Jadval 2.2 — metodikalarni taqqoslash (p.50–51) → MBII ni mavjud metodikalar bilan taqqoslovchi jadval uchun shablon.</w:t>
      </w:r>
      <w:r>
        <w:t xml:space="preserve"> </w:t>
      </w:r>
      <w:r>
        <w:t xml:space="preserve">- Jadval 2.3 — G10 nazorat va erta ogohlantirish tizimlari (p.57).</w:t>
      </w:r>
      <w:r>
        <w:t xml:space="preserve"> </w:t>
      </w:r>
      <w:r>
        <w:t xml:space="preserve">- Kritik chegaralar ro‘yxati (p.52–53) → MBII chegaralari jadvali.</w:t>
      </w:r>
      <w:r>
        <w:t xml:space="preserve"> </w:t>
      </w:r>
      <w:r>
        <w:t xml:space="preserve">- Jadval 5.4/5.5 — davlat banklarining ulushi (p.112–113) → O‘zbekiston uchun analogik jadval.</w:t>
      </w:r>
      <w:r>
        <w:t xml:space="preserve"> </w:t>
      </w:r>
      <w:r>
        <w:t xml:space="preserve">- D-SIB miqdoriy mezonlari (p.146), BCBS 5×20% (p.142).</w:t>
      </w:r>
      <w:r>
        <w:t xml:space="preserve"> </w:t>
      </w:r>
      <w:r>
        <w:t xml:space="preserve">- Jadval 6.2, 6.3 — stress ssenariy parametrlari (p.164–165).</w:t>
      </w:r>
      <w:r>
        <w:t xml:space="preserve"> </w:t>
      </w:r>
      <w:r>
        <w:t xml:space="preserve">- Leverage va LCR formulalari, kapital/bufer chegaralari, to‘lovlarni cheklash shkalasi (p.183–185); Jadval 6.7 dinamik zaxiralar (p.186).</w:t>
      </w:r>
    </w:p>
    <w:bookmarkEnd w:id="48"/>
    <w:bookmarkEnd w:id="49"/>
    <w:bookmarkStart w:id="50" w:name="Xe8210fa9efb264e305c88d2734f48e5dead1e24"/>
    <w:p>
      <w:pPr>
        <w:pStyle w:val="Heading2"/>
      </w:pPr>
      <w:r>
        <w:t xml:space="preserve">4. Sokolinskaya N.E. «Анализ и оценка финансового состояния коммерческого банка на основе МСФО»</w:t>
      </w:r>
    </w:p>
    <w:p>
      <w:pPr>
        <w:pStyle w:val="FirstParagraph"/>
      </w:pPr>
      <w:r>
        <w:rPr>
          <w:bCs/>
          <w:b/>
        </w:rPr>
        <w:t xml:space="preserve">1. Bibliografiya.</w:t>
      </w:r>
      <w:r>
        <w:t xml:space="preserve"> </w:t>
      </w:r>
      <w:r>
        <w:t xml:space="preserve">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(Финансовый университет при Правительстве РФ), [2018]. — 258 с.</w:t>
      </w:r>
      <w:r>
        <w:t xml:space="preserve"> </w:t>
      </w:r>
      <w:r>
        <w:t xml:space="preserve">Skanda sarlavha sahifasi va kolofon yo‘q, faqat muqova bor. Muqovada muallif sifatida yolg‘iz Sokolinskaya N.E. ko‘rsatilgan,</w:t>
      </w:r>
      <w:r>
        <w:t xml:space="preserve"> </w:t>
      </w:r>
      <w:r>
        <w:t xml:space="preserve">“</w:t>
      </w:r>
      <w:r>
        <w:t xml:space="preserve">и др.</w:t>
      </w:r>
      <w:r>
        <w:t xml:space="preserve">”</w:t>
      </w:r>
      <w:r>
        <w:t xml:space="preserve"> </w:t>
      </w:r>
      <w:r>
        <w:t xml:space="preserve">yo‘q. Yil matndagi eng so‘nggi manbalarga qarab aniqlangan: 590-П (28.06.2017), 605-П/606-П (02.10.2017), Industrial bankning 2017-yil 9 oylik hisoboti. Shuning uchun nashr yili kamida 2018. ISBN ni katalogdan tekshirish kerak.</w:t>
      </w:r>
    </w:p>
    <w:p>
      <w:pPr>
        <w:pStyle w:val="BodyText"/>
      </w:pPr>
      <w:r>
        <w:rPr>
          <w:bCs/>
          <w:b/>
        </w:rPr>
        <w:t xml:space="preserve">2a. §3.2</w:t>
      </w:r>
      <w:r>
        <w:rPr>
          <w:bCs/>
          <w:b/>
        </w:rPr>
        <w:t xml:space="preserve"> </w:t>
      </w:r>
      <w:r>
        <w:rPr>
          <w:bCs/>
          <w:b/>
        </w:rPr>
        <w:t xml:space="preserve">“</w:t>
      </w:r>
      <w:r>
        <w:rPr>
          <w:bCs/>
          <w:b/>
        </w:rPr>
        <w:t xml:space="preserve">MSFO bo‘yicha aktivlar, kredit portfeli va ehtimoliy yo‘qotishlar zaxiralari tahlili</w:t>
      </w:r>
      <w:r>
        <w:rPr>
          <w:bCs/>
          <w:b/>
        </w:rPr>
        <w:t xml:space="preserve">”</w:t>
      </w:r>
      <w:r>
        <w:rPr>
          <w:bCs/>
          <w:b/>
        </w:rPr>
        <w:t xml:space="preserve"> </w:t>
      </w:r>
      <w:r>
        <w:rPr>
          <w:bCs/>
          <w:b/>
        </w:rPr>
        <w:t xml:space="preserve">(pp. 87–109)</w:t>
      </w:r>
      <w:r>
        <w:t xml:space="preserve"> </w:t>
      </w:r>
      <w:r>
        <w:t xml:space="preserve">- Tanlanma: 10 yirik bank, MSFO bo‘yicha (Banki.ru reytingi). Ro‘yxat: Sberbank, VTB Bank Moskvy, Gazprombank, Alfa, VTB24, FK Otkrytie, BM-bank, UniCredit, Rosselxozbank, Rosbank. Aktivlar ikkinchi asosiy ko‘rsatkich hisoblanadi (p. 87).</w:t>
      </w:r>
      <w:r>
        <w:t xml:space="preserve"> </w:t>
      </w:r>
      <w:r>
        <w:t xml:space="preserve">- Aktivlar 01.01.2017 holatiga: faqat 30% bankda o‘sgan (VTB24 +206,1 mlrd, ya’ni +7,1%; RSXB +114 mlrd, ya’ni +4,9%; Alfa +50,3 mlrd). Sberbank −1 966,2 mlrd (−7,2%), BM-bank −72,2%, Otkrytie −19,6%. 10% dan kichik qisqarish</w:t>
      </w:r>
      <w:r>
        <w:t xml:space="preserve"> </w:t>
      </w:r>
      <w:r>
        <w:t xml:space="preserve">“</w:t>
      </w:r>
      <w:r>
        <w:t xml:space="preserve">kritik emas</w:t>
      </w:r>
      <w:r>
        <w:t xml:space="preserve">”</w:t>
      </w:r>
      <w:r>
        <w:t xml:space="preserve"> </w:t>
      </w:r>
      <w:r>
        <w:t xml:space="preserve">deb baholanadi (pp. 88–89).</w:t>
      </w:r>
      <w:r>
        <w:t xml:space="preserve"> </w:t>
      </w:r>
      <w:r>
        <w:t xml:space="preserve">- Kredit portfeli: faqat 20% bankda o‘sgan (VTB24 +14,3%, Gazprombank +1,5%). Sberbank 18 727,8 → 17 361,3 mlrd (−7,3%). Muallif qisqarishni zaxiralarning oshishi bilan izohlaydi (Jadv. 3.2.2, pp. 89–90).</w:t>
      </w:r>
      <w:r>
        <w:t xml:space="preserve"> </w:t>
      </w:r>
      <w:r>
        <w:t xml:space="preserve">- BM-bank, MSFO va RSBU aktivlar tuzilmasi (Jadv. 3.2.3, p. 91). Asosiy farq moliyaviy aktivlarni tasniflashda. RSBUda investitsion qog‘ozlar MSFOdagidan bir necha marta ko‘p. MSFOda repo bo‘yicha garovga qo‘yilgan aktivlar (2015: 8,4%) va investitsion ko‘chmas mulk alohida ko‘rsatiladi. Mijozlarga kreditlar ulushi: 2014-yil MSFO 51,5% / RSBU 73,1%; 2015-yil 63,2% / 61,1% (pp. 91–92).</w:t>
      </w:r>
      <w:r>
        <w:t xml:space="preserve"> </w:t>
      </w:r>
      <w:r>
        <w:t xml:space="preserve">- Kredit portfeli 2015-yilda MSFO bo‘yicha −13%, RSBU bo‘yicha −16% qisqargan. Farq qarz oluvchilarni turlarga ajratishda: masalan, davlat va munitsipal organlarga kreditlar MSFOda bor, RSBUda esa ko‘rsatilmagan (Jadv. 3.2.4–3.2.5, pp. 92–93).</w:t>
      </w:r>
      <w:r>
        <w:t xml:space="preserve"> </w:t>
      </w:r>
      <w:r>
        <w:t xml:space="preserve">- RSBU va MSFOning kredit sifatini baholashdagi asosiy farqi: MSFO (IAS 39/30)</w:t>
      </w:r>
      <w:r>
        <w:t xml:space="preserve"> </w:t>
      </w:r>
      <w:r>
        <w:t xml:space="preserve">“</w:t>
      </w:r>
      <w:r>
        <w:t xml:space="preserve">aniq belgilangan mezonlar</w:t>
      </w:r>
      <w:r>
        <w:t xml:space="preserve">”</w:t>
      </w:r>
      <w:r>
        <w:t xml:space="preserve">ga emas, balki o‘tgan tajribaga asoslangan professional mulohazaga tayanadi va uni davrdan-davrga izchil qo‘llashni talab qiladi. RSBUda formal mezonlar qat’iy, ammo iqtisodiy mazmun hisobga olinmaydi: ta’minot sifatida asosan moddiy qiymatlar olinadi, kafillik, kafolat va depozitlar esa deyarli inobatga olinmaydi (pp. 93–94).</w:t>
      </w:r>
      <w:r>
        <w:t xml:space="preserve"> </w:t>
      </w:r>
      <w:r>
        <w:t xml:space="preserve">-</w:t>
      </w:r>
      <w:r>
        <w:t xml:space="preserve"> </w:t>
      </w:r>
      <w:r>
        <w:rPr>
          <w:bCs/>
          <w:b/>
        </w:rPr>
        <w:t xml:space="preserve">Jadv. 3.2.6 (pp. 94–95)</w:t>
      </w:r>
      <w:r>
        <w:t xml:space="preserve"> </w:t>
      </w:r>
      <w:r>
        <w:t xml:space="preserve">zaxira yondashuvlarini uch ustunda taqqoslaydi:</w:t>
      </w:r>
      <w:r>
        <w:t xml:space="preserve"> </w:t>
      </w:r>
      <w:r>
        <w:t xml:space="preserve">- IAS 39,</w:t>
      </w:r>
      <w:r>
        <w:t xml:space="preserve"> </w:t>
      </w:r>
      <w:r>
        <w:t xml:space="preserve">“</w:t>
      </w:r>
      <w:r>
        <w:t xml:space="preserve">понесенные убытки</w:t>
      </w:r>
      <w:r>
        <w:t xml:space="preserve">”</w:t>
      </w:r>
      <w:r>
        <w:t xml:space="preserve">: haqiqatda yuzaga kelgan yo‘qotishlar summasi.</w:t>
      </w:r>
      <w:r>
        <w:t xml:space="preserve"> </w:t>
      </w:r>
      <w:r>
        <w:t xml:space="preserve">- RSBU (590-П): balans qiymati bilan adolatli qiymat orasidagi farq. PD, LGD va EAD bevosita hisoblanmaydi,</w:t>
      </w:r>
      <w:r>
        <w:t xml:space="preserve"> </w:t>
      </w:r>
      <w:r>
        <w:t xml:space="preserve">“</w:t>
      </w:r>
      <w:r>
        <w:t xml:space="preserve">sifat toifasi orqali bilvosita</w:t>
      </w:r>
      <w:r>
        <w:t xml:space="preserve">”</w:t>
      </w:r>
      <w:r>
        <w:t xml:space="preserve"> </w:t>
      </w:r>
      <w:r>
        <w:t xml:space="preserve">aniqlanadi. Faqat kredit riski</w:t>
      </w:r>
      <w:r>
        <w:t xml:space="preserve"> </w:t>
      </w:r>
      <w:r>
        <w:t xml:space="preserve">“</w:t>
      </w:r>
      <w:r>
        <w:t xml:space="preserve">kengaytirilgan talqinda</w:t>
      </w:r>
      <w:r>
        <w:t xml:space="preserve">”</w:t>
      </w:r>
      <w:r>
        <w:t xml:space="preserve"> </w:t>
      </w:r>
      <w:r>
        <w:t xml:space="preserve">qamrab olinadi.</w:t>
      </w:r>
      <w:r>
        <w:t xml:space="preserve"> </w:t>
      </w:r>
      <w:r>
        <w:t xml:space="preserve">- IFRS 9,</w:t>
      </w:r>
      <w:r>
        <w:t xml:space="preserve"> </w:t>
      </w:r>
      <w:r>
        <w:t xml:space="preserve">“</w:t>
      </w:r>
      <w:r>
        <w:t xml:space="preserve">ожидаемые потери</w:t>
      </w:r>
      <w:r>
        <w:t xml:space="preserve">”</w:t>
      </w:r>
      <w:r>
        <w:t xml:space="preserve">: 12 oylik yoki butun muddatli PD bilan tortilgan pul tushmasligi. LGD samarali foiz stavkasi bo‘yicha diskontlanadi, PD va LGD korrelyatsiyasi modellashtiriladi. Bank kitobidagi kredit riski qamrab olinadi.</w:t>
      </w:r>
      <w:r>
        <w:t xml:space="preserve"> </w:t>
      </w:r>
      <w:r>
        <w:t xml:space="preserve">- Ta’minot bo‘yicha RSBU (Jadv. 3.2.7, sifat toifalari bo‘yicha) va MSFO (Jadv. 3.2.8, DIA va Markaziy bankka garovga berilgan aktivlar) ma’lumotlarini taqqoslab bo‘lmaydi (pp. 96–97).</w:t>
      </w:r>
      <w:r>
        <w:t xml:space="preserve"> </w:t>
      </w:r>
      <w:r>
        <w:t xml:space="preserve">- Zaxiralar, mlrd rubl (Jadv. 3.2.10, p. 99): Sberbank 1 196,5 → 1 303,4 (+8,93%), VTB BM 672,5 → 632,5, Gazprombank 318 → 256, Alfa 222,3 → 161,5 (−27,35%), BM-bank 322,1 → 234,2 (−27,29%), UniCredit 33,4 → 45,3 (+35,63%), RSXB 179,2 → 190,0 (+6,03%). Zaxiralar kamayishi ikki xil izohlanadi: sifat yaxshilangani yoki zaxira yetarli shakllantirilmagani (</w:t>
      </w:r>
      <w:r>
        <w:t xml:space="preserve">“</w:t>
      </w:r>
      <w:r>
        <w:t xml:space="preserve">недосоздание</w:t>
      </w:r>
      <w:r>
        <w:t xml:space="preserve">”</w:t>
      </w:r>
      <w:r>
        <w:t xml:space="preserve">).</w:t>
      </w:r>
      <w:r>
        <w:t xml:space="preserve"> </w:t>
      </w:r>
      <w:r>
        <w:t xml:space="preserve">- Zaxiralarning portfelga nisbati (Jadv. 3.2.11, p. 100): Sberbank 6,4 → 7,5%, BM-bank 33,7 → 19,5%, Alfa 16,9 → 12,2%. 5 bankda oshgan, 5 bankda kamaygan (p. 101).</w:t>
      </w:r>
      <w:r>
        <w:t xml:space="preserve"> </w:t>
      </w:r>
      <w:r>
        <w:t xml:space="preserve">- Sberbank 7 yillik qatori (Jadv. 3.2.12, p. 102; jadval OCRda o‘qilmadi): ishlamaydigan aktivlarning aktivlarga va portfelga nisbati o‘sib bormoqda va 2009-yil darajasiga yaqinlashmoqda. RVPS/portfel nisbati ≤8% bo‘lib,</w:t>
      </w:r>
      <w:r>
        <w:t xml:space="preserve"> </w:t>
      </w:r>
      <w:r>
        <w:t xml:space="preserve">“</w:t>
      </w:r>
      <w:r>
        <w:t xml:space="preserve">normal risk</w:t>
      </w:r>
      <w:r>
        <w:t xml:space="preserve">”</w:t>
      </w:r>
      <w:r>
        <w:t xml:space="preserve"> </w:t>
      </w:r>
      <w:r>
        <w:t xml:space="preserve">oralig‘ida (pp. 101–103).</w:t>
      </w:r>
      <w:r>
        <w:t xml:space="preserve"> </w:t>
      </w:r>
      <w:r>
        <w:t xml:space="preserve">- 01.01.2019 dan IFRS 9 bo‘yicha zaxira aktivning baholash toifasiga bog‘lanadi: FVTPL, FVOCI yoki amortizatsiyalangan qiymat. Natijada zaxiralar doimiy qayta baholanadi va kapitalga ta’sir qiladi. Bank sektori bo‘yicha (Jadv. 3.2.13, p. 104): qarz qog‘ozlari zaxiralari 45 878 → 58 754 mln rubl (01.01 → 01.09.2017).</w:t>
      </w:r>
      <w:r>
        <w:t xml:space="preserve"> </w:t>
      </w:r>
      <w:r>
        <w:t xml:space="preserve">- Industrial bank IFRS 9 bo‘yicha prognoz qiluvchi misol (pp. 104–108). Kreditlar 9 oyda +11,3%, zaxiralar +10,3%. Individual va guruh zaxiralari nisbati 89,4/10,6% (avval 81,8/18,2%). Eng yirik 10 qarz oluvchi portfelning 21% ini tashkil qiladi. Garovdan olingan ko‘chmas mulk (18,997 mlrd rubl) defolt deb faraz qilinsa, zaxira kreditlarning 19,1% iga (39,9 mlrd) yetadi. Demak, zaxira xarajatlari</w:t>
      </w:r>
      <w:r>
        <w:t xml:space="preserve"> </w:t>
      </w:r>
      <w:r>
        <w:t xml:space="preserve">“</w:t>
      </w:r>
      <w:r>
        <w:t xml:space="preserve">deyarli 2 baravar</w:t>
      </w:r>
      <w:r>
        <w:t xml:space="preserve">”</w:t>
      </w:r>
      <w:r>
        <w:t xml:space="preserve"> </w:t>
      </w:r>
      <w:r>
        <w:t xml:space="preserve">oshadi. IFRS 9 kamida 3 yillik retrospektiv qatorni talab qiladi (p. 108).</w:t>
      </w:r>
      <w:r>
        <w:t xml:space="preserve"> </w:t>
      </w:r>
      <w:r>
        <w:t xml:space="preserve">- Xulosalar (pp. 108–109): MSFO va RSBU aktivlari tasniflash sababli sezilarli farq qiladi. Kredit portfelining qisqarishi zaxiralar o‘sishi va sifat yomonlashuvi bilan bog‘liq. MSFO yondashuvi</w:t>
      </w:r>
      <w:r>
        <w:t xml:space="preserve"> </w:t>
      </w:r>
      <w:r>
        <w:t xml:space="preserve">“</w:t>
      </w:r>
      <w:r>
        <w:t xml:space="preserve">qat’iyroq</w:t>
      </w:r>
      <w:r>
        <w:t xml:space="preserve">”</w:t>
      </w:r>
      <w:r>
        <w:t xml:space="preserve">.</w:t>
      </w:r>
      <w:r>
        <w:t xml:space="preserve"> </w:t>
      </w:r>
      <w:r>
        <w:t xml:space="preserve">- Bog‘liq ma’lumot (§3.1, pp. 85–87). BM-bank 2015-yilda RSBU bo‘yicha 63,7 mlrd rubl zarar ko‘rsatgan, MSFO bo‘yicha esa soliq qoplamasi hisobiga +4,35 mlrd foyda. RSBUda Bank Rossiyaning imtiyozli kurslari qo‘llangani uchun valyuta qayta baholashi +16,3 mlrd chiqqan, MSFOda zarar. VTB va Gazprombank kapitali valyuta qayta baholashi sababli, RSXB kapitali esa zararli faoliyat sababli kamaygan.</w:t>
      </w:r>
    </w:p>
    <w:p>
      <w:pPr>
        <w:pStyle w:val="BodyText"/>
      </w:pPr>
      <w:r>
        <w:rPr>
          <w:bCs/>
          <w:b/>
        </w:rPr>
        <w:t xml:space="preserve">2b. 4-bob. Praktikum (pp. 141–256)</w:t>
      </w:r>
      <w:r>
        <w:t xml:space="preserve"> </w:t>
      </w:r>
      <w:r>
        <w:t xml:space="preserve">Bob 9 paragrafdan iborat va asosan topshiriqlar jadvallardan tuzilgan: har bir topshiriqda</w:t>
      </w:r>
      <w:r>
        <w:t xml:space="preserve"> </w:t>
      </w:r>
      <w:r>
        <w:t xml:space="preserve">“</w:t>
      </w:r>
      <w:r>
        <w:t xml:space="preserve">проанализировать… перечислить стандарты МСФО… объяснить разницу… аналитическая записка</w:t>
      </w:r>
      <w:r>
        <w:t xml:space="preserve">”</w:t>
      </w:r>
      <w:r>
        <w:t xml:space="preserve"> </w:t>
      </w:r>
      <w:r>
        <w:t xml:space="preserve">talablari bor. Tahlilning asosiy usuli</w:t>
      </w:r>
      <w:r>
        <w:t xml:space="preserve"> </w:t>
      </w:r>
      <w:r>
        <w:t xml:space="preserve">“</w:t>
      </w:r>
      <w:r>
        <w:t xml:space="preserve">метод корректировок</w:t>
      </w:r>
      <w:r>
        <w:t xml:space="preserve">”</w:t>
      </w:r>
      <w:r>
        <w:t xml:space="preserve">, ya’ni RSBU satrlarini MSFOga transformatsiya qilish (p. 142).</w:t>
      </w:r>
      <w:r>
        <w:t xml:space="preserve"> </w:t>
      </w:r>
      <w:r>
        <w:t xml:space="preserve">-</w:t>
      </w:r>
      <w:r>
        <w:t xml:space="preserve"> </w:t>
      </w:r>
      <w:r>
        <w:rPr>
          <w:bCs/>
          <w:b/>
        </w:rPr>
        <w:t xml:space="preserve">4.1. Asosiy ko‘rsatkichlar (pp. 143–150).</w:t>
      </w:r>
      <w:r>
        <w:t xml:space="preserve"> </w:t>
      </w:r>
      <w:r>
        <w:t xml:space="preserve">Jadv. 4.1.1, ming rubl, joriy yil: kapital MSFO 46,1 mlrd / RSBU 51,2 mlrd; aktivlar 817,7 / 784,4; mijozlarga ssudalar</w:t>
      </w:r>
      <w:r>
        <w:t xml:space="preserve"> </w:t>
      </w:r>
      <w:r>
        <w:rPr>
          <w:bCs/>
          <w:b/>
        </w:rPr>
        <w:t xml:space="preserve">218,1 / 584,6</w:t>
      </w:r>
      <w:r>
        <w:t xml:space="preserve">; depozitlar 487,9 / 415,7. Ssudalardagi katta farq tasnifdan kelib chiqadi: RSBUda MBK (401,2 mlrd) ssuda qarziga kiritilgan, MSFOda esa</w:t>
      </w:r>
      <w:r>
        <w:t xml:space="preserve"> </w:t>
      </w:r>
      <w:r>
        <w:t xml:space="preserve">“</w:t>
      </w:r>
      <w:r>
        <w:t xml:space="preserve">средства в банках</w:t>
      </w:r>
      <w:r>
        <w:t xml:space="preserve">”</w:t>
      </w:r>
      <w:r>
        <w:t xml:space="preserve"> </w:t>
      </w:r>
      <w:r>
        <w:t xml:space="preserve">(432,5 mlrd) alohida modda sifatida ko‘rsatilgan (Jadv. 4.3.1, 4.4.2). Jadv. 4.1.6: bir yildagi o‘zgarish MSFO va RSBU bo‘yicha turlicha, masalan aktivlar 92,7% / 92,9%, foyda 98,5% / 63,97%. Misollar Promsvyazbank va</w:t>
      </w:r>
      <w:r>
        <w:t xml:space="preserve"> </w:t>
      </w:r>
      <w:r>
        <w:t xml:space="preserve">“</w:t>
      </w:r>
      <w:r>
        <w:t xml:space="preserve">Rossiyskiy kapital</w:t>
      </w:r>
      <w:r>
        <w:t xml:space="preserve">”</w:t>
      </w:r>
      <w:r>
        <w:t xml:space="preserve"> </w:t>
      </w:r>
      <w:r>
        <w:t xml:space="preserve">bo‘yicha.</w:t>
      </w:r>
      <w:r>
        <w:t xml:space="preserve"> </w:t>
      </w:r>
      <w:r>
        <w:t xml:space="preserve">-</w:t>
      </w:r>
      <w:r>
        <w:t xml:space="preserve"> </w:t>
      </w:r>
      <w:r>
        <w:rPr>
          <w:bCs/>
          <w:b/>
        </w:rPr>
        <w:t xml:space="preserve">4.2. Kapital, normativlar va likvidlik (pp. 151–167).</w:t>
      </w:r>
      <w:r>
        <w:t xml:space="preserve"> </w:t>
      </w:r>
      <w:r>
        <w:t xml:space="preserve">Kapital farqlarining manbalari sanab o‘tilgan: ofis ko‘chmas mulki va AFS qayta baholash fondlari, kurs farqlari, pensiya rejalari, nazorat qilinmaydigan ulush, subordinatsiyalangan kredit, kechiktirilgan soliq aktivi (ONA), xedjlash. Normativlar 180-И bo‘yicha: N1.1 ≥4,5%, N1.2 ≥6%, N1.0 ≥8%, N2 ≥15%, N3 ≥50%, N4 ≤120% (Jadv. 4.2.3). Jadv. 4.2.8 da N1.1 MSFO va RSBU bo‘yicha qo‘yilgan, taxminan 6,8% / 5,7% [OCR noaniq]. ICAAP hisobotini MSFO ma’lumotlari asosida tuzish haqida Bank Rossiyaning 26.08.2015 dagi № 41-3-1-7/1058 xati bor. MSFO bo‘yicha kapital, 01.01.2017 (Jadv. 4.2.12–4.2.13): Gazprombank 494,5 (−6,8%), Otkrytie 232,0, BM-bank 200,3, UniCredit 181,7, RSXB 164,6.</w:t>
      </w:r>
      <w:r>
        <w:t xml:space="preserve"> </w:t>
      </w:r>
      <w:r>
        <w:t xml:space="preserve">-</w:t>
      </w:r>
      <w:r>
        <w:t xml:space="preserve"> </w:t>
      </w:r>
      <w:r>
        <w:rPr>
          <w:bCs/>
          <w:b/>
        </w:rPr>
        <w:t xml:space="preserve">4.3. Aktivlar (pp. 167–178).</w:t>
      </w:r>
      <w:r>
        <w:t xml:space="preserve"> </w:t>
      </w:r>
      <w:r>
        <w:t xml:space="preserve">MSFO va RSBU aktivlar tuzilmasi: MSFOda pul mablag‘lari Markaziy bankdagi qoldiq bilan birga, RSBUda alohida. Repo bo‘yicha garovdagi aktivlar va AFS faqat MSFOda ajratiladi. MSFO bo‘yicha aktivlar dinamikasi: Sberbank 25 368,5 mlrd (−1 966,2), VTB 12 585,5 (−1 056,4), VTB24 3 090,4 (+206,1), RSXB 2 462,5 (+4,9%). Standartlar: IAS 1, IAS 36, IFRS 13.</w:t>
      </w:r>
      <w:r>
        <w:t xml:space="preserve"> </w:t>
      </w:r>
      <w:r>
        <w:t xml:space="preserve">-</w:t>
      </w:r>
      <w:r>
        <w:t xml:space="preserve"> </w:t>
      </w:r>
      <w:r>
        <w:rPr>
          <w:bCs/>
          <w:b/>
        </w:rPr>
        <w:t xml:space="preserve">4.4. Kredit operatsiyalari va kredit riski (pp. 179–205).</w:t>
      </w:r>
      <w:r>
        <w:t xml:space="preserve"> </w:t>
      </w:r>
      <w:r>
        <w:t xml:space="preserve">Asosiy hujjatlar: 590-П, 462-П, 96-Т (BCBS 239). RSBUda ssuda qarzi MBK, veksellar va sessiya talablarini ham qamrab oladi. MSFOda ssudalar zaxira chegirilgan holda segmentlarga (karta, iste’mol, ipoteka) ajratiladi. Misol: zaxira MSFO 12,5 mlrd / RSBU 16,1 mlrd. Jadv. 4.4.13 va 4.4.18 §3.2 dagi 10 bank ma’lumotlarini takrorlaydi (Sberbank zaxiralari +8,93%, RSXB +6,03%).</w:t>
      </w:r>
      <w:r>
        <w:t xml:space="preserve"> </w:t>
      </w:r>
      <w:r>
        <w:t xml:space="preserve">-</w:t>
      </w:r>
      <w:r>
        <w:t xml:space="preserve"> </w:t>
      </w:r>
      <w:r>
        <w:rPr>
          <w:bCs/>
          <w:b/>
        </w:rPr>
        <w:t xml:space="preserve">4.5. Adolatli qiymatdagi aktivlar (pp. 206–215).</w:t>
      </w:r>
      <w:r>
        <w:t xml:space="preserve"> </w:t>
      </w:r>
      <w:r>
        <w:t xml:space="preserve">IFRS 9, IFRS 7, IFRS 13 qo‘llanadi. AFS va sho‘ba kompaniyalarga investitsiyalar MSFO va RSBUda turlicha aks ettiriladi.</w:t>
      </w:r>
      <w:r>
        <w:t xml:space="preserve"> </w:t>
      </w:r>
      <w:r>
        <w:t xml:space="preserve">-</w:t>
      </w:r>
      <w:r>
        <w:t xml:space="preserve"> </w:t>
      </w:r>
      <w:r>
        <w:rPr>
          <w:bCs/>
          <w:b/>
        </w:rPr>
        <w:t xml:space="preserve">4.6. Boshqa aktivlar va asosiy vositalar (pp. 215–220).</w:t>
      </w:r>
      <w:r>
        <w:t xml:space="preserve"> </w:t>
      </w:r>
      <w:r>
        <w:t xml:space="preserve">IAS 16: amortizatsiya va qoldiq qiymatdagi farqlar.</w:t>
      </w:r>
      <w:r>
        <w:t xml:space="preserve"> </w:t>
      </w:r>
      <w:r>
        <w:t xml:space="preserve">-</w:t>
      </w:r>
      <w:r>
        <w:t xml:space="preserve"> </w:t>
      </w:r>
      <w:r>
        <w:rPr>
          <w:bCs/>
          <w:b/>
        </w:rPr>
        <w:t xml:space="preserve">4.7. Majburiyatlar (pp. 220–229).</w:t>
      </w:r>
      <w:r>
        <w:t xml:space="preserve"> </w:t>
      </w:r>
      <w:r>
        <w:t xml:space="preserve">Depozitlar, chiqarilgan qarz majburiyatlari. Masalan, 38,60 mlrd (MSFO) / 37,80 mlrd (RSBU).</w:t>
      </w:r>
      <w:r>
        <w:t xml:space="preserve"> </w:t>
      </w:r>
      <w:r>
        <w:t xml:space="preserve">-</w:t>
      </w:r>
      <w:r>
        <w:t xml:space="preserve"> </w:t>
      </w:r>
      <w:r>
        <w:rPr>
          <w:bCs/>
          <w:b/>
        </w:rPr>
        <w:t xml:space="preserve">4.8. Daromad va xarajatlar (pp. 229–239).</w:t>
      </w:r>
      <w:r>
        <w:t xml:space="preserve"> </w:t>
      </w:r>
      <w:r>
        <w:t xml:space="preserve">MSFO bo‘yicha jami daromad hisoboti RSBU bo‘yicha moliyaviy natijalar hisobotiga taqqoslanadi. Foiz daromadlari tuzilmasi 87,8% / 89,05%.</w:t>
      </w:r>
      <w:r>
        <w:t xml:space="preserve"> </w:t>
      </w:r>
      <w:r>
        <w:t xml:space="preserve">-</w:t>
      </w:r>
      <w:r>
        <w:t xml:space="preserve"> </w:t>
      </w:r>
      <w:r>
        <w:rPr>
          <w:bCs/>
          <w:b/>
        </w:rPr>
        <w:t xml:space="preserve">4.9. Aktiv operatsiyalari riskleri (pp. 239–256).</w:t>
      </w:r>
      <w:r>
        <w:t xml:space="preserve"> </w:t>
      </w:r>
      <w:r>
        <w:t xml:space="preserve">MSFO bo‘yicha maksimal kredit riski ta’minotdan oldin va keyin ko‘rsatiladi. Bozor riski RSBU bo‘yicha: jami 25,67 mln, shundan foiz riski 19,0 mln.</w:t>
      </w:r>
    </w:p>
    <w:p>
      <w:pPr>
        <w:pStyle w:val="BodyText"/>
      </w:pPr>
      <w:r>
        <w:rPr>
          <w:bCs/>
          <w:b/>
        </w:rPr>
        <w:t xml:space="preserve">3. Dissertatsiyada qo‘llash</w:t>
      </w:r>
      <w:r>
        <w:t xml:space="preserve"> </w:t>
      </w:r>
      <w:r>
        <w:t xml:space="preserve">- §2.3: Jadv. 3.2.6 ni</w:t>
      </w:r>
      <w:r>
        <w:t xml:space="preserve"> </w:t>
      </w:r>
      <w:r>
        <w:t xml:space="preserve">“</w:t>
      </w:r>
      <w:r>
        <w:t xml:space="preserve">PB/RSBU zaxirasi, IAS 39, IFRS 9</w:t>
      </w:r>
      <w:r>
        <w:t xml:space="preserve">”</w:t>
      </w:r>
      <w:r>
        <w:t xml:space="preserve"> </w:t>
      </w:r>
      <w:r>
        <w:t xml:space="preserve">uch ustunli taqqoslash sifatida O‘zbekiston uchun moslashtirish mumkin: MB nizomi ham sifat toifalariga asoslangan. Bunga BM-bank misoli qo‘shiladi: RSBU −63,7 mlrd, MSFO +4,35 mlrd, imtiyozli kurslar. Bu milliy hisobotdagi</w:t>
      </w:r>
      <w:r>
        <w:t xml:space="preserve"> </w:t>
      </w:r>
      <w:r>
        <w:t xml:space="preserve">“</w:t>
      </w:r>
      <w:r>
        <w:t xml:space="preserve">regulyativ yengilliklar</w:t>
      </w:r>
      <w:r>
        <w:t xml:space="preserve">”</w:t>
      </w:r>
      <w:r>
        <w:t xml:space="preserve"> </w:t>
      </w:r>
      <w:r>
        <w:t xml:space="preserve">ko‘rsatkichlarni buzishini ko‘rsatadi.</w:t>
      </w:r>
      <w:r>
        <w:t xml:space="preserve"> </w:t>
      </w:r>
      <w:r>
        <w:t xml:space="preserve">- §3.3 (ΔMBII):</w:t>
      </w:r>
      <w:r>
        <w:t xml:space="preserve"> </w:t>
      </w:r>
      <w:r>
        <w:t xml:space="preserve">“</w:t>
      </w:r>
      <w:r>
        <w:t xml:space="preserve">метод корректировок</w:t>
      </w:r>
      <w:r>
        <w:t xml:space="preserve">”</w:t>
      </w:r>
      <w:r>
        <w:t xml:space="preserve"> </w:t>
      </w:r>
      <w:r>
        <w:t xml:space="preserve">asosida MBII-milliy ko‘rsatkichlarini MBII-MSFO ga o‘tkazish uchun tuzatishlar ro‘yxatini tuzish mumkin: (1) MBK va</w:t>
      </w:r>
      <w:r>
        <w:t xml:space="preserve"> </w:t>
      </w:r>
      <w:r>
        <w:t xml:space="preserve">“</w:t>
      </w:r>
      <w:r>
        <w:t xml:space="preserve">средства в банках</w:t>
      </w:r>
      <w:r>
        <w:t xml:space="preserve">”</w:t>
      </w:r>
      <w:r>
        <w:t xml:space="preserve"> </w:t>
      </w:r>
      <w:r>
        <w:t xml:space="preserve">ni qayta tasniflash (kredit/aktiv ulushiga ta’sir qiladi); (2) zaxiralarni ECL bo‘yicha qayta hisoblash (NPL qoplami va kapitalga ta’sir); (3) qayta baholash fondlari, ONA va subordinatsiyalangan qarz (kapital); (4) valyuta qayta baholashi (FX blok).</w:t>
      </w:r>
      <w:r>
        <w:t xml:space="preserve"> </w:t>
      </w:r>
      <w:r>
        <w:t xml:space="preserve">- §3.1:</w:t>
      </w:r>
      <w:r>
        <w:t xml:space="preserve"> </w:t>
      </w:r>
      <w:r>
        <w:t xml:space="preserve">“</w:t>
      </w:r>
      <w:r>
        <w:t xml:space="preserve">Aktivlar</w:t>
      </w:r>
      <w:r>
        <w:t xml:space="preserve">”</w:t>
      </w:r>
      <w:r>
        <w:t xml:space="preserve"> </w:t>
      </w:r>
      <w:r>
        <w:t xml:space="preserve">bloki uchun</w:t>
      </w:r>
      <w:r>
        <w:t xml:space="preserve"> </w:t>
      </w:r>
      <w:r>
        <w:t xml:space="preserve">“</w:t>
      </w:r>
      <w:r>
        <w:t xml:space="preserve">zaxiralar / kredit portfeli</w:t>
      </w:r>
      <w:r>
        <w:t xml:space="preserve">”</w:t>
      </w:r>
      <w:r>
        <w:t xml:space="preserve"> </w:t>
      </w:r>
      <w:r>
        <w:t xml:space="preserve">ko‘rsatkichini qo‘llash mumkin. Sberbankda u 6–8%, muallif ≤8% ni</w:t>
      </w:r>
      <w:r>
        <w:t xml:space="preserve"> </w:t>
      </w:r>
      <w:r>
        <w:t xml:space="preserve">“</w:t>
      </w:r>
      <w:r>
        <w:t xml:space="preserve">normal risk</w:t>
      </w:r>
      <w:r>
        <w:t xml:space="preserve">”</w:t>
      </w:r>
      <w:r>
        <w:t xml:space="preserve"> </w:t>
      </w:r>
      <w:r>
        <w:t xml:space="preserve">deb hisoblaydi (p. 103).</w:t>
      </w:r>
      <w:r>
        <w:t xml:space="preserve"> </w:t>
      </w:r>
      <w:r>
        <w:t xml:space="preserve">“</w:t>
      </w:r>
      <w:r>
        <w:t xml:space="preserve">Ishlamaydigan aktivlar / aktivlar</w:t>
      </w:r>
      <w:r>
        <w:t xml:space="preserve">”</w:t>
      </w:r>
      <w:r>
        <w:t xml:space="preserve"> </w:t>
      </w:r>
      <w:r>
        <w:t xml:space="preserve">ko‘rsatkichining kuzatiladigan nuqtasi sifatida 2009-yilgi inqiroz darajasi olinadi.</w:t>
      </w:r>
      <w:r>
        <w:t xml:space="preserve"> </w:t>
      </w:r>
      <w:r>
        <w:t xml:space="preserve">- §4.3: Industrial bank misolida IFRS 9 ga o‘tish zaxira xarajatlarini taxminan 2 baravar oshiradi va zaxira kreditlarning 19% iga yetadi (p. 108). Shuni NPL va ECL bo‘yicha stress-ssenariy uchun analog sifatida keltirish mumkin.</w:t>
      </w:r>
      <w:r>
        <w:t xml:space="preserve"> </w:t>
      </w:r>
      <w:r>
        <w:t xml:space="preserve">- §1.2: IFRS 9 bo‘yicha zaxiraning baholash toifasiga (FVTPL, FVOCI, AC) bog‘lanishi va 3 yillik retrospektiva talabi (pp. 103, 108).</w:t>
      </w:r>
    </w:p>
    <w:p>
      <w:pPr>
        <w:pStyle w:val="BodyText"/>
      </w:pPr>
      <w:r>
        <w:rPr>
          <w:bCs/>
          <w:b/>
        </w:rPr>
        <w:t xml:space="preserve">4. Iqtiboslar [OCR]</w:t>
      </w:r>
      <w:r>
        <w:t xml:space="preserve"> </w:t>
      </w:r>
      <w:r>
        <w:t xml:space="preserve">- «Главным отличием российских РСБУ от МСФО при оценке качества кредитного портфеля является отсутствие каких-либо четко установленных критериев» (p. 93).</w:t>
      </w:r>
      <w:r>
        <w:t xml:space="preserve"> </w:t>
      </w:r>
      <w:r>
        <w:t xml:space="preserve">- «величина и методика расчета рисков активных операций банка значительно отличается, как в оценке, так и в подходах к составлению мотивированного заключения» (p. 96).</w:t>
      </w:r>
      <w:r>
        <w:t xml:space="preserve"> </w:t>
      </w:r>
      <w:r>
        <w:t xml:space="preserve">- «Вместо подхода на основе понесенных убытков вводится прогнозный подход» (p. 104).</w:t>
      </w:r>
      <w:r>
        <w:t xml:space="preserve"> </w:t>
      </w:r>
      <w:r>
        <w:t xml:space="preserve">- «Снижение абсолютных значений резервов… может быть связано как с улучшением качества кредитного портфеля, так и практикой недосоздания необходимого размера резервов» (p. 99).</w:t>
      </w:r>
      <w:r>
        <w:t xml:space="preserve"> </w:t>
      </w:r>
      <w:r>
        <w:t xml:space="preserve">- «Данные по МСФО и по РСБУ отличаются в результате разного подхода к учету отдельных статей. У МСФО подход более строгий» (p. 87).</w:t>
      </w:r>
      <w:r>
        <w:t xml:space="preserve"> </w:t>
      </w:r>
      <w:r>
        <w:t xml:space="preserve">- «Прогноз показал возможность существенного дефолта по кредитному портфелю, что увеличит в будущем расходы банка на формирование резервов… почти в 2 раза» (p. 108).</w:t>
      </w:r>
    </w:p>
    <w:p>
      <w:pPr>
        <w:pStyle w:val="BodyText"/>
      </w:pPr>
      <w:r>
        <w:rPr>
          <w:bCs/>
          <w:b/>
        </w:rPr>
        <w:t xml:space="preserve">5. Moslashtiriladigan jadval/formulalar</w:t>
      </w:r>
      <w:r>
        <w:t xml:space="preserve"> </w:t>
      </w:r>
      <w:r>
        <w:t xml:space="preserve">- Jadv. 3.2.6: IAS 39 / RSBU / IFRS 9 zaxira parametrlari (PD, LGD, EAD, EL, qamrab olinadigan risklar), pp. 94–95.</w:t>
      </w:r>
      <w:r>
        <w:t xml:space="preserve"> </w:t>
      </w:r>
      <w:r>
        <w:t xml:space="preserve">- Jadv. 3.2.3–3.2.5: aktivlar va kredit portfeli tuzilmasi, MSFO va RSBU yonma-yon, 2 yil bo‘yicha, pp. 91–93.</w:t>
      </w:r>
      <w:r>
        <w:t xml:space="preserve"> </w:t>
      </w:r>
      <w:r>
        <w:t xml:space="preserve">- Jadv. 3.2.10–3.2.11: zaxiralar va</w:t>
      </w:r>
      <w:r>
        <w:t xml:space="preserve"> </w:t>
      </w:r>
      <w:r>
        <w:t xml:space="preserve">“</w:t>
      </w:r>
      <w:r>
        <w:t xml:space="preserve">zaxira/portfel</w:t>
      </w:r>
      <w:r>
        <w:t xml:space="preserve">”</w:t>
      </w:r>
      <w:r>
        <w:t xml:space="preserve"> </w:t>
      </w:r>
      <w:r>
        <w:t xml:space="preserve">nisbati, 10 bank bo‘yicha, pp. 99–100.</w:t>
      </w:r>
      <w:r>
        <w:t xml:space="preserve"> </w:t>
      </w:r>
      <w:r>
        <w:t xml:space="preserve">- Jadv. 3.1.8: foydaning kapitaldagi ulushi, p. 86.</w:t>
      </w:r>
      <w:r>
        <w:t xml:space="preserve"> </w:t>
      </w:r>
      <w:r>
        <w:t xml:space="preserve">- Jadv. 4.1.1 + 4.3.1 + 4.4.2: bitta bankning MSFO va RSBU ko‘rsatkichlari va tasniflash bo‘yicha tuzatishlar, pp. 143, 167, 181–182.</w:t>
      </w:r>
      <w:r>
        <w:t xml:space="preserve"> </w:t>
      </w:r>
      <w:r>
        <w:t xml:space="preserve">- Jadv. 4.2.3 / 4.2.8: normativlar N1.1–N4, MSFO va RSBU bo‘yicha, pp. 156, 160.</w:t>
      </w:r>
    </w:p>
    <w:bookmarkEnd w:id="50"/>
    <w:bookmarkStart w:id="51" w:name="X38a0b75092ba20c13aa79113efe8e84fb179778"/>
    <w:p>
      <w:pPr>
        <w:pStyle w:val="Heading2"/>
      </w:pPr>
      <w:r>
        <w:t xml:space="preserve">5. «О приведении банковского регулирования в соответствие со стандартами Базельского комитета (Базель III)» (KNORUS)</w:t>
      </w:r>
    </w:p>
    <w:p>
      <w:pPr>
        <w:pStyle w:val="FirstParagraph"/>
      </w:pPr>
      <w:r>
        <w:rPr>
          <w:bCs/>
          <w:b/>
        </w:rPr>
        <w:t xml:space="preserve">1. Bibliografiya.</w:t>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О.И. Лаврушин, И.В. Ларионова, Е.И. Мешкова, С.Е. Дубова, С.В. Зубкова, А.Е. Ушанов, Е.К. Пуртова, К.А. Рогачев, N. Konovalova, S. Daletska. — М.: КНОРУС (Финансовый университет при Правительстве РФ), [2017–2018]. — 186 с.</w:t>
      </w:r>
      <w:r>
        <w:t xml:space="preserve"> </w:t>
      </w:r>
      <w:r>
        <w:t xml:space="preserve">Skanda kolofon yo‘q. Matnda 4336-У (03.04.2017) va 180-И (28.06.2017) keltirilgan, shuning uchun nashr yili 2017-yildan oldin bo‘lishi mumkin emas; katalogdan tekshirish kerak. Paragraf mualliflari: 2.1 — Larionova, Meshkova; 2.2 — Meshkova; 2.3 — Purtova; 2.4 — Zubkova, Ushanov, Rogachev; 2.5 — Dubova; 3.1 — Konovalova, Daletska; 3.2 — Rogachev.</w:t>
      </w:r>
    </w:p>
    <w:p>
      <w:pPr>
        <w:pStyle w:val="BodyText"/>
      </w:pPr>
      <w:r>
        <w:rPr>
          <w:bCs/>
          <w:b/>
        </w:rPr>
        <w:t xml:space="preserve">2.1. Rossiya banklari risklari va Basel III ga tayyorlik (pp. 25–39)</w:t>
      </w:r>
      <w:r>
        <w:t xml:space="preserve"> </w:t>
      </w:r>
      <w:r>
        <w:t xml:space="preserve">- Zaiflik omillari: makro trendning salbiyligi, kontragentlarning zaiflashuvi, konsentratsiya, regulyatsiyaning qat’iylashuvi (p. 25).</w:t>
      </w:r>
      <w:r>
        <w:t xml:space="preserve"> </w:t>
      </w:r>
      <w:r>
        <w:t xml:space="preserve">- Litsenziyalar bekor qilinishi: 2014-yil 66 ta, 2015-yil 74 ta, 2016-yil 1-yarmida 29 ta. 01.07.2016 da 680 KO qolgan. Aktivlarning 54% dan ortig‘i TOP-5 bankda (pp. 27–28).</w:t>
      </w:r>
      <w:r>
        <w:t xml:space="preserve"> </w:t>
      </w:r>
      <w:r>
        <w:t xml:space="preserve">- IMF FSI bo‘yicha: kapital/RWA 20,9% (2009) dan 12,7% (2015) gacha, ya’ni taxminan −40%. Kapital/aktivlar 14% dan 9,3% gacha. NPL 8,3% (2010-yilda 8,2%). NPLni zaxira bilan qoplash 96% dan 57,6% gacha tushgan (pp. 29–30).</w:t>
      </w:r>
      <w:r>
        <w:t xml:space="preserve"> </w:t>
      </w:r>
      <w:r>
        <w:t xml:space="preserve">- Restrukturizatsiya qilingan ssudalar yirik kreditlarning 30% ini tashkil qiladi (oldin 26,2%). I–II toifadagi kreditlar 87% dan 82% gacha kamaygan (p. 30).</w:t>
      </w:r>
      <w:r>
        <w:t xml:space="preserve"> </w:t>
      </w:r>
      <w:r>
        <w:t xml:space="preserve">- Yirik risklar/kapital 254,4%, Yevropadagi eng yuqori ko‘rsatkichlardan biri. Yirik risklarning aktivlardagi ulushi 27% (p. 33).</w:t>
      </w:r>
      <w:r>
        <w:t xml:space="preserve"> </w:t>
      </w:r>
      <w:r>
        <w:t xml:space="preserve">- ROE 17,9% (2012) dan 2% (2015) gacha tushgan. Risk va kapital qiymatini qoplashga 1,2–1,8% o‘rniga 0,5% qolgan (p. 35).</w:t>
      </w:r>
      <w:r>
        <w:t xml:space="preserve"> </w:t>
      </w:r>
      <w:r>
        <w:t xml:space="preserve">- Bozor riski jami riskning 5,5% i, uning 75% dan ortig‘i foiz riski.</w:t>
      </w:r>
      <w:r>
        <w:t xml:space="preserve"> </w:t>
      </w:r>
      <w:r>
        <w:t xml:space="preserve">“</w:t>
      </w:r>
      <w:r>
        <w:t xml:space="preserve">Balans</w:t>
      </w:r>
      <w:r>
        <w:t xml:space="preserve">”</w:t>
      </w:r>
      <w:r>
        <w:t xml:space="preserve"> </w:t>
      </w:r>
      <w:r>
        <w:t xml:space="preserve">foiz riski hisobga olinmaydi (p. 36).</w:t>
      </w:r>
      <w:r>
        <w:t xml:space="preserve"> </w:t>
      </w:r>
      <w:r>
        <w:t xml:space="preserve">- Barqarorlik omillari sxemasi (rasm 2.12, p. 39). Tashqi omillar: regulyatsiya, moliya bozori, iqtisodiy dinamika, siyosat. Ichki omillar: biznes modeli, mulkchilik turi, resurslar, qabul qilingan risk darajasi, menejment sifati. Xulosa: sektor Basel III ga to‘liq tayyor emas.</w:t>
      </w:r>
    </w:p>
    <w:p>
      <w:pPr>
        <w:pStyle w:val="BodyText"/>
      </w:pPr>
      <w:r>
        <w:rPr>
          <w:bCs/>
          <w:b/>
        </w:rPr>
        <w:t xml:space="preserve">2.2. Basel III sharoitida kapital yetarliligi (pp. 40–60)</w:t>
      </w:r>
      <w:r>
        <w:t xml:space="preserve"> </w:t>
      </w:r>
      <w:r>
        <w:t xml:space="preserve">- Formula: yetarlilik = tegishli darajadagi kapital / RWA (p. 41). Basel III yangiliklari: SA-CCR, CCP, sekyuritizatsiya, fondlardagi ulushlar, 2017–2018-yillardan.</w:t>
      </w:r>
      <w:r>
        <w:t xml:space="preserve"> </w:t>
      </w:r>
      <w:r>
        <w:t xml:space="preserve">- Jadv. 2.1 (pp. 41–42) mikro va makro ta’sirlarni ko‘rsatadi. Jadv. 2.2 (pp. 42–43): Rossiya va YeI Basel III ni joriy qilishda tenglashgan. 395-П bo‘yicha 2014-yildan Basel III kapitali hisoblanadi.</w:t>
      </w:r>
      <w:r>
        <w:t xml:space="preserve"> </w:t>
      </w:r>
      <w:r>
        <w:t xml:space="preserve">- 01.01.2016 holatiga yetarlilik 12,7% (Tier 1 8,5%), Yevropadagi eng past ko‘rsatkich. 2014-yildagi yengilliklar: qimmatli qog‘ozlar bo‘yicha salbiy qayta baholashni hisobga olmaslik, 01.10.2014 kursini qo‘llash, sanksiya ostidagi qarz oluvchilar bo‘yicha zaxira yaratmaslik (p. 44).</w:t>
      </w:r>
      <w:r>
        <w:t xml:space="preserve"> </w:t>
      </w:r>
      <w:r>
        <w:t xml:space="preserve">- Tuzilma: asosiy kapital taxminan 65%, qo‘shimcha kapital ahamiyatsiz. 2015-yilgi davlat yordami 802 mlrd rubl, ya’ni kapitalning 10% dan ortig‘i (p. 50).</w:t>
      </w:r>
      <w:r>
        <w:t xml:space="preserve"> </w:t>
      </w:r>
      <w:r>
        <w:t xml:space="preserve">- RWA tuzilmasi: balans kredit riski taxminan 54%, yuqori riskli operatsiyalar 17%, operatsion risk 9%, bozor riski 6%, shartli majburiyatlar 5% (p. 51).</w:t>
      </w:r>
      <w:r>
        <w:t xml:space="preserve"> </w:t>
      </w:r>
      <w:r>
        <w:t xml:space="preserve">- Asosiy empirik natija: zaxiralar va kapital yetarliligi orasidagi korrelyatsiya 0,7; zaxiralar va muddati o‘tgan qarz ulushi orasidagi korrelyatsiya atigi 0,24 (01.2010–06.2016) (pp. 54–55). Yetarlilik 20,9% dan 12,9% gacha tushgan. NPLni qoplash 118% dan 62% gacha kamaygan. (NPL − zaxira)/kapital 12,1% dan 20,3% gacha oshgan, ya’ni kapitalning taxminan 20% ini</w:t>
      </w:r>
      <w:r>
        <w:t xml:space="preserve"> </w:t>
      </w:r>
      <w:r>
        <w:t xml:space="preserve">“</w:t>
      </w:r>
      <w:r>
        <w:t xml:space="preserve">yomon</w:t>
      </w:r>
      <w:r>
        <w:t xml:space="preserve">”</w:t>
      </w:r>
      <w:r>
        <w:t xml:space="preserve"> </w:t>
      </w:r>
      <w:r>
        <w:t xml:space="preserve">qarzlar yutib yuborishi mumkin (p. 54). Xulosa: zaxiralar kutilgan yo‘qotishlarni qoplamaydi.</w:t>
      </w:r>
      <w:r>
        <w:t xml:space="preserve"> </w:t>
      </w:r>
      <w:r>
        <w:t xml:space="preserve">- IMF (2012) bo‘yicha: kapital talabi va farovonlik o‘rtasida ∩-shaklidagi bog‘liqlik bor (p. 56).</w:t>
      </w:r>
      <w:r>
        <w:t xml:space="preserve"> </w:t>
      </w:r>
      <w:r>
        <w:t xml:space="preserve">- Jadv. 2.3 (pp. 58–59): Basel III ning ijobiy va salbiy natijalari. Kapital buferi 2016-yildan joriy qilingani bahsli deb baholanadi (p. 59).</w:t>
      </w:r>
    </w:p>
    <w:p>
      <w:pPr>
        <w:pStyle w:val="BodyText"/>
      </w:pPr>
      <w:r>
        <w:rPr>
          <w:bCs/>
          <w:b/>
        </w:rPr>
        <w:t xml:space="preserve">2.3. ICAAP (ВПОДК) (pp. 60–67)</w:t>
      </w:r>
      <w:r>
        <w:t xml:space="preserve"> </w:t>
      </w:r>
      <w:r>
        <w:t xml:space="preserve">- 3883-У (07.12.2015) SREP ni lokalizatsiya qiladi. ICAAP elementlari: kapitalni rejalashtirish, risk-ishtaha, risklarning ahamiyatliligi, stress-test, agregatsiya, kapitalni taqsimlash, regulyativ va iqtisodiy kapital, monitoring, hisobot (p. 61).</w:t>
      </w:r>
      <w:r>
        <w:t xml:space="preserve"> </w:t>
      </w:r>
      <w:r>
        <w:t xml:space="preserve">- Muammolar: kichik banklarda iqtisodiy kapital modeli yo‘q, shuning uchun proporsionallik talab qilinadi;</w:t>
      </w:r>
      <w:r>
        <w:t xml:space="preserve"> </w:t>
      </w:r>
      <w:r>
        <w:t xml:space="preserve">“</w:t>
      </w:r>
      <w:r>
        <w:t xml:space="preserve">principles-based</w:t>
      </w:r>
      <w:r>
        <w:t xml:space="preserve">”</w:t>
      </w:r>
      <w:r>
        <w:t xml:space="preserve"> </w:t>
      </w:r>
      <w:r>
        <w:t xml:space="preserve">yondashuvga o‘tish; ICAAP rasmiyatchilikka aylanib qolishi xavfi (pp. 61–63).</w:t>
      </w:r>
      <w:r>
        <w:t xml:space="preserve"> </w:t>
      </w:r>
      <w:r>
        <w:t xml:space="preserve">- Jadv. 2.4: YeIdagi SREP muammolari. Jadv. 2.5: ICAAP foydalari (pp. 65–66).</w:t>
      </w:r>
      <w:r>
        <w:t xml:space="preserve"> </w:t>
      </w:r>
      <w:r>
        <w:t xml:space="preserve">- Taklif: 3624-U ga o‘zgartirish kiritib, 500 mlrd rubldan katta banklarda ICAAP ni bosqichma-bosqich joriy etish, kichik banklarda esa keyinroq va namunaviy yondashuv bo‘yicha (p. 67).</w:t>
      </w:r>
    </w:p>
    <w:p>
      <w:pPr>
        <w:pStyle w:val="BodyText"/>
      </w:pPr>
      <w:r>
        <w:rPr>
          <w:bCs/>
          <w:b/>
        </w:rPr>
        <w:t xml:space="preserve">2.4. Likvidlik, LCR/NSFR (pp. 67–97)</w:t>
      </w:r>
      <w:r>
        <w:t xml:space="preserve"> </w:t>
      </w:r>
      <w:r>
        <w:t xml:space="preserve">- LCR = HQLA / 30 kunlik sof chiqim. Kirimlar chiqimlarning 75% i bilan cheklanadi. Level 2 ≤40%, 2B ≤15%. Diskontlar: L1 0%, 2A 15%, 2B 25–50% (p. 69).</w:t>
      </w:r>
      <w:r>
        <w:t xml:space="preserve"> </w:t>
      </w:r>
      <w:r>
        <w:t xml:space="preserve">- NKL (421-П/510-П) faqat SZKO uchun: 2016-yil 70%, 2017-yil 80%, 2018-yil 90%, 2019-yil 100% (Jadv. 2.6, p. 70). SZKO ro‘yxati (p. 72): Sberbank, VTB, Gazprombank, UniCredit, Alfa, Otkrytie, Rosbank, PSB, Raiffeisen, RSXB.</w:t>
      </w:r>
      <w:r>
        <w:t xml:space="preserve"> </w:t>
      </w:r>
      <w:r>
        <w:t xml:space="preserve">- 01.10.2015 holatiga SZKO bo‘yicha NKL 59,9% bo‘lgan (2,9/4,9). 70% ga yetish uchun 0,5 trln, 100% uchun 2 trln rubl qaytarib olinmaydigan kredit liniyasi kerak bo‘lgan. Liniyalar limiti 600 mlrd (p. 77).</w:t>
      </w:r>
      <w:r>
        <w:t xml:space="preserve"> </w:t>
      </w:r>
      <w:r>
        <w:t xml:space="preserve">- Raiffeisen bahosi: 686 bankdan 282 tasi (41%) NKL bo‘yicha qiynalgan bo‘lardi. 01.02.2016 holatiga barcha 10 SZKO normativni bajargan (p. 78).</w:t>
      </w:r>
      <w:r>
        <w:t xml:space="preserve"> </w:t>
      </w:r>
      <w:r>
        <w:t xml:space="preserve">- NKL bajarilishiga to‘siqlar: HQLA ning 19 toifasidan bozorda faqat 4 tasi mavjud; valyuta cheklovlari bor (pp. 79–80). Bank sektorida HQLA ulushi aktivlarning 6,86–7,8% i (2016) (Jadv. 2.9, p. 82).</w:t>
      </w:r>
      <w:r>
        <w:t xml:space="preserve"> </w:t>
      </w:r>
      <w:r>
        <w:t xml:space="preserve">- Bazel me’yori qisqa MBK, Rossiya banklaridagi NOSTRO va majburiy zaxiralarni (ortiqcha to‘lovdan tashqari) HQLA dan chiqarib tashlaydi. Shu sabab</w:t>
      </w:r>
      <w:r>
        <w:t xml:space="preserve"> </w:t>
      </w:r>
      <w:r>
        <w:t xml:space="preserve">“</w:t>
      </w:r>
      <w:r>
        <w:t xml:space="preserve">paradoks</w:t>
      </w:r>
      <w:r>
        <w:t xml:space="preserve">”</w:t>
      </w:r>
      <w:r>
        <w:t xml:space="preserve"> </w:t>
      </w:r>
      <w:r>
        <w:t xml:space="preserve">yuzaga keladi: tizimda likvidlik profitsiti bor, ammo LCR bo‘yicha qoplama yetarli emas (pp. 83–84, 92).</w:t>
      </w:r>
      <w:r>
        <w:t xml:space="preserve"> </w:t>
      </w:r>
      <w:r>
        <w:t xml:space="preserve">- N3 va NKL farqi: Sberbankning N3 ko‘rsatkichi barqaror qoldiqlarsiz 59%, ular bilan 149% (01.07.2016) (p. 91).</w:t>
      </w:r>
      <w:r>
        <w:t xml:space="preserve"> </w:t>
      </w:r>
      <w:r>
        <w:t xml:space="preserve">- NSFR = mavjud barqaror moliyalashtirish (ASF) / talab qilinadigan barqaror moliyalashtirish (RSF) &gt;100%. ASF koeffitsientlari: kapital 100%, barqaror depozitlar 90%, kamroq barqaror depozitlar 80%, nomoliyaviy korporatsiyalar 50%. RSF koeffitsientlari: 0–5–20–50–65–85–100% (Jadv. 2.11, pp. 93–94).</w:t>
      </w:r>
      <w:r>
        <w:t xml:space="preserve"> </w:t>
      </w:r>
      <w:r>
        <w:t xml:space="preserve">- N4 bo‘yicha: 2014–2016-yillarda uzoq muddatli majburiyatlar +10%, uzoq muddatli talablar +29% o‘sgan. N4 maxrajida kapital ulushi 41% dan 45% gacha oshgan. Taxminiy NSFR &gt;100 bankning 80% ida, ammo barqaror qoldiqlar chiqarib tashlansa, NSFR bajarilmaydi (p. 95).</w:t>
      </w:r>
    </w:p>
    <w:p>
      <w:pPr>
        <w:pStyle w:val="BodyText"/>
      </w:pPr>
      <w:r>
        <w:rPr>
          <w:bCs/>
          <w:b/>
        </w:rPr>
        <w:t xml:space="preserve">2.5. Beqaror muhitda regulyatsiya (pp. 98–113)</w:t>
      </w:r>
      <w:r>
        <w:t xml:space="preserve"> </w:t>
      </w:r>
      <w:r>
        <w:t xml:space="preserve">- Basel III ning salbiy oqibatlari: kreditning qisqarishi va qimmatlashuvi, regulyativ arbitraj,</w:t>
      </w:r>
      <w:r>
        <w:t xml:space="preserve"> </w:t>
      </w:r>
      <w:r>
        <w:t xml:space="preserve">“</w:t>
      </w:r>
      <w:r>
        <w:t xml:space="preserve">soya</w:t>
      </w:r>
      <w:r>
        <w:t xml:space="preserve">”</w:t>
      </w:r>
      <w:r>
        <w:t xml:space="preserve"> </w:t>
      </w:r>
      <w:r>
        <w:t xml:space="preserve">bank sektori, bankrotliklar (p. 98).</w:t>
      </w:r>
      <w:r>
        <w:t xml:space="preserve"> </w:t>
      </w:r>
      <w:r>
        <w:t xml:space="preserve">- Regulyatsiya bank hayotiy siklining 3 bosqichiga bog‘lanadi: bozorga kirish, joriy faoliyat, bozordan chiqish (p. 101).</w:t>
      </w:r>
      <w:r>
        <w:t xml:space="preserve"> </w:t>
      </w:r>
      <w:r>
        <w:t xml:space="preserve">- Proporsional regulyatsiya: regulyatsiya obyekti risklar bo‘lishi kerak. Nazorat rejimi 3 xil: umumiy, maxsus, alohida (pp. 104–105).</w:t>
      </w:r>
      <w:r>
        <w:t xml:space="preserve"> </w:t>
      </w:r>
      <w:r>
        <w:t xml:space="preserve">- 4336-У ning 1–2 guruhidagi banklar uchun yengilliklar taklif qilinadi. Yaponiya tajribasi:</w:t>
      </w:r>
      <w:r>
        <w:t xml:space="preserve"> </w:t>
      </w:r>
      <w:r>
        <w:t xml:space="preserve">“</w:t>
      </w:r>
      <w:r>
        <w:t xml:space="preserve">normal</w:t>
      </w:r>
      <w:r>
        <w:t xml:space="preserve">”</w:t>
      </w:r>
      <w:r>
        <w:t xml:space="preserve"> </w:t>
      </w:r>
      <w:r>
        <w:t xml:space="preserve">deb qayta tasniflangan muammoli kreditlar, kafolatlangan kreditlar uchun risk vazni 10% dan 0% ga tushirilgan (pp. 106–107).</w:t>
      </w:r>
      <w:r>
        <w:t xml:space="preserve"> </w:t>
      </w:r>
      <w:r>
        <w:t xml:space="preserve">- Bail-in, DIA rolining saqlanishi, AQShdagi</w:t>
      </w:r>
      <w:r>
        <w:t xml:space="preserve"> </w:t>
      </w:r>
      <w:r>
        <w:t xml:space="preserve">“</w:t>
      </w:r>
      <w:r>
        <w:t xml:space="preserve">vasiyatnomalar</w:t>
      </w:r>
      <w:r>
        <w:t xml:space="preserve">”</w:t>
      </w:r>
      <w:r>
        <w:t xml:space="preserve"> </w:t>
      </w:r>
      <w:r>
        <w:t xml:space="preserve">(living wills), FTT soliqi, iste’molchilar huquqini himoya qilish (pp. 108–113).</w:t>
      </w:r>
    </w:p>
    <w:p>
      <w:pPr>
        <w:pStyle w:val="BodyText"/>
      </w:pPr>
      <w:r>
        <w:rPr>
          <w:bCs/>
          <w:b/>
        </w:rPr>
        <w:t xml:space="preserve">3-bob (qisqacha ko‘rib chiqildi; pp. 115–147)</w:t>
      </w:r>
      <w:r>
        <w:t xml:space="preserve"> </w:t>
      </w:r>
      <w:r>
        <w:t xml:space="preserve">- Jadv. 3.1 (p. 115): IIF, OECD va IMF bo‘yicha Basel III ning YaIM va kredit stavkasiga ta’siri. Keyingi tadqiqotlar uzoq muddatda xarajatlar kichikligini ko‘rsatadi. Kredit o‘sishining sekinlashuvi 3–4 yil davom etadi (p. 118).</w:t>
      </w:r>
      <w:r>
        <w:t xml:space="preserve"> </w:t>
      </w:r>
      <w:r>
        <w:t xml:space="preserve">- §3.1 Sharqiy Yevropa.</w:t>
      </w:r>
      <w:r>
        <w:t xml:space="preserve"> </w:t>
      </w:r>
      <w:r>
        <w:t xml:space="preserve">“</w:t>
      </w:r>
      <w:r>
        <w:t xml:space="preserve">Запас прочности капитала</w:t>
      </w:r>
      <w:r>
        <w:t xml:space="preserve">”</w:t>
      </w:r>
      <w:r>
        <w:t xml:space="preserve"> </w:t>
      </w:r>
      <w:r>
        <w:t xml:space="preserve">= haqiqiy kapital minus talab (+2,5% bufer bilan). Latviyada 2006–2010-yillarda bu zaxira manfiy bo‘lgan. Estoniyada Tier 1 27,8% (2015). Ruminiyada Tier 2 ulushi katta. LCR bajarilgan, NSFR esa muammoli. Polshada LCR 60–346% bo‘lgan (2007-yilgacha) (pp. 118–124).</w:t>
      </w:r>
      <w:r>
        <w:t xml:space="preserve"> </w:t>
      </w:r>
      <w:r>
        <w:t xml:space="preserve">- Leverage ko‘rsatkichi IRB banklar va balansdan tashqari moddalar ko‘p bo‘lgan banklarga ko‘proq ta’sir qiladi (p. 122). NSFR 1 p.p. ga oshsa, YaIM −0,08% (BIS) (p. 127).</w:t>
      </w:r>
      <w:r>
        <w:t xml:space="preserve"> </w:t>
      </w:r>
      <w:r>
        <w:t xml:space="preserve">- §3.2 BRIKS (pp. 131–147). Rossiyada kredit/YaIM 60,23%, muddati o‘tgan qarzlar 8,35% (eng yuqori), kredit stavkasi 15,72% (p. 134). Braziliyada Basel III dan oldin yetarlilik 11%, CAR taxminan 16,3%, Tier 1 taxminan 12,7%. Talab qilib olinguncha depozitlar uchun majburiy zaxira 45% (pp. 138–140). Xitoyda SIB uchun talablar CET1 8,5% / T1 9,5% / CAR 11,5%. Haqiqiy NPL 8–12% (rasmiy 1,5%), IMF bahosiga ko‘ra 15% (pp. 142–144).</w:t>
      </w:r>
      <w:r>
        <w:t xml:space="preserve"> </w:t>
      </w:r>
      <w:r>
        <w:t xml:space="preserve">- Xulosa: Rossiyada Basel III ni</w:t>
      </w:r>
      <w:r>
        <w:t xml:space="preserve"> </w:t>
      </w:r>
      <w:r>
        <w:t xml:space="preserve">“</w:t>
      </w:r>
      <w:r>
        <w:t xml:space="preserve">максимально «мягкую»</w:t>
      </w:r>
      <w:r>
        <w:t xml:space="preserve">”</w:t>
      </w:r>
      <w:r>
        <w:t xml:space="preserve"> </w:t>
      </w:r>
      <w:r>
        <w:t xml:space="preserve">tarzda joriy qilish kerak (p. 147).</w:t>
      </w:r>
    </w:p>
    <w:p>
      <w:pPr>
        <w:pStyle w:val="BodyText"/>
      </w:pPr>
      <w:r>
        <w:rPr>
          <w:bCs/>
          <w:b/>
        </w:rPr>
        <w:t xml:space="preserve">3. Dissertatsiyada qo‘llash</w:t>
      </w:r>
      <w:r>
        <w:t xml:space="preserve"> </w:t>
      </w:r>
      <w:r>
        <w:t xml:space="preserve">- §1.2: LCR/NSFR formulalari, HQLA darajalari va diskontlari, ASF/RSF koeffitsientlari (pp. 69, 93–94). NKL ning bosqichma-bosqich joriy etilishi (Jadv. 2.6) MB O‘zR ning bosqichlariga analog sifatida.</w:t>
      </w:r>
      <w:r>
        <w:t xml:space="preserve"> </w:t>
      </w:r>
      <w:r>
        <w:t xml:space="preserve">- §3.1/§3.2 (MBII-Basel):</w:t>
      </w:r>
      <w:r>
        <w:t xml:space="preserve"> </w:t>
      </w:r>
      <w:r>
        <w:t xml:space="preserve">“</w:t>
      </w:r>
      <w:r>
        <w:t xml:space="preserve">zaxiralar/NPL qoplami</w:t>
      </w:r>
      <w:r>
        <w:t xml:space="preserve">”</w:t>
      </w:r>
      <w:r>
        <w:t xml:space="preserve"> </w:t>
      </w:r>
      <w:r>
        <w:t xml:space="preserve">(118% dan 62% gacha tushgan) va</w:t>
      </w:r>
      <w:r>
        <w:t xml:space="preserve"> </w:t>
      </w:r>
      <w:r>
        <w:t xml:space="preserve">“</w:t>
      </w:r>
      <w:r>
        <w:t xml:space="preserve">(NPL − zaxira)/kapital</w:t>
      </w:r>
      <w:r>
        <w:t xml:space="preserve">”</w:t>
      </w:r>
      <w:r>
        <w:t xml:space="preserve"> </w:t>
      </w:r>
      <w:r>
        <w:t xml:space="preserve">(20,3% —</w:t>
      </w:r>
      <w:r>
        <w:t xml:space="preserve"> </w:t>
      </w:r>
      <w:r>
        <w:t xml:space="preserve">“</w:t>
      </w:r>
      <w:r>
        <w:t xml:space="preserve">xavfli chegara</w:t>
      </w:r>
      <w:r>
        <w:t xml:space="preserve">”</w:t>
      </w:r>
      <w:r>
        <w:t xml:space="preserve">) ko‘rsatkichlarini erta ogohlantirish signali sifatida qo‘llash mumkin (p. 54).</w:t>
      </w:r>
      <w:r>
        <w:t xml:space="preserve"> </w:t>
      </w:r>
      <w:r>
        <w:t xml:space="preserve">“</w:t>
      </w:r>
      <w:r>
        <w:t xml:space="preserve">Kapital zaxirasi = haqiqiy CAR − (minimum + bufer)</w:t>
      </w:r>
      <w:r>
        <w:t xml:space="preserve">”</w:t>
      </w:r>
      <w:r>
        <w:t xml:space="preserve"> </w:t>
      </w:r>
      <w:r>
        <w:t xml:space="preserve">ko‘rsatkichi (p. 119) MBII ning kapital bloki uchun mos keladi.</w:t>
      </w:r>
      <w:r>
        <w:t xml:space="preserve"> </w:t>
      </w:r>
      <w:r>
        <w:t xml:space="preserve">- §3.1: Kapital va zaxiralar korrelyatsiyasi 0,7 hamda zaxiralar va NPL korrelyatsiyasi 0,24 natijalarini (p. 54) aktivlar blokiga kapital blokidan katta vazn (0,3) berilishini asoslash uchun keltirish mumkin.</w:t>
      </w:r>
      <w:r>
        <w:t xml:space="preserve"> </w:t>
      </w:r>
      <w:r>
        <w:t xml:space="preserve">- §2.2/§3.2: SZKO uchun alohida qoidalar (NKL faqat SZKO uchun; Rossiyaning 10 ta SZKO si). Rasm 2.12 dagi mulkchilik shakli omili davlat banklari (SQB, Mikrokreditbank) tahlilida qo‘llanadi.</w:t>
      </w:r>
      <w:r>
        <w:t xml:space="preserve"> </w:t>
      </w:r>
      <w:r>
        <w:t xml:space="preserve">- §4.1: Rasm 2.12 dagi tashqi va ichki omillar tasnifi panel modeli o‘zgaruvchilarini tanlashga asos bo‘ladi. Kredit portfelining</w:t>
      </w:r>
      <w:r>
        <w:t xml:space="preserve"> </w:t>
      </w:r>
      <w:r>
        <w:t xml:space="preserve">“</w:t>
      </w:r>
      <w:r>
        <w:t xml:space="preserve">eskirishi</w:t>
      </w:r>
      <w:r>
        <w:t xml:space="preserve">”</w:t>
      </w:r>
      <w:r>
        <w:t xml:space="preserve"> </w:t>
      </w:r>
      <w:r>
        <w:t xml:space="preserve">effekti (p. 56) NPL satellit modelida qo‘llanadi.</w:t>
      </w:r>
      <w:r>
        <w:t xml:space="preserve"> </w:t>
      </w:r>
      <w:r>
        <w:t xml:space="preserve">- §1.3: ICAAP/SREP elementlari va 500 mlrd chegarali proporsionallik taklifi (pp. 61–67). 4336-У guruhlariga bog‘langan nazorat rejimlari (p. 106).</w:t>
      </w:r>
    </w:p>
    <w:p>
      <w:pPr>
        <w:pStyle w:val="BodyText"/>
      </w:pPr>
      <w:r>
        <w:rPr>
          <w:bCs/>
          <w:b/>
        </w:rPr>
        <w:t xml:space="preserve">4. Iqtiboslar [OCR]</w:t>
      </w:r>
      <w:r>
        <w:t xml:space="preserve"> </w:t>
      </w:r>
      <w:r>
        <w:t xml:space="preserve">- «современная практика создания резервов не отвечает заявленной цели — покрытию ожидаемых потерь, и требует серьезной корректировки» (p. 55).</w:t>
      </w:r>
      <w:r>
        <w:t xml:space="preserve"> </w:t>
      </w:r>
      <w:r>
        <w:t xml:space="preserve">- «20% капитала банковского сектора фактически может быть поглощено «плохими» долгами» (p. 54).</w:t>
      </w:r>
      <w:r>
        <w:t xml:space="preserve"> </w:t>
      </w:r>
      <w:r>
        <w:t xml:space="preserve">- «внедрение новаций Соглашения БКБН Базель III не может решить проблему устойчивости российского банковского сектора в условиях, когда кредитный риск банков оценен недостаточно» (pp. 59–60).</w:t>
      </w:r>
      <w:r>
        <w:t xml:space="preserve"> </w:t>
      </w:r>
      <w:r>
        <w:t xml:space="preserve">- «банковский сектор, находясь в позиции структурного профицита ликвидности, не обеспечен, в соответствии с базельскими стандартами, достаточным ликвидным покрытием ожидаемых оттоков» (p. 97).</w:t>
      </w:r>
      <w:r>
        <w:t xml:space="preserve"> </w:t>
      </w:r>
      <w:r>
        <w:t xml:space="preserve">- «Цель ВПОДК — определить достаточный (адекватный) уровень капитализации банка в условиях как уже существующих, так и будущих рисков» (p. 60).</w:t>
      </w:r>
      <w:r>
        <w:t xml:space="preserve"> </w:t>
      </w:r>
      <w:r>
        <w:t xml:space="preserve">- «при внедрении международных стандартов в российском банковском секторе регулирующим органам следует проводить максимально «мягкую» политику имплементации» (p. 147).</w:t>
      </w:r>
    </w:p>
    <w:p>
      <w:pPr>
        <w:pStyle w:val="BodyText"/>
      </w:pPr>
      <w:r>
        <w:rPr>
          <w:bCs/>
          <w:b/>
        </w:rPr>
        <w:t xml:space="preserve">5. Moslashtiriladigan jadval/formulalar</w:t>
      </w:r>
      <w:r>
        <w:t xml:space="preserve"> </w:t>
      </w:r>
      <w:r>
        <w:t xml:space="preserve">- Kapital yetarliligi formulasi, p. 41. Jadv. 2.1 (Basel III ning mikro va makro ta’sirlari), pp. 41–42. Jadv. 2.3 (Basel III joriy etilishining ijobiy va salbiy natijalari), pp. 58–59.</w:t>
      </w:r>
      <w:r>
        <w:t xml:space="preserve"> </w:t>
      </w:r>
      <w:r>
        <w:t xml:space="preserve">- Rasm 2.20: FSI ko‘rsatkichlari to‘plami (CAR, NPL, (NPL − zaxira)/kapital, ROE), p. 55.</w:t>
      </w:r>
      <w:r>
        <w:t xml:space="preserve"> </w:t>
      </w:r>
      <w:r>
        <w:t xml:space="preserve">- LCR tavsifi va Jadv. 2.6 (NKL ning joriy etilish grafigi), pp. 69–70. Jadv. 2.8 (SZKO bo‘yicha NKL prognozi), p. 79. Jadv. 2.9–2.10 (HQLA bo‘yicha ikki baho), pp. 82–83.</w:t>
      </w:r>
      <w:r>
        <w:t xml:space="preserve"> </w:t>
      </w:r>
      <w:r>
        <w:t xml:space="preserve">- NSFR formulasi va Jadv. 2.11 (ASF va RSF koeffitsientlari), pp. 93–94.</w:t>
      </w:r>
      <w:r>
        <w:t xml:space="preserve"> </w:t>
      </w:r>
      <w:r>
        <w:t xml:space="preserve">- Rasm 2.12: banklar barqarorligining tashqi va ichki omillari, p. 39.</w:t>
      </w:r>
      <w:r>
        <w:t xml:space="preserve"> </w:t>
      </w:r>
      <w:r>
        <w:t xml:space="preserve">- Jadv. 2.4–2.5: SREP muammolari va ICAAP foydalari, pp. 65–66.</w:t>
      </w:r>
      <w:r>
        <w:t xml:space="preserve"> </w:t>
      </w:r>
      <w:r>
        <w:t xml:space="preserve">-</w:t>
      </w:r>
      <w:r>
        <w:t xml:space="preserve"> </w:t>
      </w:r>
      <w:r>
        <w:t xml:space="preserve">“</w:t>
      </w:r>
      <w:r>
        <w:t xml:space="preserve">Kapital zaxirasi</w:t>
      </w:r>
      <w:r>
        <w:t xml:space="preserve">”</w:t>
      </w:r>
      <w:r>
        <w:t xml:space="preserve"> </w:t>
      </w:r>
      <w:r>
        <w:t xml:space="preserve">ko‘rsatkichi (Rasm 3.2), p. 119. Jadv. 3.6–3.7: Braziliya va Xitoy kapitali, pp. 139, 142.</w:t>
      </w:r>
    </w:p>
    <w:bookmarkEnd w:id="51"/>
    <w:bookmarkStart w:id="57" w:name="X374c3d11a1f66d8395c51644195ce56290c6e23"/>
    <w:p>
      <w:pPr>
        <w:pStyle w:val="Heading2"/>
      </w:pPr>
      <w:r>
        <w:t xml:space="preserve">6. Afanasyeva O.N., Dubova S.E. (tahr.) «Регулирование банковской сферы» (KNORUS)</w:t>
      </w:r>
    </w:p>
    <w:bookmarkStart w:id="52" w:name="X01cdb367dacdde89172fe420a5d16c97205a328"/>
    <w:p>
      <w:pPr>
        <w:pStyle w:val="Heading3"/>
      </w:pPr>
      <w:r>
        <w:t xml:space="preserve">1.2. Makro- va mikroprudensial regulyatsiya va instrumentlar (pp. 32–49)</w:t>
      </w:r>
    </w:p>
    <w:p>
      <w:pPr>
        <w:numPr>
          <w:ilvl w:val="0"/>
          <w:numId w:val="1039"/>
        </w:numPr>
        <w:pStyle w:val="Compact"/>
      </w:pPr>
      <w:r>
        <w:t xml:space="preserve">Regulyatsiya makrodarajada (butun bank tizimi) va mikrodarajada (alohida kredit tashkiloti) amalga oshiriladi (p. 32). Makroprudensial – barcha uchun teng «o‘yin qoidalari»: risk qabul qilishni cheklovchi normalar, standartlar, tamoyillar (p. 33).</w:t>
      </w:r>
    </w:p>
    <w:p>
      <w:pPr>
        <w:numPr>
          <w:ilvl w:val="0"/>
          <w:numId w:val="1039"/>
        </w:numPr>
        <w:pStyle w:val="Compact"/>
      </w:pPr>
      <w:r>
        <w:t xml:space="preserve">Mikronazorat bosqichlari: 1) qoidalarga muvofiqlikni tekshirish – tashkil etishda (ro‘yxat, litsenziya, 135-I; ta’sischilar moliyaviy holati, obro‘si, biznes-reja) va joriy faoliyatda (distansion: hisobotlar 4212-U, tekshiruv oldi tayyorgarlik; kontakt: inspeksiya, kuratorlar 310-P) (pp. 33–40).</w:t>
      </w:r>
    </w:p>
    <w:p>
      <w:pPr>
        <w:numPr>
          <w:ilvl w:val="0"/>
          <w:numId w:val="1039"/>
        </w:numPr>
        <w:pStyle w:val="Compact"/>
      </w:pPr>
      <w:r>
        <w:t xml:space="preserve">Risk boshqaruvini ball-vazn usulida baholash (26-T xati): kredit, bozor (fond, foiz), valyuta, likvidlik, operatsion risk ko‘rsatkichlari; baho «yaxshi/qoniqarli/shubhali/qoniqarsiz» (pp. 39–40).</w:t>
      </w:r>
    </w:p>
    <w:p>
      <w:pPr>
        <w:numPr>
          <w:ilvl w:val="0"/>
          <w:numId w:val="1039"/>
        </w:numPr>
        <w:pStyle w:val="Compact"/>
      </w:pPr>
    </w:p>
    <w:p>
      <w:pPr>
        <w:numPr>
          <w:ilvl w:val="1"/>
          <w:numId w:val="1040"/>
        </w:numPr>
        <w:pStyle w:val="Compact"/>
      </w:pPr>
      <w:r>
        <w:t xml:space="preserve">ogohlantiruvchi choralar (59-I) va 3) majburiy choralar: ko‘rsatmalar, talablar, litsenziyani qaytarib olish, vaqtinchalik ma’muriyat (pp. 41–42).</w:t>
      </w:r>
    </w:p>
    <w:p>
      <w:pPr>
        <w:numPr>
          <w:ilvl w:val="0"/>
          <w:numId w:val="1039"/>
        </w:numPr>
        <w:pStyle w:val="Compact"/>
      </w:pPr>
      <w:r>
        <w:t xml:space="preserve">«Motivlangan fikr» – rasmiy talablarga qo‘shimcha, sifat va miqdoriy ko‘rsatkichlarga asoslangan, iqtisodiy mazmunni huquqiy shakldan ustun qo‘yuvchi baho; MB amaliyotida 2000-yildan (766-U) (pp. 43–45).</w:t>
      </w:r>
    </w:p>
    <w:p>
      <w:pPr>
        <w:numPr>
          <w:ilvl w:val="0"/>
          <w:numId w:val="1039"/>
        </w:numPr>
        <w:pStyle w:val="Compact"/>
      </w:pPr>
      <w:r>
        <w:t xml:space="preserve">Makrodarajada bosqichlar: 1) iqtisodiyot holatini tahlil – ECB ko‘rsatkichlari (fond indekslari, ko‘chmas mulk narxi, YaIM, ishsizlik, inflyatsiya, pul massasi), IMF FSI (bank, nobank, real sektor, uy xo‘jaliklari, bozor) (pp. 46–47); MB haftalik 30+ ko‘rsatkichli trigger-monitoringi (pp. 47–48); FSAP doirasida</w:t>
      </w:r>
      <w:r>
        <w:t xml:space="preserve"> </w:t>
      </w:r>
      <w:r>
        <w:rPr>
          <w:bCs/>
          <w:b/>
        </w:rPr>
        <w:t xml:space="preserve">«risklar xaritasi»</w:t>
      </w:r>
      <w:r>
        <w:t xml:space="preserve"> </w:t>
      </w:r>
      <w:r>
        <w:t xml:space="preserve">– 7 guruh, 0–10 risk darajasi: likvidlik, kredit, rentabellik, kapital, bozor + makro va tashqi (p. 48).</w:t>
      </w:r>
    </w:p>
    <w:p>
      <w:pPr>
        <w:numPr>
          <w:ilvl w:val="0"/>
          <w:numId w:val="1039"/>
        </w:numPr>
        <w:pStyle w:val="Compact"/>
      </w:pPr>
    </w:p>
    <w:p>
      <w:pPr>
        <w:numPr>
          <w:ilvl w:val="1"/>
          <w:numId w:val="1041"/>
        </w:numPr>
        <w:pStyle w:val="Compact"/>
      </w:pPr>
      <w:r>
        <w:t xml:space="preserve">Prognoz – stress-test: makro model (YaIM, kurs, inflyatsiya, daromadlar, investitsiyalar) → bank ko‘rsatkichlari (shu jumladan «yomon» ssudalar ulushi) → imitatsion balans modeli → kapital va likvidlik tanqisligi (pp. 48–49).</w:t>
      </w:r>
    </w:p>
    <w:bookmarkEnd w:id="52"/>
    <w:bookmarkStart w:id="53" w:name="X1a063d953cfcb9ece9f467da8b251021ec949bd"/>
    <w:p>
      <w:pPr>
        <w:pStyle w:val="Heading3"/>
      </w:pPr>
      <w:r>
        <w:t xml:space="preserve">1.3. Tizimli risklar: tushuncha, identifikatsiya mezonlari, baholash (pp. 49–73)</w:t>
      </w:r>
    </w:p>
    <w:p>
      <w:pPr>
        <w:numPr>
          <w:ilvl w:val="0"/>
          <w:numId w:val="1042"/>
        </w:numPr>
        <w:pStyle w:val="Compact"/>
      </w:pPr>
      <w:r>
        <w:t xml:space="preserve">Tizimli risk belgilari: moliyaviy xizmatlar uzilishi; tizimning katta qismini qamrashi; zararlanish (contagion) orqali shok uzatish (p. 49). SRC (LSE) 4 aspekti: endogen risk, kuchaytiruvchi mexanizmlar (feedback loops), empirik bilim, siyosat choralari (pp. 50–51). Savina elementlari (p. 51).</w:t>
      </w:r>
    </w:p>
    <w:p>
      <w:pPr>
        <w:numPr>
          <w:ilvl w:val="0"/>
          <w:numId w:val="1042"/>
        </w:numPr>
        <w:pStyle w:val="Compact"/>
      </w:pPr>
      <w:r>
        <w:t xml:space="preserve">Tasniflar: EBA – kapital risklari, moliyalash/likvidlik risklari, tashqi muhit risklari; Bank of England – 7 tur (p. 51). MB rasmiy ta’rif bermaydi (p. 52).</w:t>
      </w:r>
    </w:p>
    <w:p>
      <w:pPr>
        <w:numPr>
          <w:ilvl w:val="0"/>
          <w:numId w:val="1042"/>
        </w:numPr>
        <w:pStyle w:val="Compact"/>
      </w:pPr>
      <w:r>
        <w:t xml:space="preserve">Ikki o‘lchov (1.1-jadval):</w:t>
      </w:r>
      <w:r>
        <w:t xml:space="preserve"> </w:t>
      </w:r>
      <w:r>
        <w:rPr>
          <w:bCs/>
          <w:b/>
        </w:rPr>
        <w:t xml:space="preserve">kesim (cross-sectional)</w:t>
      </w:r>
      <w:r>
        <w:t xml:space="preserve"> </w:t>
      </w:r>
      <w:r>
        <w:t xml:space="preserve">– konsentratsiya, bog‘liqlik, SZKO;</w:t>
      </w:r>
      <w:r>
        <w:t xml:space="preserve"> </w:t>
      </w:r>
      <w:r>
        <w:rPr>
          <w:bCs/>
          <w:b/>
        </w:rPr>
        <w:t xml:space="preserve">vaqt (time)</w:t>
      </w:r>
      <w:r>
        <w:t xml:space="preserve"> </w:t>
      </w:r>
      <w:r>
        <w:t xml:space="preserve">– prosiklik, leveraj, bum/retsessiya (pp. 52–53).</w:t>
      </w:r>
    </w:p>
    <w:p>
      <w:pPr>
        <w:numPr>
          <w:ilvl w:val="0"/>
          <w:numId w:val="1042"/>
        </w:numPr>
        <w:pStyle w:val="Compact"/>
      </w:pPr>
      <w:r>
        <w:t xml:space="preserve">G-SIB BCBS metodikasi: 12 ko‘rsatkich – hajm, o‘zaro bog‘liqlik, almashtirib bo‘lmaslik, murakkablik (p. 53); RF – 3737-U (22.07.2015) SZKO metodikasi (p. 53).</w:t>
      </w:r>
    </w:p>
    <w:p>
      <w:pPr>
        <w:numPr>
          <w:ilvl w:val="0"/>
          <w:numId w:val="1042"/>
        </w:numPr>
        <w:pStyle w:val="Compact"/>
      </w:pPr>
      <w:r>
        <w:t xml:space="preserve">Contagion, domino effekti; zaiflik manbalari: yuqori leveraj, bog‘liqlik, soya banking; «3C» – contagion, connectedness, correlation (pp. 54–55).</w:t>
      </w:r>
    </w:p>
    <w:p>
      <w:pPr>
        <w:numPr>
          <w:ilvl w:val="0"/>
          <w:numId w:val="1042"/>
        </w:numPr>
        <w:pStyle w:val="Compact"/>
      </w:pPr>
      <w:r>
        <w:t xml:space="preserve">Baholash konsepsiyalari: «yuqoridan pastga» (bankning tizimli hodisadagi ishtiroki yoki real hissasi – tizim zarari bank bilan va bankisiz farqi) va «pastdan yuqoriga» (bank bankrotligi bilan bog‘liq tizim zarari) (pp. 55–57, rasm 1.3–1.5). BoE RAMSI modeli (pp. 57–59).</w:t>
      </w:r>
    </w:p>
    <w:p>
      <w:pPr>
        <w:numPr>
          <w:ilvl w:val="0"/>
          <w:numId w:val="1042"/>
        </w:numPr>
        <w:pStyle w:val="Compact"/>
      </w:pPr>
      <w:r>
        <w:t xml:space="preserve">Pastdan-yuqoriga 3 bosqich: individual bankrotlik ehtimoli (fundamental: reyting, skoring, makro modellar; bozor ma’lumotlari) → bog‘liqlik (korrelyatsiya, PCA, CoVaR, balanslararo bog‘liqlik) → portfel yondashuvi bilan har bank tizimli riskini hisoblash va ranjirlash (pp. 60–62).</w:t>
      </w:r>
    </w:p>
    <w:p>
      <w:pPr>
        <w:numPr>
          <w:ilvl w:val="0"/>
          <w:numId w:val="1042"/>
        </w:numPr>
        <w:pStyle w:val="Compact"/>
      </w:pPr>
      <w:r>
        <w:t xml:space="preserve">1.3-jadval makroprudensial instrumentlar (oshirilgan risk vazni, kontrsiklik bufer, stress-test, yalpi leveraj, likvidlik buferi, LTV) (p. 63); Bazel III: konservatsiya buferi 2,5%; Tier 1 4→6% (2015) → bufer bilan 8,5%; CET1+bufer 7%; kontrsiklik 0–2,5% (pp. 63–64, rasm 1.8–1.10).</w:t>
      </w:r>
    </w:p>
    <w:p>
      <w:pPr>
        <w:numPr>
          <w:ilvl w:val="0"/>
          <w:numId w:val="1042"/>
        </w:numPr>
        <w:pStyle w:val="Compact"/>
      </w:pPr>
      <w:r>
        <w:rPr>
          <w:bCs/>
          <w:b/>
        </w:rPr>
        <w:t xml:space="preserve">Kontrsiklik bufer formulasi</w:t>
      </w:r>
      <w:r>
        <w:t xml:space="preserve">: kredit gep 5–25% bo‘lsa</w:t>
      </w:r>
      <w:r>
        <w:t xml:space="preserve"> </w:t>
      </w:r>
      <w:r>
        <w:rPr>
          <w:bCs/>
          <w:b/>
        </w:rPr>
        <w:t xml:space="preserve">KBK = (KR − 5)/20 × 2,5%</w:t>
      </w:r>
      <w:r>
        <w:t xml:space="preserve"> </w:t>
      </w:r>
      <w:r>
        <w:t xml:space="preserve">(p. 68); BCBS: gep &gt;2 p.p. bo‘lsa nolga teng bo‘lmagan bufer (p. 70); RF da 0%; gep keng ta’rifda −9,1 p.p., tor ta’rifda −7,4 p.p. (p. 69).</w:t>
      </w:r>
    </w:p>
    <w:p>
      <w:pPr>
        <w:numPr>
          <w:ilvl w:val="0"/>
          <w:numId w:val="1042"/>
        </w:numPr>
        <w:pStyle w:val="Compact"/>
      </w:pPr>
      <w:r>
        <w:t xml:space="preserve">Indikatorlar: kredit/YaIM yiliga 2–3% oshsa ortiqcha kreditlash xavfi (p. 70); garov aktivlari narxi, qarz oluvchilar leveraji, ulgurji fondlash ulushi, foiz/kurs sezgirligi; LTV va DTI normativlari kontrsiklik qayta ko‘rib chiqiladi (pp. 71–72).</w:t>
      </w:r>
    </w:p>
    <w:bookmarkEnd w:id="53"/>
    <w:bookmarkStart w:id="54" w:name="dissertatsiyada-qollash-1"/>
    <w:p>
      <w:pPr>
        <w:pStyle w:val="Heading3"/>
      </w:pPr>
      <w:r>
        <w:t xml:space="preserve">Dissertatsiyada qo‘llash</w:t>
      </w:r>
    </w:p>
    <w:p>
      <w:pPr>
        <w:numPr>
          <w:ilvl w:val="0"/>
          <w:numId w:val="1043"/>
        </w:numPr>
        <w:pStyle w:val="Compact"/>
      </w:pPr>
      <w:r>
        <w:t xml:space="preserve">§1.1/§1.2 – makro va mikroprudensial farqi, tizimli riskning ikki o‘lchovi (1.1-jadval) – bank va tizim barqarorligi tushunchalarini ajratishda.</w:t>
      </w:r>
    </w:p>
    <w:p>
      <w:pPr>
        <w:numPr>
          <w:ilvl w:val="0"/>
          <w:numId w:val="1043"/>
        </w:numPr>
        <w:pStyle w:val="Compact"/>
      </w:pPr>
      <w:r>
        <w:t xml:space="preserve">§2.2/§3.2 – G-SIB 12 ko‘rsatkich (hajm, bog‘liqlik, almashtirib bo‘lmaslik, murakkablik) va 3737-U – SQB, Mikrokreditbank uchun tizimli ahamiyat qoidalari, MBII-Basel’da qo‘shimcha talablar asosi.</w:t>
      </w:r>
    </w:p>
    <w:p>
      <w:pPr>
        <w:numPr>
          <w:ilvl w:val="0"/>
          <w:numId w:val="1043"/>
        </w:numPr>
        <w:pStyle w:val="Compact"/>
      </w:pPr>
      <w:r>
        <w:t xml:space="preserve">§3.2 – kontrsiklik bufer formulasi va kredit/YaIM gep chegaralari (2; 5–25 p.p.), «kredit/YaIM yiliga 2–3%» – makro erta ogohlantirish signali.</w:t>
      </w:r>
    </w:p>
    <w:p>
      <w:pPr>
        <w:numPr>
          <w:ilvl w:val="0"/>
          <w:numId w:val="1043"/>
        </w:numPr>
        <w:pStyle w:val="Compact"/>
      </w:pPr>
      <w:r>
        <w:t xml:space="preserve">§4.3 – MB stress-test arxitekturasi (makro → NPL ulushi → balans → kapital tanqisligi) MBII prognozidagi stress ssenariy va NPL satellit modeli uchun metodologik asos; FSAP «risklar xaritasi» (0–10) – MBII natijalarini vizuallashtirish analogi.</w:t>
      </w:r>
    </w:p>
    <w:p>
      <w:pPr>
        <w:numPr>
          <w:ilvl w:val="0"/>
          <w:numId w:val="1043"/>
        </w:numPr>
        <w:pStyle w:val="Compact"/>
      </w:pPr>
      <w:r>
        <w:t xml:space="preserve">§1.3 – ball-vazn usuli (26-T) va motivlangan fikr – MBII ga ekspert tuzatish qo‘shish masalasida.</w:t>
      </w:r>
    </w:p>
    <w:bookmarkEnd w:id="54"/>
    <w:bookmarkStart w:id="55" w:name="iqtiboslar-ocr-1"/>
    <w:p>
      <w:pPr>
        <w:pStyle w:val="Heading3"/>
      </w:pPr>
      <w:r>
        <w:t xml:space="preserve">Iqtiboslar [OCR]</w:t>
      </w:r>
    </w:p>
    <w:p>
      <w:pPr>
        <w:numPr>
          <w:ilvl w:val="0"/>
          <w:numId w:val="1044"/>
        </w:numPr>
        <w:pStyle w:val="Compact"/>
      </w:pPr>
      <w:r>
        <w:t xml:space="preserve">«Мотивированное суждение — аргументированная профессиональная оценка регулятора, применяемая в дополнение к формализованным требованиям или при их отсутствии…» (p. 44).</w:t>
      </w:r>
    </w:p>
    <w:p>
      <w:pPr>
        <w:numPr>
          <w:ilvl w:val="0"/>
          <w:numId w:val="1044"/>
        </w:numPr>
        <w:pStyle w:val="Compact"/>
      </w:pPr>
      <w:r>
        <w:t xml:space="preserve">«Заражение — основной механизм, через который финансовая нестабильность получает столь широкое распространение» (p. 55).</w:t>
      </w:r>
    </w:p>
    <w:p>
      <w:pPr>
        <w:numPr>
          <w:ilvl w:val="0"/>
          <w:numId w:val="1044"/>
        </w:numPr>
        <w:pStyle w:val="Compact"/>
      </w:pPr>
      <w:r>
        <w:t xml:space="preserve">«Банк России на данный момент не дает официального понятия и классификации системных рисков» (p. 52).</w:t>
      </w:r>
    </w:p>
    <w:p>
      <w:pPr>
        <w:numPr>
          <w:ilvl w:val="0"/>
          <w:numId w:val="1044"/>
        </w:numPr>
        <w:pStyle w:val="Compact"/>
      </w:pPr>
      <w:r>
        <w:t xml:space="preserve">«…увеличение данного индикатора на 2—3% в год свидетельствует о риске избыточного кредитования…» (p. 70).</w:t>
      </w:r>
    </w:p>
    <w:p>
      <w:pPr>
        <w:numPr>
          <w:ilvl w:val="0"/>
          <w:numId w:val="1044"/>
        </w:numPr>
        <w:pStyle w:val="Compact"/>
      </w:pPr>
      <w:r>
        <w:t xml:space="preserve">«Эти два способа измерения системного риска тесно связаны» (p. 52).</w:t>
      </w:r>
    </w:p>
    <w:p>
      <w:pPr>
        <w:numPr>
          <w:ilvl w:val="0"/>
          <w:numId w:val="1044"/>
        </w:numPr>
        <w:pStyle w:val="Compact"/>
      </w:pPr>
      <w:r>
        <w:t xml:space="preserve">«Применение только лишь достаточно жестких процедур, основанных на количественных оценках, в надзорной практике недопустимо» (p. 44).</w:t>
      </w:r>
    </w:p>
    <w:bookmarkEnd w:id="55"/>
    <w:bookmarkStart w:id="56" w:name="moslashtiriladigan-jadvalformulalar"/>
    <w:p>
      <w:pPr>
        <w:pStyle w:val="Heading3"/>
      </w:pPr>
      <w:r>
        <w:t xml:space="preserve">Moslashtiriladigan jadval/formulalar</w:t>
      </w:r>
    </w:p>
    <w:p>
      <w:pPr>
        <w:numPr>
          <w:ilvl w:val="0"/>
          <w:numId w:val="1045"/>
        </w:numPr>
        <w:pStyle w:val="Compact"/>
      </w:pPr>
      <w:r>
        <w:t xml:space="preserve">1.1-jadval – tizimli riskning kesim va vaqt o‘lchovlari (p. 53).</w:t>
      </w:r>
    </w:p>
    <w:p>
      <w:pPr>
        <w:numPr>
          <w:ilvl w:val="0"/>
          <w:numId w:val="1045"/>
        </w:numPr>
        <w:pStyle w:val="Compact"/>
      </w:pPr>
      <w:r>
        <w:t xml:space="preserve">Rasm 1.3–1.5, 1.7 – top-down / bottom-up baholash sxemalari (pp. 56–60).</w:t>
      </w:r>
    </w:p>
    <w:p>
      <w:pPr>
        <w:numPr>
          <w:ilvl w:val="0"/>
          <w:numId w:val="1045"/>
        </w:numPr>
        <w:pStyle w:val="Compact"/>
      </w:pPr>
      <w:r>
        <w:t xml:space="preserve">1.2–1.4-jadvallar – makroprudensial maqsad va instrumentlar (pp. 62–65); rasm 1.8–1.11 – kapital talablari va buferlar (pp. 65–67).</w:t>
      </w:r>
    </w:p>
    <w:p>
      <w:pPr>
        <w:numPr>
          <w:ilvl w:val="0"/>
          <w:numId w:val="1045"/>
        </w:numPr>
        <w:pStyle w:val="Compact"/>
      </w:pPr>
      <w:r>
        <w:t xml:space="preserve">KBK formulasi (1.1) va kredit gep (pp. 68–70).</w:t>
      </w:r>
    </w:p>
    <w:bookmarkEnd w:id="56"/>
    <w:bookmarkEnd w:id="57"/>
    <w:bookmarkStart w:id="63" w:name="X8238c9022fea546777b6f0d1253b9a28068437d"/>
    <w:p>
      <w:pPr>
        <w:pStyle w:val="Heading2"/>
      </w:pPr>
      <w:r>
        <w:t xml:space="preserve">7. Shatalova Ye.P. «Банковские рейтинги в системе риск-менеджмента» (2020)</w:t>
      </w:r>
    </w:p>
    <w:p>
      <w:pPr>
        <w:pStyle w:val="FirstParagraph"/>
      </w:pPr>
      <w:r>
        <w:t xml:space="preserve">Diqqat: 1.2 bank reytingi emas, asosan</w:t>
      </w:r>
      <w:r>
        <w:t xml:space="preserve"> </w:t>
      </w:r>
      <w:r>
        <w:rPr>
          <w:bCs/>
          <w:b/>
        </w:rPr>
        <w:t xml:space="preserve">qarz oluvchi (kredit) reytingi</w:t>
      </w:r>
      <w:r>
        <w:t xml:space="preserve"> </w:t>
      </w:r>
      <w:r>
        <w:t xml:space="preserve">haqida; bankni baholash bo‘yicha qimmatli material – АКРА bank metodologiyasi (pp. 43–46) va 4.1 (kredit tashkilotlari moliyaviy holatini baholash algoritmi).</w:t>
      </w:r>
    </w:p>
    <w:bookmarkStart w:id="58" w:name="Xb60d08f874b11384d33e1d0248768e5005799ce"/>
    <w:p>
      <w:pPr>
        <w:pStyle w:val="Heading3"/>
      </w:pPr>
      <w:r>
        <w:t xml:space="preserve">1.2. Kredit reytingi – integral baho; reyting metodikalariga talablar (pp. 6–54)</w:t>
      </w:r>
    </w:p>
    <w:p>
      <w:pPr>
        <w:numPr>
          <w:ilvl w:val="0"/>
          <w:numId w:val="1046"/>
        </w:numPr>
        <w:pStyle w:val="Compact"/>
      </w:pPr>
      <w:r>
        <w:t xml:space="preserve">Reyting mohiyati – «сравнительная дистанционная оценка степени надежности»; reyting nisbiy, kesish nuqtasi vazifasini bajaradi; aniqligi «vaqt bilan tekshiriladi» (p. 7). Barcha metodikalarning 6 umumiy belgisi: maqsad, algoritm, mezonlar, tahlil usullari, reyting modeli, yakuniy baho (pp. 7–8).</w:t>
      </w:r>
    </w:p>
    <w:p>
      <w:pPr>
        <w:numPr>
          <w:ilvl w:val="0"/>
          <w:numId w:val="1046"/>
        </w:numPr>
        <w:pStyle w:val="Compact"/>
      </w:pPr>
      <w:r>
        <w:t xml:space="preserve">Reyting metodikalariga talablar: o‘z vaqtidagi, ishonchli va tushunarli axborot; aniq, asoslangan ranjirlash mezonlari; muhim ko‘rsatkichlar; kompleks iqtisodiy tahlil (p. 8). Shkalalar 5–10–12 gradatsiya (p. 9).</w:t>
      </w:r>
    </w:p>
    <w:p>
      <w:pPr>
        <w:numPr>
          <w:ilvl w:val="0"/>
          <w:numId w:val="1046"/>
        </w:numPr>
        <w:pStyle w:val="Compact"/>
      </w:pPr>
      <w:r>
        <w:t xml:space="preserve">Bazel II standart yondashuv risk vaznlari: suveren AAA…AA- 0%, A 20%, BBB 50%, BB…B 100%, B- dan past 150% (2-jadval); korporativ 20/50/100/150, reytingsiz 100%; ipoteka 35%, chakana 75%; 90 kundan ortiq muddati o‘tgan – 150/100/50% zaxira darajasiga ko‘ra (pp. 10–12).</w:t>
      </w:r>
    </w:p>
    <w:p>
      <w:pPr>
        <w:numPr>
          <w:ilvl w:val="0"/>
          <w:numId w:val="1046"/>
        </w:numPr>
        <w:pStyle w:val="Compact"/>
      </w:pPr>
      <w:r>
        <w:t xml:space="preserve">IRB: PD, LGD, EAD, M;</w:t>
      </w:r>
      <w:r>
        <w:t xml:space="preserve"> </w:t>
      </w:r>
      <w:r>
        <w:rPr>
          <w:bCs/>
          <w:b/>
        </w:rPr>
        <w:t xml:space="preserve">EL = PD × LGD × EAD</w:t>
      </w:r>
      <w:r>
        <w:t xml:space="preserve">; zaxira = EL, kapital = UL; kamida 5 yillik tarix (o‘tish davrida 2 yil); defoltsiz qarzdorlar uchun 5–12 reyting toifasi + 1 defolt toifasi; defolt = 90+ kun (pp. 12–17).</w:t>
      </w:r>
    </w:p>
    <w:p>
      <w:pPr>
        <w:numPr>
          <w:ilvl w:val="0"/>
          <w:numId w:val="1046"/>
        </w:numPr>
        <w:pStyle w:val="Compact"/>
      </w:pPr>
      <w:r>
        <w:t xml:space="preserve">Reyting elementlari: biznes-risk (mintaqa, tarmoq, bozor pozitsiyasi, HHI raqobat indeksi, menejment), moliyaviy risk (leveraj, likvidlik, rentabellik, aylanma), bitim omillari (pp. 19–23). Model: ko‘rsatkich × vazn; vaznlar ekspert usulida, keyin verifikatsiya; Bazel II «motivlangan professional fikr»ni talab qiladi (p. 23).</w:t>
      </w:r>
    </w:p>
    <w:p>
      <w:pPr>
        <w:numPr>
          <w:ilvl w:val="0"/>
          <w:numId w:val="1046"/>
        </w:numPr>
        <w:pStyle w:val="Compact"/>
      </w:pPr>
      <w:r>
        <w:t xml:space="preserve">Kredit riskini boshqarish jarayoni 6 bosqich: identifikatsiya → sifat bahosi (reyting) → ehtimollik bahosi (PD) → miqdoriy (VaR) → ta’sir usullari → monitoring (pp. 30–31); VaR inqiroz paytida yaroqsiz (p. 31).</w:t>
      </w:r>
    </w:p>
    <w:p>
      <w:pPr>
        <w:numPr>
          <w:ilvl w:val="0"/>
          <w:numId w:val="1046"/>
        </w:numPr>
        <w:pStyle w:val="Compact"/>
      </w:pPr>
      <w:r>
        <w:t xml:space="preserve">Reyting agentliklari: S&amp;P (1867), Moody’s (1909), Fitch (1914); РФ – АК&amp;М, Эксперт РА, RusRating, НРА, АКРА; 222-ФЗ (13.07.2015), kapital ≥50 mln rubl; 2017-yildan faqat milliy shkala (pp. 39–41). Xalqaro vs milliy shkala, «страновой потолок» (p. 42).</w:t>
      </w:r>
    </w:p>
    <w:p>
      <w:pPr>
        <w:numPr>
          <w:ilvl w:val="0"/>
          <w:numId w:val="1046"/>
        </w:numPr>
        <w:pStyle w:val="Compact"/>
      </w:pPr>
      <w:r>
        <w:rPr>
          <w:bCs/>
          <w:b/>
        </w:rPr>
        <w:t xml:space="preserve">АКРА bank reytingi tuzilmasi</w:t>
      </w:r>
      <w:r>
        <w:t xml:space="preserve"> </w:t>
      </w:r>
      <w:r>
        <w:t xml:space="preserve">(pp. 43–46): o‘z kreditga layoqatliligi bahosi (ОСК) = biznes-profil (5 subomil: franshiza, diversifikatsiya, boshqaruv sifati, strategiya, mulkchilik; peer-taqqoslash bilan ±1 pog‘ona) + kapital yetarliligi (Tier-1 CAR va kapitalning o‘rtacha generatsiya koeffitsiyenti КУГК + Н1.2, Н1.0, leveraj, operatsion samaradorlik tuzatishlari) + risk-profil (risk-menejment, ssuda portfeli sifati: muammoli qarz, konsentratsiya, zaxira qoplami) + fondlash va likvidlik (pul oqimlari, resurslar diversifikatsiyasi, regulyativ moliyalashga qaramlik); keyin tizimli/individual tuzatishlar va tashqi qo‘llab-quvvatlash (guruh, davlat, tizimli ahamiyat).</w:t>
      </w:r>
    </w:p>
    <w:p>
      <w:pPr>
        <w:numPr>
          <w:ilvl w:val="0"/>
          <w:numId w:val="1046"/>
        </w:numPr>
        <w:pStyle w:val="Compact"/>
      </w:pPr>
      <w:r>
        <w:t xml:space="preserve">Ichki reyting metodikasi komponentlari: moliyaviy va nomoliyaviy guruhlar, hisobot sanalari soni,</w:t>
      </w:r>
      <w:r>
        <w:t xml:space="preserve"> </w:t>
      </w:r>
      <w:r>
        <w:rPr>
          <w:bCs/>
          <w:b/>
        </w:rPr>
        <w:t xml:space="preserve">vaznlar</w:t>
      </w:r>
      <w:r>
        <w:t xml:space="preserve">, ko‘rsatkichni ballga aylantirish</w:t>
      </w:r>
      <w:r>
        <w:t xml:space="preserve"> </w:t>
      </w:r>
      <w:r>
        <w:rPr>
          <w:bCs/>
          <w:b/>
        </w:rPr>
        <w:t xml:space="preserve">diapazonlari</w:t>
      </w:r>
      <w:r>
        <w:t xml:space="preserve">, qo‘shimcha tuzatishlar (p. 48). Moliyaviy ko‘rsatkichlar guruhlari: barqarorlik, likvidlik, faollik, rentabellik, qarzga xizmat (p. 49).</w:t>
      </w:r>
    </w:p>
    <w:p>
      <w:pPr>
        <w:numPr>
          <w:ilvl w:val="0"/>
          <w:numId w:val="1046"/>
        </w:numPr>
        <w:pStyle w:val="Compact"/>
      </w:pPr>
      <w:r>
        <w:t xml:space="preserve">9-jadval «Biznes-risk darajasi»: guruhlar vazni – egalar va boshqaruv 30%, bozor pozitsiyasi 35%, qo‘shimcha omillar 30–35%; har omil 0–100 ball (pp. 50–52). Integral formula:</w:t>
      </w:r>
      <w:r>
        <w:t xml:space="preserve"> </w:t>
      </w:r>
      <w:r>
        <w:rPr>
          <w:bCs/>
          <w:b/>
        </w:rPr>
        <w:t xml:space="preserve">Z = Σᵢ wᵢ · Σⱼ (sⱼ · Yⱼ)</w:t>
      </w:r>
      <w:r>
        <w:t xml:space="preserve"> </w:t>
      </w:r>
      <w:r>
        <w:t xml:space="preserve">– guruh vazni × omil vazni × ball (p. 53).</w:t>
      </w:r>
    </w:p>
    <w:bookmarkEnd w:id="58"/>
    <w:bookmarkStart w:id="59" w:name="X8a1e1f4918e47414bcdae00927b94a6a752f8b8"/>
    <w:p>
      <w:pPr>
        <w:pStyle w:val="Heading3"/>
      </w:pPr>
      <w:r>
        <w:t xml:space="preserve">4.1. Kredit tashkilotlari moliyaviy holatini baholash algoritmi (pp. 178–198)</w:t>
      </w:r>
    </w:p>
    <w:p>
      <w:pPr>
        <w:numPr>
          <w:ilvl w:val="0"/>
          <w:numId w:val="1047"/>
        </w:numPr>
        <w:pStyle w:val="Compact"/>
      </w:pPr>
      <w:r>
        <w:t xml:space="preserve">Maqsad: kontragent-banklar moliyaviy holatini aniqlash, sifat toifasi va zaxiralar (590-P) uchun; asos – limit o‘rnatish yoki NOSTRO ochish; baholash</w:t>
      </w:r>
      <w:r>
        <w:t xml:space="preserve"> </w:t>
      </w:r>
      <w:r>
        <w:rPr>
          <w:bCs/>
          <w:b/>
        </w:rPr>
        <w:t xml:space="preserve">oylik</w:t>
      </w:r>
      <w:r>
        <w:t xml:space="preserve"> </w:t>
      </w:r>
      <w:r>
        <w:t xml:space="preserve">(pp. 178, 184).</w:t>
      </w:r>
    </w:p>
    <w:p>
      <w:pPr>
        <w:numPr>
          <w:ilvl w:val="0"/>
          <w:numId w:val="1047"/>
        </w:numPr>
        <w:pStyle w:val="Compact"/>
      </w:pPr>
      <w:r>
        <w:t xml:space="preserve">Parametrlar: kapital, aktivlar tuzilmasi/dinamikasi, aktivlar sifati, likvidlik (MB normativlari), passivlar tuzilmasi, foyda/zarar, norezidentlar uchun reytinglar; xulosa «yaxshi/o‘rta/yomon» (p. 181).</w:t>
      </w:r>
    </w:p>
    <w:p>
      <w:pPr>
        <w:numPr>
          <w:ilvl w:val="0"/>
          <w:numId w:val="1047"/>
        </w:numPr>
        <w:pStyle w:val="Compact"/>
      </w:pPr>
      <w:r>
        <w:t xml:space="preserve">Ma’lumot manbalari: 0409101, 0409102, 0409134, 0409135 shakllari, oxirgi 3 hisobot sanasi; nomoliyaviy – reytinglar, davlat ishonchi, sud ishlari, banklararo bozordagi xulq (pp. 185–186).</w:t>
      </w:r>
    </w:p>
    <w:p>
      <w:pPr>
        <w:numPr>
          <w:ilvl w:val="0"/>
          <w:numId w:val="1047"/>
        </w:numPr>
        <w:pStyle w:val="Compact"/>
      </w:pPr>
      <w:r>
        <w:rPr>
          <w:bCs/>
          <w:b/>
        </w:rPr>
        <w:t xml:space="preserve">1.1-jadval «Yaxshi A» (rezident)</w:t>
      </w:r>
      <w:r>
        <w:t xml:space="preserve">: o‘z mablag‘lari ≥ ustav kapitali; kapital maksimumdan ≤15% pasaygan; barcha normativlar bajarilgan; muddati o‘tgan qarz ≤20% kredit portfeli; foydali yoki ketma-ket ≤2 sana zarar; kartoteka qoldiqlari yo‘q (p. 187).</w:t>
      </w:r>
    </w:p>
    <w:p>
      <w:pPr>
        <w:numPr>
          <w:ilvl w:val="0"/>
          <w:numId w:val="1047"/>
        </w:numPr>
        <w:pStyle w:val="Compact"/>
      </w:pPr>
      <w:r>
        <w:rPr>
          <w:bCs/>
          <w:b/>
        </w:rPr>
        <w:t xml:space="preserve">1.2-jadval «O‘rta A/B/C»</w:t>
      </w:r>
      <w:r>
        <w:t xml:space="preserve">: kapital pasayishi 15–25%; Н1, Н2, Н3 buzilishi 3 oyda ≤10%; muddati o‘tgan qarz 20–25% (A/B), 25–30% (C); zarar 3/4/5 oy ketma-ket; kartoteka aylanmalari 0,5–5% (pp. 188–189).</w:t>
      </w:r>
    </w:p>
    <w:p>
      <w:pPr>
        <w:numPr>
          <w:ilvl w:val="0"/>
          <w:numId w:val="1047"/>
        </w:numPr>
        <w:pStyle w:val="Compact"/>
      </w:pPr>
      <w:r>
        <w:rPr>
          <w:bCs/>
          <w:b/>
        </w:rPr>
        <w:t xml:space="preserve">1.3-jadval «Yomon A/B»</w:t>
      </w:r>
      <w:r>
        <w:t xml:space="preserve">: o‘z mablag‘lari &lt; ustav kapitali; kapital &gt;25% pasaygan + normativ buzilishi; normativ buzilishi &gt;15%; muddati o‘tgan qarz 30–40% (A), &gt;40% (B); defolt, litsenziya xavfi (pp. 189–190).</w:t>
      </w:r>
    </w:p>
    <w:p>
      <w:pPr>
        <w:numPr>
          <w:ilvl w:val="0"/>
          <w:numId w:val="1047"/>
        </w:numPr>
        <w:pStyle w:val="Compact"/>
      </w:pPr>
      <w:r>
        <w:rPr>
          <w:bCs/>
          <w:b/>
        </w:rPr>
        <w:t xml:space="preserve">Norezidentlar (2.1–2.3-jadvallar)</w:t>
      </w:r>
      <w:r>
        <w:t xml:space="preserve">: «Yaxshi»: kapital &gt;10 mlrd rubl, CAR &gt;10%, aktivlar ≥40 mlrd, reyting ≥B3/B-; «O‘rta» A/B/C: kapital 8–10/6–8/4–6 mlrd, aktivlar 30–40/20–30/10–20 mlrd; «Yomon»: kapital 2–4 yoki &lt;2 mlrd, aktivlar 5–10 yoki &lt;5 mlrd (pp. 191–193).</w:t>
      </w:r>
    </w:p>
    <w:p>
      <w:pPr>
        <w:numPr>
          <w:ilvl w:val="0"/>
          <w:numId w:val="1047"/>
        </w:numPr>
        <w:pStyle w:val="Compact"/>
      </w:pPr>
      <w:r>
        <w:t xml:space="preserve">Qarzga xizmat sifati (3-jadval): yaxshi / o‘rta (180 kunda ≤5 kun kechikish) / qoniqarsiz (6–30 kun yoki &gt;30 kun) (pp. 193–194).</w:t>
      </w:r>
    </w:p>
    <w:p>
      <w:pPr>
        <w:numPr>
          <w:ilvl w:val="0"/>
          <w:numId w:val="1047"/>
        </w:numPr>
        <w:pStyle w:val="Compact"/>
      </w:pPr>
      <w:r>
        <w:rPr>
          <w:bCs/>
          <w:b/>
        </w:rPr>
        <w:t xml:space="preserve">4-jadval</w:t>
      </w:r>
      <w:r>
        <w:t xml:space="preserve"> </w:t>
      </w:r>
      <w:r>
        <w:t xml:space="preserve">sifat toifasi = moliyaviy holat (5 daraja) × qarzga xizmat (3 daraja) matritsasi, I–V toifa (p. 196).</w:t>
      </w:r>
      <w:r>
        <w:t xml:space="preserve"> </w:t>
      </w:r>
      <w:r>
        <w:rPr>
          <w:bCs/>
          <w:b/>
        </w:rPr>
        <w:t xml:space="preserve">5-jadval zaxira stavkalari</w:t>
      </w:r>
      <w:r>
        <w:t xml:space="preserve"> </w:t>
      </w:r>
      <w:r>
        <w:t xml:space="preserve">(yaxshi/o‘rta/qoniqarsiz xizmat): Yaxshi A 0/1/21%; O‘rta A 1/21/51%; O‘rta B 5/25/60%; O‘rta C 10/35/75%; Yomon A 21/51/100%; Yomon B 25/60/100% (pp. 196–197).</w:t>
      </w:r>
    </w:p>
    <w:p>
      <w:pPr>
        <w:numPr>
          <w:ilvl w:val="0"/>
          <w:numId w:val="1047"/>
        </w:numPr>
        <w:pStyle w:val="Compact"/>
      </w:pPr>
      <w:r>
        <w:t xml:space="preserve">Nomoliyaviy tuzatish: reyting ≥Ba3/BB-, MB garov ro‘yxatida bo‘lish, davlat qo‘llab-quvvatlashi – toifani ko‘pi bilan 1 pog‘ona yaxshilaydi; mulkdor almashuvi, nizolar, sud ishlari (&gt;25% kapital) – yomonlashtiradi (pp. 197–198).</w:t>
      </w:r>
    </w:p>
    <w:bookmarkEnd w:id="59"/>
    <w:bookmarkStart w:id="60" w:name="dissertatsiyada-qollash-2"/>
    <w:p>
      <w:pPr>
        <w:pStyle w:val="Heading3"/>
      </w:pPr>
      <w:r>
        <w:t xml:space="preserve">Dissertatsiyada qo‘llash</w:t>
      </w:r>
    </w:p>
    <w:p>
      <w:pPr>
        <w:numPr>
          <w:ilvl w:val="0"/>
          <w:numId w:val="1048"/>
        </w:numPr>
        <w:pStyle w:val="Compact"/>
      </w:pPr>
      <w:r>
        <w:t xml:space="preserve">§1.3 – АКРА bank reytingi tuzilmasi (biznes-profil + kapital + risk-profil + fondlash/likvidlik + tashqi qo‘llab-quvvatlash) xalqaro/rus reyting modellari sharhiga; MBII bloklari bilan taqqoslash jadvali.</w:t>
      </w:r>
    </w:p>
    <w:p>
      <w:pPr>
        <w:numPr>
          <w:ilvl w:val="0"/>
          <w:numId w:val="1048"/>
        </w:numPr>
        <w:pStyle w:val="Compact"/>
      </w:pPr>
      <w:r>
        <w:t xml:space="preserve">§3.1 – integral formula Z = Σwᵢ·Σsⱼ·Yⱼ (p. 53) MBII ning ikki darajali vaznlash (blok vazni × indikator) mantiqiy asosi sifatida; «ballga aylantirish diapazonlari» (p. 48) MBII 1–4 ball chegaralari g‘oyasiga havola.</w:t>
      </w:r>
    </w:p>
    <w:p>
      <w:pPr>
        <w:numPr>
          <w:ilvl w:val="0"/>
          <w:numId w:val="1048"/>
        </w:numPr>
        <w:pStyle w:val="Compact"/>
      </w:pPr>
      <w:r>
        <w:t xml:space="preserve">§3.1/§3.2 – 1.1–1.3-jadvallar chegaralari (kapital pasayishi 15/25%, muddati o‘tgan qarz 20/25/30/40%, ketma-ket zarar oylari, normativ buzilish 10/15%) MBII-Basel erta ogohlantirish signallari uchun tayyor eskalatsiya shkalasi.</w:t>
      </w:r>
    </w:p>
    <w:p>
      <w:pPr>
        <w:numPr>
          <w:ilvl w:val="0"/>
          <w:numId w:val="1048"/>
        </w:numPr>
        <w:pStyle w:val="Compact"/>
      </w:pPr>
      <w:r>
        <w:t xml:space="preserve">§4.2 – moliyaviy holat × qarzga xizmat matritsasi (4–5-jadval) MBII darajalarini zaxira/risk oqibatlariga bog‘lashda analog.</w:t>
      </w:r>
    </w:p>
    <w:p>
      <w:pPr>
        <w:numPr>
          <w:ilvl w:val="0"/>
          <w:numId w:val="1048"/>
        </w:numPr>
        <w:pStyle w:val="Compact"/>
      </w:pPr>
      <w:r>
        <w:t xml:space="preserve">§1.2 – EL = PD×LGD×EAD va zaxira=EL, kapital=UL tamoyili (p. 12) IFRS 9 ECL bilan bog‘lash uchun.</w:t>
      </w:r>
    </w:p>
    <w:bookmarkEnd w:id="60"/>
    <w:bookmarkStart w:id="61" w:name="iqtiboslar-ocr-2"/>
    <w:p>
      <w:pPr>
        <w:pStyle w:val="Heading3"/>
      </w:pPr>
      <w:r>
        <w:t xml:space="preserve">Iqtiboslar [OCR]</w:t>
      </w:r>
    </w:p>
    <w:p>
      <w:pPr>
        <w:numPr>
          <w:ilvl w:val="0"/>
          <w:numId w:val="1049"/>
        </w:numPr>
        <w:pStyle w:val="Compact"/>
      </w:pPr>
      <w:r>
        <w:t xml:space="preserve">«Сущность рейтинга состоит в сравнительной дистанционной оценке степени надежности заемщика» (p. 7).</w:t>
      </w:r>
    </w:p>
    <w:p>
      <w:pPr>
        <w:numPr>
          <w:ilvl w:val="0"/>
          <w:numId w:val="1049"/>
        </w:numPr>
        <w:pStyle w:val="Compact"/>
      </w:pPr>
      <w:r>
        <w:t xml:space="preserve">«Основным способом проверки точности рейтинга является проверка его временем» (p. 7).</w:t>
      </w:r>
    </w:p>
    <w:p>
      <w:pPr>
        <w:numPr>
          <w:ilvl w:val="0"/>
          <w:numId w:val="1049"/>
        </w:numPr>
        <w:pStyle w:val="Compact"/>
      </w:pPr>
      <w:r>
        <w:t xml:space="preserve">«Кредитный рейтинг представляет собой интегральную оценку кредитоспособности заемщика» (p. 37).</w:t>
      </w:r>
    </w:p>
    <w:p>
      <w:pPr>
        <w:numPr>
          <w:ilvl w:val="0"/>
          <w:numId w:val="1049"/>
        </w:numPr>
        <w:pStyle w:val="Compact"/>
      </w:pPr>
      <w:r>
        <w:t xml:space="preserve">«Весовые значения для показателей устанавливаются на начальном этапе на основе метода экспертных оценок, далее проводится их верификация» (p. 23).</w:t>
      </w:r>
    </w:p>
    <w:p>
      <w:pPr>
        <w:numPr>
          <w:ilvl w:val="0"/>
          <w:numId w:val="1049"/>
        </w:numPr>
        <w:pStyle w:val="Compact"/>
      </w:pPr>
      <w:r>
        <w:t xml:space="preserve">«Ни одна из методик не полагается полностью на количественные методы» (p. 23).</w:t>
      </w:r>
    </w:p>
    <w:p>
      <w:pPr>
        <w:numPr>
          <w:ilvl w:val="0"/>
          <w:numId w:val="1049"/>
        </w:numPr>
        <w:pStyle w:val="Compact"/>
      </w:pPr>
      <w:r>
        <w:t xml:space="preserve">«…показатель VaR обычно не используется в условиях рынков, находящихся в состоянии кризиса» (p. 31).</w:t>
      </w:r>
    </w:p>
    <w:bookmarkEnd w:id="61"/>
    <w:bookmarkStart w:id="62" w:name="moslashtiriladigan-jadvalformulalar-1"/>
    <w:p>
      <w:pPr>
        <w:pStyle w:val="Heading3"/>
      </w:pPr>
      <w:r>
        <w:t xml:space="preserve">Moslashtiriladigan jadval/formulalar</w:t>
      </w:r>
    </w:p>
    <w:p>
      <w:pPr>
        <w:numPr>
          <w:ilvl w:val="0"/>
          <w:numId w:val="1050"/>
        </w:numPr>
        <w:pStyle w:val="Compact"/>
      </w:pPr>
      <w:r>
        <w:t xml:space="preserve">2–6-jadvallar – Bazel II risk vaznlari (pp. 10–11); EL formulasi (p. 12).</w:t>
      </w:r>
    </w:p>
    <w:p>
      <w:pPr>
        <w:numPr>
          <w:ilvl w:val="0"/>
          <w:numId w:val="1050"/>
        </w:numPr>
        <w:pStyle w:val="Compact"/>
      </w:pPr>
      <w:r>
        <w:t xml:space="preserve">5-sxema – АКРА ОСК tuzilmasi (pp. 44–45).</w:t>
      </w:r>
    </w:p>
    <w:p>
      <w:pPr>
        <w:numPr>
          <w:ilvl w:val="0"/>
          <w:numId w:val="1050"/>
        </w:numPr>
        <w:pStyle w:val="Compact"/>
      </w:pPr>
      <w:r>
        <w:t xml:space="preserve">9-jadval va Z formulasi – ikki darajali ballik-vaznli model (pp. 50–53).</w:t>
      </w:r>
    </w:p>
    <w:p>
      <w:pPr>
        <w:numPr>
          <w:ilvl w:val="0"/>
          <w:numId w:val="1050"/>
        </w:numPr>
        <w:pStyle w:val="Compact"/>
      </w:pPr>
      <w:r>
        <w:t xml:space="preserve">1.1–1.3, 2.1–2.3-jadvallar – bank moliyaviy holati mezonlari (pp. 187–193); 4–5-jadvallar – toifa matritsasi va zaxira stavkalari (pp. 196–197).</w:t>
      </w:r>
    </w:p>
    <w:bookmarkEnd w:id="62"/>
    <w:bookmarkEnd w:id="63"/>
    <w:bookmarkStart w:id="70" w:name="Xbf13ba6b7462d417ca7479e98c0b74a3b715ae6"/>
    <w:p>
      <w:pPr>
        <w:pStyle w:val="Heading2"/>
      </w:pPr>
      <w:r>
        <w:t xml:space="preserve">8. Karaliyev T.M., Sayfiddinov I.F. «Tijorat banklari faoliyatini tartibga solish va nazorati» (2019)</w:t>
      </w:r>
    </w:p>
    <w:bookmarkStart w:id="64" w:name="kirish-pp.-34-camel-rejasi"/>
    <w:p>
      <w:pPr>
        <w:pStyle w:val="Heading3"/>
      </w:pPr>
      <w:r>
        <w:t xml:space="preserve">Kirish (pp. 3–4) – CAMEL rejasi</w:t>
      </w:r>
    </w:p>
    <w:p>
      <w:pPr>
        <w:numPr>
          <w:ilvl w:val="0"/>
          <w:numId w:val="1051"/>
        </w:numPr>
        <w:pStyle w:val="Compact"/>
      </w:pPr>
      <w:r>
        <w:t xml:space="preserve">O‘zbekiston bank tizimini baholash uchun «yetakchi xalqaro tashkilotlar foydalanadigan bank kapitali, aktivlari, menejmenti, daromadlari, sifati va majburiyatlari darajasini baholash uchun ko‘rsatkichlarni CAMEL tizimining yangi versiyasida kiritish rejalashtirilgan» (p. 3).</w:t>
      </w:r>
    </w:p>
    <w:p>
      <w:pPr>
        <w:numPr>
          <w:ilvl w:val="0"/>
          <w:numId w:val="1051"/>
        </w:numPr>
        <w:pStyle w:val="Compact"/>
      </w:pPr>
      <w:r>
        <w:t xml:space="preserve">Huquqiy asos: PQ-2344 (06.05.2015) «Tijorat banklarining moliyaviy barqarorligini yanada oshirish…» – Bazel III ni bosqichma-bosqich joriy etish; MBga 2015–2019 yillarda Bazel III ni bajarish topshirilgan (pp. 3–4).</w:t>
      </w:r>
    </w:p>
    <w:p>
      <w:pPr>
        <w:numPr>
          <w:ilvl w:val="0"/>
          <w:numId w:val="1051"/>
        </w:numPr>
        <w:pStyle w:val="Compact"/>
      </w:pPr>
      <w:r>
        <w:t xml:space="preserve">Bazel III maqsadi – risklarni boshqarish sifatini oshirish va moliya tizimi barqarorligini kuchaytirish (p. 4).</w:t>
      </w:r>
    </w:p>
    <w:bookmarkEnd w:id="64"/>
    <w:bookmarkStart w:id="65" w:name="Xda830556e65e9c32d162470c91c44e4df02774b"/>
    <w:p>
      <w:pPr>
        <w:pStyle w:val="Heading3"/>
      </w:pPr>
      <w:r>
        <w:t xml:space="preserve">6.3. O‘zbekiston bank tizimida Bazel III talablarining qo‘llanilishi (pp. 177–187)</w:t>
      </w:r>
    </w:p>
    <w:p>
      <w:pPr>
        <w:numPr>
          <w:ilvl w:val="0"/>
          <w:numId w:val="1052"/>
        </w:numPr>
        <w:pStyle w:val="Compact"/>
      </w:pPr>
      <w:r>
        <w:t xml:space="preserve">Me’yoriy tarix: PQ-1438 (26.11.2010) – 2011–2015 yy. moliya-bank tizimini isloh qilish dasturi; Jahon banki loyihasi doirasida ~30 normativ hujjat; joyida tekshirish uchun CAMEL tizimi USAID ko‘magida joriy qilingan (pp. 177–178).</w:t>
      </w:r>
    </w:p>
    <w:p>
      <w:pPr>
        <w:numPr>
          <w:ilvl w:val="0"/>
          <w:numId w:val="1052"/>
        </w:numPr>
        <w:pStyle w:val="Compact"/>
      </w:pPr>
      <w:r>
        <w:t xml:space="preserve">Bank tizimi kapital yetarliligi 24% dan yuqori, ya’ni xalqaro 8% talabdan 3 barobar yuqori; davlat 600 mlrd so‘mdan ortiq kapital in’ektsiyasi qilgan (p. 178).</w:t>
      </w:r>
    </w:p>
    <w:p>
      <w:pPr>
        <w:numPr>
          <w:ilvl w:val="0"/>
          <w:numId w:val="1052"/>
        </w:numPr>
        <w:pStyle w:val="Compact"/>
      </w:pPr>
      <w:r>
        <w:t xml:space="preserve">Rejalashtirilgan choralar: joyida tekshiruv natijalari bo‘yicha kapital yetarliligi, aktivlar sifati, boshqaruv, likvidlik, daromadlilik va bozor risklariga sezgirlikni baholashning takomillashtirilgan tizimi (CAMELS) ni bosqichma-bosqich joriy etish; makroiqtisodiy stress holatlarni «stsenariy tahlil» usulida o‘rganish (p. 179).</w:t>
      </w:r>
    </w:p>
    <w:p>
      <w:pPr>
        <w:numPr>
          <w:ilvl w:val="0"/>
          <w:numId w:val="1052"/>
        </w:numPr>
        <w:pStyle w:val="Compact"/>
      </w:pPr>
      <w:r>
        <w:t xml:space="preserve">Miqdoriy maqsadlar: jami kapitalni yiliga kamida 20%, depozitlarni kamida 30% oshirish (p. 180); yirik bitimlar (kapitalning ≥15%) Kengash tomonidan ma’qullanadi (p. 180).</w:t>
      </w:r>
    </w:p>
    <w:p>
      <w:pPr>
        <w:numPr>
          <w:ilvl w:val="0"/>
          <w:numId w:val="1052"/>
        </w:numPr>
        <w:pStyle w:val="Compact"/>
      </w:pPr>
      <w:r>
        <w:t xml:space="preserve">Bazel III asosiy yangiliklari (p. 181): oddiy aksiya va taqsimlanmagan foydaga ustuvorlik; 2 ta likvidlik koeffitsiyenti; leverage koeffitsiyenti – choraklik o‘rtacha, dastlab 3%.</w:t>
      </w:r>
    </w:p>
    <w:p>
      <w:pPr>
        <w:numPr>
          <w:ilvl w:val="0"/>
          <w:numId w:val="1052"/>
        </w:numPr>
        <w:pStyle w:val="Compact"/>
      </w:pPr>
      <w:r>
        <w:t xml:space="preserve">Kapital talablari jadvali: Tier 1 4% → 4,5% (2013) → 6% (2019); bazaviy Tier 1 (CET1) 3,5% (2013) → 4,5% (2015); konservatsiya buferi 2,5% (2019); kontrsiklik bufer 0–2,5% (pp. 181, 184). CET1+buffer = 7% (p. 184).</w:t>
      </w:r>
    </w:p>
    <w:p>
      <w:pPr>
        <w:numPr>
          <w:ilvl w:val="0"/>
          <w:numId w:val="1052"/>
        </w:numPr>
        <w:pStyle w:val="Compact"/>
      </w:pPr>
      <w:r>
        <w:t xml:space="preserve">Moody’s O‘zbekiston bank tizimi istiqbolini 2012-yil 29-avgustda ketma-ket 3-yil «barqaror» deb tasdiqlagan; 28 ta bank «barqaror» reytingga ega (p. 182). XVF 2012 missiyasi kapital yetarliligini yuqori deb baholagan (p. 183).</w:t>
      </w:r>
    </w:p>
    <w:p>
      <w:pPr>
        <w:numPr>
          <w:ilvl w:val="0"/>
          <w:numId w:val="1052"/>
        </w:numPr>
        <w:pStyle w:val="Compact"/>
      </w:pPr>
      <w:r>
        <w:t xml:space="preserve">MB to‘g‘risidagi qonunning 53-moddasi – omonatchilar manfaatiga xavf bo‘lganda sanksiyalar (pp. 183–184).</w:t>
      </w:r>
    </w:p>
    <w:p>
      <w:pPr>
        <w:numPr>
          <w:ilvl w:val="0"/>
          <w:numId w:val="1052"/>
        </w:numPr>
        <w:pStyle w:val="Compact"/>
      </w:pPr>
      <w:r>
        <w:t xml:space="preserve">LCR = YuLA / keyingi 30 kundagi sof chiqim; minimal: 01.01.2016 – 80%, 01.01.2017 – 90%, 01.01.2018 – 100% (p. 185). YuLA tarkibi: sof quyma oltin, MBdagi «Nostro» (10301), 7 kungacha banklararo kredit/depozitlar, past riskli mamlakatlar TMK qog‘ozlari, boshqa banklardagi Nostro (10501) (p. 186).</w:t>
      </w:r>
    </w:p>
    <w:p>
      <w:pPr>
        <w:numPr>
          <w:ilvl w:val="0"/>
          <w:numId w:val="1052"/>
        </w:numPr>
        <w:pStyle w:val="Compact"/>
      </w:pPr>
      <w:r>
        <w:t xml:space="preserve">NSFR (SBMMK) = BMMS / BMZS; mavjud: regulyativ kapital, ≥1 yil majburiyatlar, muddatsiz va &lt;1 yil boshqa depozitlarning 30%i; zarur: ≥1 yil aktivlar (muammoli kreditlar, nomoliyaviy aktivlar), sud jarayonidagi aktivlar, &lt;1 yil boshqa aktivlarning 30%i, balansdan tashqari majburiyatlarning 15%i; 2018-yildan, minimal 100% (p. 186).</w:t>
      </w:r>
    </w:p>
    <w:p>
      <w:pPr>
        <w:numPr>
          <w:ilvl w:val="0"/>
          <w:numId w:val="1052"/>
        </w:numPr>
        <w:pStyle w:val="Compact"/>
      </w:pPr>
      <w:r>
        <w:t xml:space="preserve">Normativ hujjatlar: MB 19/14-son (22.07.2015, AV 2709) likvidlik nizomi; 14/3-son (13.06.2015, AV 2693) kapital monandligi nizomi (p. 185).</w:t>
      </w:r>
    </w:p>
    <w:bookmarkEnd w:id="65"/>
    <w:bookmarkStart w:id="66" w:name="Xd5eb1bb0f0cfdf90df60dc3488d2a992b19ab4e"/>
    <w:p>
      <w:pPr>
        <w:pStyle w:val="Heading3"/>
      </w:pPr>
      <w:r>
        <w:t xml:space="preserve">7-bob. Tijorat banklari faoliyatini kredit reytingi asosida baholash (pp. 188–228)</w:t>
      </w:r>
    </w:p>
    <w:p>
      <w:pPr>
        <w:numPr>
          <w:ilvl w:val="0"/>
          <w:numId w:val="1053"/>
        </w:numPr>
        <w:pStyle w:val="Compact"/>
      </w:pPr>
      <w:r>
        <w:t xml:space="preserve">Ta’rif: «Reyting – bu muayyan obyekt yoki subyekt to‘g‘risidagi natijaviy baho bo‘lib, qaror qabul qilish bo‘yicha g‘oyat muhim vosita» (p. 188). Funksiyalari: qiyosiy tahlil, muammoli banklarni aniqlash, tendensiyalarni kuzatish, samaradorlikni baholash (p. 189).</w:t>
      </w:r>
    </w:p>
    <w:p>
      <w:pPr>
        <w:numPr>
          <w:ilvl w:val="0"/>
          <w:numId w:val="1053"/>
        </w:numPr>
        <w:pStyle w:val="Compact"/>
      </w:pPr>
      <w:r>
        <w:t xml:space="preserve">Baholash usullari: miqdoriy (aktivlar, depozitlar, kreditlar, o‘z kapitali, daromad) va sifat (kapital yetarliligi, aktivlar sifati, daromadlilik, likvidlik) (p. 189). Tizimlar vazifalari: rasmiy unifikatsiyalangan baholash, muammoli banklarni identifikatsiya qilish, tekshiruv ustuvorligini aniqlash (p. 190).</w:t>
      </w:r>
    </w:p>
    <w:p>
      <w:pPr>
        <w:numPr>
          <w:ilvl w:val="0"/>
          <w:numId w:val="1053"/>
        </w:numPr>
        <w:pStyle w:val="Compact"/>
      </w:pPr>
      <w:r>
        <w:t xml:space="preserve">10-jadval «Erta diagnostika va riskni baholash tizimlari»: Fransiya ORAP (1997), Germaniya BAKIS (1997), Italiya PATROL (1993), Niderlandiya RAST, Angliya RATE (1998), AQSh CAMELS (1978) (pp. 194–195). BIS bo‘yicha 4 toifa: reyting tizimlari; moliyaviy koeffitsiyentlar va guruhlab tahlil; riskni yalpi baholash; statistik modellar (p. 195).</w:t>
      </w:r>
    </w:p>
    <w:p>
      <w:pPr>
        <w:numPr>
          <w:ilvl w:val="0"/>
          <w:numId w:val="1053"/>
        </w:numPr>
        <w:pStyle w:val="Compact"/>
      </w:pPr>
      <w:r>
        <w:t xml:space="preserve">CAMEL kelib chiqishi: 1978, «Sheshunoff Bank» ekspertlarining 7 omil guruhidan oxirgi 5 tasi (p. 195–196); 1997-yildan «S» – bozor riskiga sezgirlik qo‘shilgan (p. 196). 11-jadval – omillar tavsifi (p. 197).</w:t>
      </w:r>
    </w:p>
    <w:p>
      <w:pPr>
        <w:numPr>
          <w:ilvl w:val="0"/>
          <w:numId w:val="1053"/>
        </w:numPr>
        <w:pStyle w:val="Compact"/>
      </w:pPr>
      <w:r>
        <w:t xml:space="preserve">Kapital: jami kapital/RWA va asosiy kapital/RWA; minimal 8%; asosiy kapital jami kapitalning ≥50% (pp. 200–201). Aktivlar sifati: 1% – maxsus, 20% – nostandart, 50% – shubhali, 100% – zarar keltiruvchi (p. 201). Daromadlilik: balans foydasi/aktivlar va soliqdan keyingi foyda/aktivlar (pp. 202–203). Likvidlik: aktiv-passiv tarkibi, ALM sifati, depozit bazasi (p. 203). Menejment oxirida baholanadi (p. 204).</w:t>
      </w:r>
    </w:p>
    <w:p>
      <w:pPr>
        <w:numPr>
          <w:ilvl w:val="0"/>
          <w:numId w:val="1053"/>
        </w:numPr>
        <w:pStyle w:val="Compact"/>
      </w:pPr>
      <w:r>
        <w:t xml:space="preserve">Reyting shkalasi 1–5 (1 – qat’iy, 2 – qoniqarli, 3 – bilvosita, 4 – chegaraviy, 5 – qoniqarsiz) va har bir daraja tavsiflari (pp. 210–213). Umumiy reyting = komponentlar yig‘indisi / 5; misol: 2+2+3+3+1=11 → 2,2 → 2 (p. 211). Yaxlitlash oraliqlari: 1–1,5→1; 1,6–2,5→2; 2,6–3,5→3; 3,6–4,5→4; 4,6–5,0→5 (p. 211). O‘zbekistonda eng ko‘p umumiy baho 2 va 3 (p. 200).</w:t>
      </w:r>
    </w:p>
    <w:p>
      <w:pPr>
        <w:numPr>
          <w:ilvl w:val="0"/>
          <w:numId w:val="1053"/>
        </w:numPr>
        <w:pStyle w:val="Compact"/>
      </w:pPr>
      <w:r>
        <w:t xml:space="preserve">O‘zbekistonda CAMEL: 1997-yil noyabrdan qisman, 1998-yil 1-yanvardan to‘liq (p. 208). Kamchiliklar: qiyosiy (peer) baholash yo‘q; omillar uchun solishtirma vazn yo‘q; omillar mutanosibligi belgilanmagan – mualliflar C–23%, A–37%, E–25%, L–15% nisbatni keltiradi; A va L ziddiyati hal qilinmagan (p. 213).</w:t>
      </w:r>
    </w:p>
    <w:p>
      <w:pPr>
        <w:numPr>
          <w:ilvl w:val="0"/>
          <w:numId w:val="1053"/>
        </w:numPr>
        <w:pStyle w:val="Compact"/>
      </w:pPr>
      <w:r>
        <w:t xml:space="preserve">Takliflar: MB tomonidan CAMEL asosida O‘zbekiston banklari reyting tizimini tuzib e’lon qilish; mustaqil baholash uchun hisobot ma’lumotlarini ko‘paytirish (p. 214).</w:t>
      </w:r>
    </w:p>
    <w:p>
      <w:pPr>
        <w:numPr>
          <w:ilvl w:val="0"/>
          <w:numId w:val="1053"/>
        </w:numPr>
        <w:pStyle w:val="Compact"/>
      </w:pPr>
      <w:r>
        <w:t xml:space="preserve">Agentlik shkalalari: 16 kategoriya, 3 guruh (xavfsiz/zaif/defolt) (pp. 214–215); 12-jadval Moody’s–S&amp;P–Fitch muvofiqligi (p. 216); 13-jadval tavsiflar (p. 218); 14-jadval «Rus-Reyting» shkalasi (p. 219); 17-jadval moliyaviy barqarorlik reytingi A+…E (p. 224).</w:t>
      </w:r>
    </w:p>
    <w:p>
      <w:pPr>
        <w:numPr>
          <w:ilvl w:val="0"/>
          <w:numId w:val="1053"/>
        </w:numPr>
        <w:pStyle w:val="Compact"/>
      </w:pPr>
      <w:r>
        <w:t xml:space="preserve">7.4: kapitalni 5 ballik baholash – 15-jadval: K1 (asosiy) 4% va K2 (jami) 8% chegaralariga nisbatan, aktivlar sifati cheklovlari bilan (pp. 221–222). 18-jadval: «Axbor-reyting» bo‘yicha 01.01.2014 kredit portfellari (jami 25 193 mlrd so‘m; Milliy bank 27,08%) (p. 227).</w:t>
      </w:r>
    </w:p>
    <w:bookmarkEnd w:id="66"/>
    <w:bookmarkStart w:id="67" w:name="dissertatsiyada-qollash-3"/>
    <w:p>
      <w:pPr>
        <w:pStyle w:val="Heading3"/>
      </w:pPr>
      <w:r>
        <w:t xml:space="preserve">Dissertatsiyada qo‘llash</w:t>
      </w:r>
    </w:p>
    <w:p>
      <w:pPr>
        <w:numPr>
          <w:ilvl w:val="0"/>
          <w:numId w:val="1054"/>
        </w:numPr>
        <w:pStyle w:val="Compact"/>
      </w:pPr>
      <w:r>
        <w:t xml:space="preserve">§1.3 – CAMEL(S) tarixi, BIS bo‘yicha 4 toifa, xalqaro tizimlar jadvali (p. 194–195) va O‘zbekistonda 1998-yildan joriy etilgani; kamchiliklar (p. 213) MBII ni asoslash uchun: peer-taqqoslash va vaznlarning yo‘qligi.</w:t>
      </w:r>
    </w:p>
    <w:p>
      <w:pPr>
        <w:numPr>
          <w:ilvl w:val="0"/>
          <w:numId w:val="1054"/>
        </w:numPr>
        <w:pStyle w:val="Compact"/>
      </w:pPr>
      <w:r>
        <w:t xml:space="preserve">§3.1 – MBII blok vaznlarini asoslashda C 23/A 37/E 25/L 15 nisbatini taqqoslash nuqtasi sifatida keltirish (MBII: .2/.3/.25/.15/.1 – aktivlarga eng katta vazn berilishi bilan mos).</w:t>
      </w:r>
    </w:p>
    <w:p>
      <w:pPr>
        <w:numPr>
          <w:ilvl w:val="0"/>
          <w:numId w:val="1054"/>
        </w:numPr>
        <w:pStyle w:val="Compact"/>
      </w:pPr>
      <w:r>
        <w:t xml:space="preserve">§3.1 – CAMEL 1–5 ball va o‘rtachani yaxlitlash qoidasi (p. 211) MBII ning 1–4 ball va (4−B)/3×100 transformatsiyasi bilan solishtiriladi; 15-jadval (p. 222) – regulyativ chegaralarga bog‘langan ball berish namunasi.</w:t>
      </w:r>
    </w:p>
    <w:p>
      <w:pPr>
        <w:numPr>
          <w:ilvl w:val="0"/>
          <w:numId w:val="1054"/>
        </w:numPr>
        <w:pStyle w:val="Compact"/>
      </w:pPr>
      <w:r>
        <w:t xml:space="preserve">§1.2 / §2.1 – O‘zbekistonda LCR/NSFR joriy etilish bosqichlari (80→90→100%) va komponentlar (pp. 185–186).</w:t>
      </w:r>
    </w:p>
    <w:p>
      <w:pPr>
        <w:numPr>
          <w:ilvl w:val="0"/>
          <w:numId w:val="1054"/>
        </w:numPr>
        <w:pStyle w:val="Compact"/>
      </w:pPr>
      <w:r>
        <w:t xml:space="preserve">§4.2 – reyting agentliklari shkalalarini (p. 216) MBII darajalari (75/50/25) bilan taqqoslash jadvali uchun.</w:t>
      </w:r>
    </w:p>
    <w:bookmarkEnd w:id="67"/>
    <w:bookmarkStart w:id="68" w:name="iqtiboslar-ocr-3"/>
    <w:p>
      <w:pPr>
        <w:pStyle w:val="Heading3"/>
      </w:pPr>
      <w:r>
        <w:t xml:space="preserve">Iqtiboslar [OCR]</w:t>
      </w:r>
    </w:p>
    <w:p>
      <w:pPr>
        <w:numPr>
          <w:ilvl w:val="0"/>
          <w:numId w:val="1055"/>
        </w:numPr>
        <w:pStyle w:val="Compact"/>
      </w:pPr>
      <w:r>
        <w:t xml:space="preserve">«Reyting - bu muayyan obyekt yoki subyekt to‘g‘risidagi natijaviy baho bo‘lib, qaror qabul qilish bo‘yicha g‘oyat muhim vosita hisoblanadi» (p. 188).</w:t>
      </w:r>
    </w:p>
    <w:p>
      <w:pPr>
        <w:numPr>
          <w:ilvl w:val="0"/>
          <w:numId w:val="1055"/>
        </w:numPr>
        <w:pStyle w:val="Compact"/>
      </w:pPr>
      <w:r>
        <w:t xml:space="preserve">«…ko‘rsatkichlarni CAMEL tizimining yangi versiyasida kiritish rejalashtirilgan» (p. 3).</w:t>
      </w:r>
    </w:p>
    <w:p>
      <w:pPr>
        <w:numPr>
          <w:ilvl w:val="0"/>
          <w:numId w:val="1055"/>
        </w:numPr>
        <w:pStyle w:val="Compact"/>
      </w:pPr>
      <w:r>
        <w:t xml:space="preserve">«CAMEL reytingini belgilashda Respublikamizda har bir omil uchun solishtirma foizlari yo‘q» (p. 213).</w:t>
      </w:r>
    </w:p>
    <w:p>
      <w:pPr>
        <w:numPr>
          <w:ilvl w:val="0"/>
          <w:numId w:val="1055"/>
        </w:numPr>
        <w:pStyle w:val="Compact"/>
      </w:pPr>
      <w:r>
        <w:t xml:space="preserve">«…omillar o‘rtasidagi mutanosiblik belgilanmagan. (ya’ni, C–23%; A–37%; E–25%; L–15%)» (p. 213).</w:t>
      </w:r>
    </w:p>
    <w:p>
      <w:pPr>
        <w:numPr>
          <w:ilvl w:val="0"/>
          <w:numId w:val="1055"/>
        </w:numPr>
        <w:pStyle w:val="Compact"/>
      </w:pPr>
      <w:r>
        <w:t xml:space="preserve">«Respublikamiz tijorat banklarining … kapital yetarliligi koeffitsiyenti … 24% dan yuqori ko‘rsatkichga yetdi yani xalqaro talab 8% bo‘lgani holda 3 barobardan yuqoridir» (p. 178).</w:t>
      </w:r>
    </w:p>
    <w:p>
      <w:pPr>
        <w:numPr>
          <w:ilvl w:val="0"/>
          <w:numId w:val="1055"/>
        </w:numPr>
        <w:pStyle w:val="Compact"/>
      </w:pPr>
      <w:r>
        <w:t xml:space="preserve">«Umumiy reyting umumlashtiruvchi baho hisoblanadi va ancha sodda ravishda hisoblab chiqariladi» (p. 211).</w:t>
      </w:r>
    </w:p>
    <w:bookmarkEnd w:id="68"/>
    <w:bookmarkStart w:id="69" w:name="moslashtiriladigan-jadvalformulalar-2"/>
    <w:p>
      <w:pPr>
        <w:pStyle w:val="Heading3"/>
      </w:pPr>
      <w:r>
        <w:t xml:space="preserve">Moslashtiriladigan jadval/formulalar</w:t>
      </w:r>
    </w:p>
    <w:p>
      <w:pPr>
        <w:numPr>
          <w:ilvl w:val="0"/>
          <w:numId w:val="1056"/>
        </w:numPr>
        <w:pStyle w:val="Compact"/>
      </w:pPr>
      <w:r>
        <w:t xml:space="preserve">10-jadval – erta diagnostika tizimlari (p. 194); 11-jadval – CAMEL omillari (p. 197).</w:t>
      </w:r>
    </w:p>
    <w:p>
      <w:pPr>
        <w:numPr>
          <w:ilvl w:val="0"/>
          <w:numId w:val="1056"/>
        </w:numPr>
        <w:pStyle w:val="Compact"/>
      </w:pPr>
      <w:r>
        <w:t xml:space="preserve">CAMEL/5 formulasi va yaxlitlash shkalasi (p. 211).</w:t>
      </w:r>
    </w:p>
    <w:p>
      <w:pPr>
        <w:numPr>
          <w:ilvl w:val="0"/>
          <w:numId w:val="1056"/>
        </w:numPr>
        <w:pStyle w:val="Compact"/>
      </w:pPr>
      <w:r>
        <w:t xml:space="preserve">15-jadval – kapital yetarliligini 5 ballik baholash (p. 222).</w:t>
      </w:r>
    </w:p>
    <w:p>
      <w:pPr>
        <w:numPr>
          <w:ilvl w:val="0"/>
          <w:numId w:val="1056"/>
        </w:numPr>
        <w:pStyle w:val="Compact"/>
      </w:pPr>
      <w:r>
        <w:t xml:space="preserve">12, 13, 17-jadvallar – agentlik shkalalari muvofiqligi (pp. 216, 218, 224).</w:t>
      </w:r>
    </w:p>
    <w:p>
      <w:pPr>
        <w:numPr>
          <w:ilvl w:val="0"/>
          <w:numId w:val="1056"/>
        </w:numPr>
        <w:pStyle w:val="Compact"/>
      </w:pPr>
      <w:r>
        <w:t xml:space="preserve">LCR va NSFR formulalari, joriy etish jadvali (pp. 185–186).</w:t>
      </w:r>
    </w:p>
    <w:bookmarkEnd w:id="69"/>
    <w:bookmarkEnd w:id="70"/>
    <w:bookmarkStart w:id="78" w:name="X04fe5fea7c0e287604c51e3c280c816d15b0862"/>
    <w:p>
      <w:pPr>
        <w:pStyle w:val="Heading2"/>
      </w:pPr>
      <w:r>
        <w:t xml:space="preserve">9. Berdiyarov B.T. «O‘zbekiston Respublikasi tijorat banklarining likvidliligi va to‘lov qobiliyatini ta’minlash masalalari» (BMA, 2020)</w:t>
      </w:r>
    </w:p>
    <w:bookmarkStart w:id="71" w:name="Xc9e0106f3241c06a6283c0f6358b91cad596136"/>
    <w:p>
      <w:pPr>
        <w:pStyle w:val="Heading3"/>
      </w:pPr>
      <w:r>
        <w:t xml:space="preserve">1.2. Likvidlik va to‘lov qobiliyatini baholashning nazariy asoslari (pp. 17–27)</w:t>
      </w:r>
    </w:p>
    <w:p>
      <w:pPr>
        <w:numPr>
          <w:ilvl w:val="0"/>
          <w:numId w:val="1057"/>
        </w:numPr>
        <w:pStyle w:val="Compact"/>
      </w:pPr>
      <w:r>
        <w:t xml:space="preserve">M. Bobrik modeli – 3 ta o‘zaro bog‘liq model: moliyaviy resurslar va kapital aloqadorligi; resurslardan foydalanish samaradorligi; muayyan davrda moliyaviy barqarorlik chegarasi. Muallif tanqidi: risklar ta’sirini aniq baholab bo‘lmaydi, kredit riskining likvidlik riskiga ta’siri eng kuchli (p. 17).</w:t>
      </w:r>
    </w:p>
    <w:p>
      <w:pPr>
        <w:numPr>
          <w:ilvl w:val="0"/>
          <w:numId w:val="1057"/>
        </w:numPr>
        <w:pStyle w:val="Compact"/>
      </w:pPr>
      <w:r>
        <w:t xml:space="preserve">XVF ning 24 ko‘rsatkichli moliyaviy barqarorlik tizimi (FSI) to‘liq ro‘yxati: RK/RWA, Tier1/RWA, RK/aktivlar, (NPL−zaxira)/kapital, ROE, yirik ochiq pozitsiyalar/kapital, sof ochiq valyuta pozitsiyasi/kapital, derivativlar, likvid aktivlar/aktivlar, likvid aktivlar/qisqa muddatli majburiyatlar, depozitlar/kreditlar, ROA, NPL/kreditlar, tarmoq, ko‘chmas mulk, hududiy, valyutadagi kreditlar va majburiyatlar ulushi, foizli daromad, trading, foizsiz xarajat, xodim xarajatlari ulushi (pp. 18–19).</w:t>
      </w:r>
    </w:p>
    <w:p>
      <w:pPr>
        <w:numPr>
          <w:ilvl w:val="0"/>
          <w:numId w:val="1057"/>
        </w:numPr>
        <w:pStyle w:val="Compact"/>
      </w:pPr>
      <w:r>
        <w:t xml:space="preserve">Uchaeva/Kovalenko (barqaror depozitlar ulushi), Starodubtseva (likvid pozitsiya: talab−majburiyat), Larionova (kutilgan pul oqimlari 3 turi) qarashlari (pp. 19–20).</w:t>
      </w:r>
    </w:p>
    <w:p>
      <w:pPr>
        <w:numPr>
          <w:ilvl w:val="0"/>
          <w:numId w:val="1057"/>
        </w:numPr>
        <w:pStyle w:val="Compact"/>
      </w:pPr>
      <w:r>
        <w:t xml:space="preserve">Bazel I: K1 = RK/Ar, K2 = I K/Ar; aktivlar 4 risk guruhi 0/20/50/100% (har biri tarkibi bilan) (pp. 20–22). Tier 1 tarkibi, nokumulyativ imtiyozli aksiyalar talablari (pp. 22–23); Tier 2: RWA ning 1,25% gacha zaxiralar, 2 yildan ortiq subordinar qarz, qayta baholash zaxirasi, joriy yil foydasi (p. 23).</w:t>
      </w:r>
    </w:p>
    <w:p>
      <w:pPr>
        <w:numPr>
          <w:ilvl w:val="0"/>
          <w:numId w:val="1057"/>
        </w:numPr>
        <w:pStyle w:val="Compact"/>
      </w:pPr>
      <w:r>
        <w:t xml:space="preserve">Bazel II: kredit, bozor, operatsion risk; kontragent riski (derivativ, REPO); standartlashtirilgan yondashuv – risk mijoz reytingiga ko‘ra (p. 24).</w:t>
      </w:r>
    </w:p>
    <w:p>
      <w:pPr>
        <w:numPr>
          <w:ilvl w:val="0"/>
          <w:numId w:val="1057"/>
        </w:numPr>
        <w:pStyle w:val="Compact"/>
      </w:pPr>
      <w:r>
        <w:t xml:space="preserve">1.1-jadval Bazel III: konservatsiya buferi 2,5%; kontrsiklik bufer 0–2,5%; LCR ≥100%; NSFR ≥100% (p. 24). Kapital talabi oshishi bank foydasini kamaytiradi (p. 25).</w:t>
      </w:r>
    </w:p>
    <w:p>
      <w:pPr>
        <w:numPr>
          <w:ilvl w:val="0"/>
          <w:numId w:val="1057"/>
        </w:numPr>
        <w:pStyle w:val="Compact"/>
      </w:pPr>
      <w:r>
        <w:t xml:space="preserve">Usoskin: haddan ortiq kapitallashuv – qimmat moliyalashtirish; O‘zbekistonda kapital passivlarning 12,5% (01.01.2019) (p. 25).</w:t>
      </w:r>
    </w:p>
    <w:p>
      <w:pPr>
        <w:numPr>
          <w:ilvl w:val="0"/>
          <w:numId w:val="1057"/>
        </w:numPr>
        <w:pStyle w:val="Compact"/>
      </w:pPr>
      <w:r>
        <w:t xml:space="preserve">Muallif taklifi: to‘lov qobiliyatini baholashda</w:t>
      </w:r>
      <w:r>
        <w:t xml:space="preserve"> </w:t>
      </w:r>
      <w:r>
        <w:rPr>
          <w:bCs/>
          <w:b/>
        </w:rPr>
        <w:t xml:space="preserve">regulyativ kapital o‘sish sur’ati va RWA o‘sish sur’ati mutanosibligi</w:t>
      </w:r>
      <w:r>
        <w:t xml:space="preserve"> </w:t>
      </w:r>
      <w:r>
        <w:t xml:space="preserve">ko‘rsatkichi; kapital o‘sishi va RWA o‘sishini belgilovchi omillar ro‘yxati (pp. 25–26).</w:t>
      </w:r>
    </w:p>
    <w:p>
      <w:pPr>
        <w:numPr>
          <w:ilvl w:val="0"/>
          <w:numId w:val="1057"/>
        </w:numPr>
        <w:pStyle w:val="Compact"/>
      </w:pPr>
      <w:r>
        <w:t xml:space="preserve">Xulosa: O‘zbekistonda baholash tizimini XVF 24 ko‘rsatkichi asosida, qo‘shimcha lahzali, joriy likvidlik, LCR, NSFR bilan shakllantirish (p. 27).</w:t>
      </w:r>
    </w:p>
    <w:bookmarkEnd w:id="71"/>
    <w:bookmarkStart w:id="72" w:name="likvidlikning-zamonaviy-holati-pp.-91106"/>
    <w:p>
      <w:pPr>
        <w:pStyle w:val="Heading3"/>
      </w:pPr>
      <w:r>
        <w:t xml:space="preserve">3.2. Likvidlikning zamonaviy holati (pp. 91–106)</w:t>
      </w:r>
    </w:p>
    <w:p>
      <w:pPr>
        <w:numPr>
          <w:ilvl w:val="0"/>
          <w:numId w:val="1058"/>
        </w:numPr>
        <w:pStyle w:val="Compact"/>
      </w:pPr>
      <w:r>
        <w:t xml:space="preserve">MB 19/14-son nizomi (22.07.2015): likvid aktivlar tarkibi (p. 91). Me’yorlar: joriy likvidlik (30 kungacha aktivlar/majburiyatlar) ≥30%; lahzali likvidlik (faqat milliy valyuta, majburiy zaxirasiz) ≥10%; LCR ≥100% (2016 dan; 2019-yil 1-sentabrdan barcha valyutalar, milliy va xorijiy valyutada alohida); kirimlar chiqimning 75% bilan cheklanadi; NSFR ≥100% (pp. 92–93). NSFR mavjud/zarur komponentlari (30%, 15% koeffitsiyentlar) (pp. 93–94).</w:t>
      </w:r>
    </w:p>
    <w:p>
      <w:pPr>
        <w:numPr>
          <w:ilvl w:val="0"/>
          <w:numId w:val="1058"/>
        </w:numPr>
        <w:pStyle w:val="Compact"/>
      </w:pPr>
      <w:r>
        <w:t xml:space="preserve">Asakabank: joriy likvidlik ~65,7% (me’yordan ancha yuqori, 2016–2018 pasayish) (p. 94); 3.1-jadval: likvid aktivlar/brutto aktivlar 24,9→24,1→30,9→21,3→8,6%; aktivlar daromadliligi 12,8→11,2→8,4→5,9→9,1% (2014–2018) – likvidlik va daromadlilik teskari (p. 95). Talab qilinadigan depozitlar ulushi ~48–55% (p. 96).</w:t>
      </w:r>
    </w:p>
    <w:p>
      <w:pPr>
        <w:numPr>
          <w:ilvl w:val="0"/>
          <w:numId w:val="1058"/>
        </w:numPr>
        <w:pStyle w:val="Compact"/>
      </w:pPr>
      <w:r>
        <w:t xml:space="preserve">3.2-jadval Asakabank: muddati o‘tgan kreditlar/brutto kreditlar 0,6/1,2/0,7/0,3/0,3%; zaxiralar/brutto aktivlar 1,8/1,9/1,4/1,8/1,7% (normativ 1,0%) (p. 96).</w:t>
      </w:r>
    </w:p>
    <w:p>
      <w:pPr>
        <w:numPr>
          <w:ilvl w:val="0"/>
          <w:numId w:val="1058"/>
        </w:numPr>
        <w:pStyle w:val="Compact"/>
      </w:pPr>
      <w:r>
        <w:t xml:space="preserve">MB 14/5-son nizomi (13.06.2015) zaxira normalari: standart 1%, substandart 10%, qoniqarsiz 25%, shubhali 50%, umidsiz 100% (pp. 97–98).</w:t>
      </w:r>
    </w:p>
    <w:p>
      <w:pPr>
        <w:numPr>
          <w:ilvl w:val="0"/>
          <w:numId w:val="1058"/>
        </w:numPr>
        <w:pStyle w:val="Compact"/>
      </w:pPr>
      <w:r>
        <w:t xml:space="preserve">3.3-jadval Asakabank kredit tasnifi 2016/17/18: standart 94,6/92,0/86,6; substandart 4,3/6,8/11,8; qoniqarsiz 0,3/0,7/1,0; shubhali 0,7/0,4/0,2; umidsiz 0,1/0,1/0,4 (p. 98).</w:t>
      </w:r>
    </w:p>
    <w:p>
      <w:pPr>
        <w:numPr>
          <w:ilvl w:val="0"/>
          <w:numId w:val="1058"/>
        </w:numPr>
        <w:pStyle w:val="Compact"/>
      </w:pPr>
      <w:r>
        <w:t xml:space="preserve">Turonbank: joriy likvidlik 2017 da ~75,1%, 2018 da 61,5%; 3.4-jadval likvid aktivlar 19,8/25,2/31,1/31,7/21,6%; aktivlar daromadliligi 23,7/19,2/14,1/10,7/9,6% (pp. 99–100); 3.5-jadval muddati o‘tgan 0,0/0,0/0,6/0,6/0,1%; 3.6-jadval standart 97,6/95,8/97,9% (p. 101).</w:t>
      </w:r>
    </w:p>
    <w:p>
      <w:pPr>
        <w:numPr>
          <w:ilvl w:val="0"/>
          <w:numId w:val="1058"/>
        </w:numPr>
        <w:pStyle w:val="Compact"/>
      </w:pPr>
      <w:r>
        <w:t xml:space="preserve">Likvidlik vositalari: MB obligatsiyalari, MBning ta’minotsiz kreditlari (3 oygacha), MB depozit auksionlari (pp. 102–104).</w:t>
      </w:r>
    </w:p>
    <w:p>
      <w:pPr>
        <w:numPr>
          <w:ilvl w:val="0"/>
          <w:numId w:val="1058"/>
        </w:numPr>
        <w:pStyle w:val="Compact"/>
      </w:pPr>
      <w:r>
        <w:t xml:space="preserve">Aloqabank: joriy likvidlik 0,51 (2014) → 0,59 (2018); 3.7-jadval depozitlar 472→3495 mlrd so‘m, talab qilinadigan ulushi 57,4→29,6%; 3.8, 3.9-jadvallar (standart 99,8→98,2%) (pp. 104–106).</w:t>
      </w:r>
    </w:p>
    <w:bookmarkEnd w:id="72"/>
    <w:bookmarkStart w:id="73" w:name="Xc39a6c71ad0f7ce89f4b970f4d10188e18fa97a"/>
    <w:p>
      <w:pPr>
        <w:pStyle w:val="Heading3"/>
      </w:pPr>
      <w:r>
        <w:t xml:space="preserve">3.3. To‘lov qobiliyatining amaldagi holati (pp. 106–116)</w:t>
      </w:r>
    </w:p>
    <w:p>
      <w:pPr>
        <w:numPr>
          <w:ilvl w:val="0"/>
          <w:numId w:val="1059"/>
        </w:numPr>
        <w:pStyle w:val="Compact"/>
      </w:pPr>
      <w:r>
        <w:t xml:space="preserve">MB 14/3-son nizomi: Tier 1 ≥ RKning 75%; Tier 2 ≤ Tier 1 ning 1/3; CET1 ≥ RKning 60% (pp. 106–107).</w:t>
      </w:r>
    </w:p>
    <w:p>
      <w:pPr>
        <w:numPr>
          <w:ilvl w:val="0"/>
          <w:numId w:val="1059"/>
        </w:numPr>
        <w:pStyle w:val="Compact"/>
      </w:pPr>
      <w:r>
        <w:t xml:space="preserve">Asakabank: 2018 da RK va Tier1 yetarliligi pasaygan – RK o‘sishi RWA o‘sishidan orqada (p. 107–108). 3.10-jadval RK tarkibi: ustav 62,9→66,2%; zaxira kapitali 25,9→5,4%; taqsimlanmagan foyda 10,7→28,3% (p. 108). PQ-3270 (12.09.2017) bo‘yicha valyutadagi ustav kapitali so‘mga o‘tkazilib, devalvatsiya zaxirasi yo‘qolgan (p. 109).</w:t>
      </w:r>
    </w:p>
    <w:p>
      <w:pPr>
        <w:numPr>
          <w:ilvl w:val="0"/>
          <w:numId w:val="1059"/>
        </w:numPr>
        <w:pStyle w:val="Compact"/>
      </w:pPr>
      <w:r>
        <w:t xml:space="preserve">3.11-jadval Asakabank ROA 1,4/1,2/0,9/0,2/2,8%; ROE 9,7/9,3/9,3/1,7/27,1% (p. 110); 2014–2018 RK o‘sishi 2,8%, sof foyda 16,8 marta (p. 111).</w:t>
      </w:r>
    </w:p>
    <w:p>
      <w:pPr>
        <w:numPr>
          <w:ilvl w:val="0"/>
          <w:numId w:val="1059"/>
        </w:numPr>
        <w:pStyle w:val="Compact"/>
      </w:pPr>
      <w:r>
        <w:t xml:space="preserve">Turonbank: Tier1 RKning 95,6% (31.12.2018); 3.12-jadval ustav 54,1→85,8%; 3.13-jadval ROA 3,7→1,3%, ROE 26,0→4,5% (pp. 112–114).</w:t>
      </w:r>
    </w:p>
    <w:p>
      <w:pPr>
        <w:numPr>
          <w:ilvl w:val="0"/>
          <w:numId w:val="1059"/>
        </w:numPr>
        <w:pStyle w:val="Compact"/>
      </w:pPr>
      <w:r>
        <w:t xml:space="preserve">Tizim: 2018-yilda davlat banklari kapitaliga 3 trln so‘mdan ortiq; jami kapital +29% (6 trln) → 26,7 trln so‘m (01.01.2019), ustav kapitali 19,7 trln; o‘sishning 83,3%i davlat banklari (p. 115). Aloqabankda kapital yetarliligi oshgan (pp. 115–116); qo‘shilgan kapital ulushi juda kichik – emissiya operatsiyalari rivojlanmagan (p. 116).</w:t>
      </w:r>
    </w:p>
    <w:bookmarkEnd w:id="73"/>
    <w:bookmarkStart w:id="74" w:name="Xf14e435c700836de0c0a3abb0a2c1e074d31909"/>
    <w:p>
      <w:pPr>
        <w:pStyle w:val="Heading3"/>
      </w:pPr>
      <w:r>
        <w:t xml:space="preserve">4.3. Likvidlik va to‘lov qobiliyati indikatorlarining prognozi (pp. 139–146)</w:t>
      </w:r>
    </w:p>
    <w:p>
      <w:pPr>
        <w:numPr>
          <w:ilvl w:val="0"/>
          <w:numId w:val="1060"/>
        </w:numPr>
        <w:pStyle w:val="Compact"/>
      </w:pPr>
      <w:r>
        <w:t xml:space="preserve">Bog‘liq o‘zgaruvchilar: LIQ1 = likvid aktivlar/aktivlar; LIQ2 = kreditlar/aktivlar; LIQ3 = kreditlar/depozitlar (p. 139).</w:t>
      </w:r>
    </w:p>
    <w:p>
      <w:pPr>
        <w:numPr>
          <w:ilvl w:val="0"/>
          <w:numId w:val="1060"/>
        </w:numPr>
        <w:pStyle w:val="Compact"/>
      </w:pPr>
      <w:r>
        <w:t xml:space="preserve">Mustaqil o‘zgaruvchilar (4.3-jadval): kapital yetarliligi –</w:t>
      </w:r>
      <w:r>
        <w:t xml:space="preserve"> </w:t>
      </w:r>
      <w:r>
        <w:rPr>
          <w:bCs/>
          <w:b/>
        </w:rPr>
        <w:t xml:space="preserve">Z-score</w:t>
      </w:r>
      <w:r>
        <w:t xml:space="preserve"> </w:t>
      </w:r>
      <w:r>
        <w:t xml:space="preserve">= (Kapital/Aktivlar + ROA)/σ(ROA) (+); aktivlar sifati MK = muammoli kreditlar/aktivlar (−); majburiyatlar narxi FC = foizli xarajatlar/majburiyatlar (−); ROA, ROE (−) (p. 140).</w:t>
      </w:r>
    </w:p>
    <w:p>
      <w:pPr>
        <w:numPr>
          <w:ilvl w:val="0"/>
          <w:numId w:val="1060"/>
        </w:numPr>
        <w:pStyle w:val="Compact"/>
      </w:pPr>
      <w:r>
        <w:t xml:space="preserve">Ma’lumot: tizim bo‘yicha choraklik, 2008-Q4 – 2018-Q3, 40 kuzatuv. O‘rtacha: LIQ1 0,297; LIQ2 0,584; LIQ3 1,332; FC 6,71; MK 0,021; ROA 0,008; ROE 0,072 (4.4-jadval, p. 140).</w:t>
      </w:r>
    </w:p>
    <w:p>
      <w:pPr>
        <w:numPr>
          <w:ilvl w:val="0"/>
          <w:numId w:val="1060"/>
        </w:numPr>
        <w:pStyle w:val="Compact"/>
      </w:pPr>
      <w:r>
        <w:t xml:space="preserve">Dinamika: kreditlar/aktivlar 2017 da ~66% → ~76%; likvid aktivlar 36% → ~20%; kreditlar/depozitlar 2 barobardan ortiq o‘sgan (p. 142).</w:t>
      </w:r>
    </w:p>
    <w:p>
      <w:pPr>
        <w:numPr>
          <w:ilvl w:val="0"/>
          <w:numId w:val="1060"/>
        </w:numPr>
        <w:pStyle w:val="Compact"/>
      </w:pPr>
      <w:r>
        <w:t xml:space="preserve">Korrelyatsiya (4.5-jadval): ROA–ROE 0,958; LIQ1–LIQ2 −0,882 (p. 143).</w:t>
      </w:r>
    </w:p>
    <w:p>
      <w:pPr>
        <w:numPr>
          <w:ilvl w:val="0"/>
          <w:numId w:val="1060"/>
        </w:numPr>
        <w:pStyle w:val="Compact"/>
      </w:pPr>
      <w:r>
        <w:t xml:space="preserve">Model: ko‘p omilli avtoregressiv (ARDL tipidagi) regressiya (p. 143). Natijalar (4.6-jadval, p. 144): lag LIQ koeffitsiyentlari 0,740</w:t>
      </w:r>
      <w:r>
        <w:rPr>
          <w:iCs/>
          <w:i/>
          <w:bCs/>
          <w:b/>
        </w:rPr>
        <w:t xml:space="preserve">/0,976</w:t>
      </w:r>
      <w:r>
        <w:t xml:space="preserve">/1,082*** (LIQ1/2/3, lag spetsifikatsiyalari jadvalda); MK: −0,103 (ns), −0,572</w:t>
      </w:r>
      <w:r>
        <w:rPr>
          <w:iCs/>
          <w:i/>
          <w:bCs/>
          <w:b/>
        </w:rPr>
        <w:t xml:space="preserve">, −2,214</w:t>
      </w:r>
      <w:r>
        <w:t xml:space="preserve">; ROA: 1,973 (ns), −1,702</w:t>
      </w:r>
      <w:r>
        <w:rPr>
          <w:bCs/>
          <w:b/>
        </w:rPr>
        <w:t xml:space="preserve">, −10,343</w:t>
      </w:r>
      <w:r>
        <w:t xml:space="preserve">*; FC va Z-score ahamiyatsiz; R² 0,73/0,95/0,98; Breusch-Godfrey va Harvey testlari bo‘yicha robast.</w:t>
      </w:r>
    </w:p>
    <w:p>
      <w:pPr>
        <w:numPr>
          <w:ilvl w:val="0"/>
          <w:numId w:val="1060"/>
        </w:numPr>
        <w:pStyle w:val="Compact"/>
      </w:pPr>
      <w:r>
        <w:t xml:space="preserve">Xulosa: aktivlar sifatining yomonlashuvi likvidlikka salbiy ta’sir ko‘rsatadi; ROA ta’siri eng kuchli (daromadli aktivlar oshishi likvidlikni pasaytiradi) (p. 145).</w:t>
      </w:r>
    </w:p>
    <w:p>
      <w:pPr>
        <w:numPr>
          <w:ilvl w:val="0"/>
          <w:numId w:val="1060"/>
        </w:numPr>
        <w:pStyle w:val="Compact"/>
      </w:pPr>
      <w:r>
        <w:t xml:space="preserve">Prognoz: LIQ1 ARIMA(0,1,1), 13 chorak, 2021-Q4 gacha (4.7-jadval, p. 146): 0,202 (2018-Q4) → 0,186 (2019-Q4) → 0,171 (2020-Q4) → 0,155 (2021-Q4); 80% interval 2021 gacha [0,08; 0,22], 95% – [0,05; 0,26] (p. 145). Faqat LIQ1 prognoz qilingan; to‘lov qobiliyati indikatorlari prognozi berilmagan.</w:t>
      </w:r>
    </w:p>
    <w:bookmarkEnd w:id="74"/>
    <w:bookmarkStart w:id="75" w:name="dissertatsiyada-qollash-4"/>
    <w:p>
      <w:pPr>
        <w:pStyle w:val="Heading3"/>
      </w:pPr>
      <w:r>
        <w:t xml:space="preserve">Dissertatsiyada qo‘llash</w:t>
      </w:r>
    </w:p>
    <w:p>
      <w:pPr>
        <w:numPr>
          <w:ilvl w:val="0"/>
          <w:numId w:val="1061"/>
        </w:numPr>
        <w:pStyle w:val="Compact"/>
      </w:pPr>
      <w:r>
        <w:t xml:space="preserve">§1.3 – XVF 24 ta FSI ro‘yxati (pp. 18–19) va Bobrik modelini tanqidi bilan MBII ko‘rsatkichlarini tanlash asosi sifatida; muallifning «XVF tizimi + likvidlik koeffitsiyentlari» taklifiga MBII ni rivojlantirish deb havola.</w:t>
      </w:r>
    </w:p>
    <w:p>
      <w:pPr>
        <w:numPr>
          <w:ilvl w:val="0"/>
          <w:numId w:val="1061"/>
        </w:numPr>
        <w:pStyle w:val="Compact"/>
      </w:pPr>
      <w:r>
        <w:t xml:space="preserve">§3.1 – MBII Likvidlik bloki uchun chegaralar: joriy ≥30%, lahzali ≥10%, LCR/NSFR ≥100% (p. 92–93); Kapital bloki: Tier1 ≥75% RK, CET1 ≥60% RK (p. 106–107). «RK o‘sishi vs RWA o‘sishi» (p. 25) – MBII-Basel erta ogohlantirish signali (§3.2).</w:t>
      </w:r>
    </w:p>
    <w:p>
      <w:pPr>
        <w:numPr>
          <w:ilvl w:val="0"/>
          <w:numId w:val="1061"/>
        </w:numPr>
        <w:pStyle w:val="Compact"/>
      </w:pPr>
      <w:r>
        <w:t xml:space="preserve">§4.1 – 4.6-jadval empirik dalil: NPL (MK) likvidlikka salbiy ta’sir; Z-score ni kapital o‘zgaruvchisi sifatida; panel GMM uchun lagli bog‘liq o‘zgaruvchi o‘rinliligi (lag koeff. 0,74–1,08).</w:t>
      </w:r>
    </w:p>
    <w:p>
      <w:pPr>
        <w:numPr>
          <w:ilvl w:val="0"/>
          <w:numId w:val="1061"/>
        </w:numPr>
        <w:pStyle w:val="Compact"/>
      </w:pPr>
      <w:r>
        <w:t xml:space="preserve">§4.3 – ARIMA(0,1,1) prognozi (4.7-jadval) – MBII prognozida solishtirish/benchmark; muallif faqat bitta indikatorni prognoz qilgan, MBII integral prognozining yangiligini ta’kidlash uchun.</w:t>
      </w:r>
    </w:p>
    <w:p>
      <w:pPr>
        <w:numPr>
          <w:ilvl w:val="0"/>
          <w:numId w:val="1061"/>
        </w:numPr>
        <w:pStyle w:val="Compact"/>
      </w:pPr>
      <w:r>
        <w:t xml:space="preserve">§2.1/§2.2 – davlat banklari kapitallashuvi 2018 (3 trln, 83,3%) va Asakabank misolida RK tarkibi, devalvatsiya zaxirasi muammosi.</w:t>
      </w:r>
    </w:p>
    <w:bookmarkEnd w:id="75"/>
    <w:bookmarkStart w:id="76" w:name="iqtiboslar"/>
    <w:p>
      <w:pPr>
        <w:pStyle w:val="Heading3"/>
      </w:pPr>
      <w:r>
        <w:t xml:space="preserve">Iqtiboslar</w:t>
      </w:r>
    </w:p>
    <w:p>
      <w:pPr>
        <w:numPr>
          <w:ilvl w:val="0"/>
          <w:numId w:val="1062"/>
        </w:numPr>
        <w:pStyle w:val="Compact"/>
      </w:pPr>
      <w:r>
        <w:t xml:space="preserve">«Кредит рискининг ликвидлилик рискига таъсири бошқа рискларнинг таъсирига нисбатан кучли бўлади» (p. 17).</w:t>
      </w:r>
    </w:p>
    <w:p>
      <w:pPr>
        <w:numPr>
          <w:ilvl w:val="0"/>
          <w:numId w:val="1062"/>
        </w:numPr>
        <w:pStyle w:val="Compact"/>
      </w:pPr>
      <w:r>
        <w:t xml:space="preserve">«Регулятив капитал ўсиш суръатининг рискка тортилган активларнинг ўсиш суръатидан ортда қолиши, пировард натижада, капиталнинг етарлилиги бўйича белгиланган минимал талабларнинг бажарилмаслигига олиб келади» (p. 26).</w:t>
      </w:r>
    </w:p>
    <w:p>
      <w:pPr>
        <w:numPr>
          <w:ilvl w:val="0"/>
          <w:numId w:val="1062"/>
        </w:numPr>
        <w:pStyle w:val="Compact"/>
      </w:pPr>
      <w:r>
        <w:t xml:space="preserve">«…ушбу тизимни ХВФ томонидан … таклиф этилган ва 24 та кўрсаткичдан иборат бўлган тизим асосида, ушбу тизимга банкларнинг ликвидлилигини тавсифловчи кўрсаткичларни киритган ҳолда шакллантириш лозим» (p. 27).</w:t>
      </w:r>
    </w:p>
    <w:p>
      <w:pPr>
        <w:numPr>
          <w:ilvl w:val="0"/>
          <w:numId w:val="1062"/>
        </w:numPr>
        <w:pStyle w:val="Compact"/>
      </w:pPr>
      <w:r>
        <w:t xml:space="preserve">«Тижорат банклари активларининг ликвидлилиги ва даромадлилиги бир-бирига тескари кўрсаткичлар» (p. 100).</w:t>
      </w:r>
    </w:p>
    <w:p>
      <w:pPr>
        <w:numPr>
          <w:ilvl w:val="0"/>
          <w:numId w:val="1062"/>
        </w:numPr>
        <w:pStyle w:val="Compact"/>
      </w:pPr>
      <w:r>
        <w:t xml:space="preserve">«Активлар сифатининг бузилиши банк ликвидлилигига салбий таъсир кўрсатиши ушбу регрессия натижаларида эмпирик исботини топмоқда» (p. 145).</w:t>
      </w:r>
    </w:p>
    <w:p>
      <w:pPr>
        <w:numPr>
          <w:ilvl w:val="0"/>
          <w:numId w:val="1062"/>
        </w:numPr>
        <w:pStyle w:val="Compact"/>
      </w:pPr>
      <w:r>
        <w:t xml:space="preserve">«…девальвация захираси беқарор молиялаштириш манбаи ҳисобланади» (p. 109).</w:t>
      </w:r>
    </w:p>
    <w:bookmarkEnd w:id="76"/>
    <w:bookmarkStart w:id="77" w:name="moslashtiriladigan-jadvalformulalar-3"/>
    <w:p>
      <w:pPr>
        <w:pStyle w:val="Heading3"/>
      </w:pPr>
      <w:r>
        <w:t xml:space="preserve">Moslashtiriladigan jadval/formulalar</w:t>
      </w:r>
    </w:p>
    <w:p>
      <w:pPr>
        <w:numPr>
          <w:ilvl w:val="0"/>
          <w:numId w:val="1063"/>
        </w:numPr>
        <w:pStyle w:val="Compact"/>
      </w:pPr>
      <w:r>
        <w:t xml:space="preserve">1.1-jadval – Bazel III yangi ko‘rsatkichlari (p. 24); Bazel I risk vaznlari (pp. 20–22).</w:t>
      </w:r>
    </w:p>
    <w:p>
      <w:pPr>
        <w:numPr>
          <w:ilvl w:val="0"/>
          <w:numId w:val="1063"/>
        </w:numPr>
        <w:pStyle w:val="Compact"/>
      </w:pPr>
      <w:r>
        <w:t xml:space="preserve">LCR, NSFR formulalari va komponentlari (pp. 92–94); zaxira normalari 1/10/25/50/100% (pp. 97–98).</w:t>
      </w:r>
    </w:p>
    <w:p>
      <w:pPr>
        <w:numPr>
          <w:ilvl w:val="0"/>
          <w:numId w:val="1063"/>
        </w:numPr>
        <w:pStyle w:val="Compact"/>
      </w:pPr>
      <w:r>
        <w:t xml:space="preserve">4.3-jadval – o‘zgaruvchilar va gipotezalar, Z-score formulasi (p. 140); 4.4 (tavsifiy statistika), 4.5 (korrelyatsiya), 4.6 (regressiya) jadvallari (pp. 140–144).</w:t>
      </w:r>
    </w:p>
    <w:p>
      <w:pPr>
        <w:numPr>
          <w:ilvl w:val="0"/>
          <w:numId w:val="1063"/>
        </w:numPr>
        <w:pStyle w:val="Compact"/>
      </w:pPr>
      <w:r>
        <w:t xml:space="preserve">4.7-jadval – ARIMA(0,1,1) prognozi va ishonch intervallari (p. 146).</w:t>
      </w:r>
    </w:p>
    <w:p>
      <w:pPr>
        <w:numPr>
          <w:ilvl w:val="0"/>
          <w:numId w:val="1063"/>
        </w:numPr>
        <w:pStyle w:val="Compact"/>
      </w:pPr>
      <w:r>
        <w:t xml:space="preserve">3.10/3.12-jadvallar – RK tarkibi tahlili shabloni (pp. 108, 112).</w:t>
      </w:r>
    </w:p>
    <w:bookmarkEnd w:id="77"/>
    <w:bookmarkEnd w:id="78"/>
    <w:bookmarkEnd w:id="79"/>
    <w:bookmarkStart w:id="126" w:name="ii.-ingliz-tilidagi-kitoblar"/>
    <w:p>
      <w:pPr>
        <w:pStyle w:val="Heading1"/>
      </w:pPr>
      <w:r>
        <w:t xml:space="preserve">II. Ingliz tilidagi kitoblar</w:t>
      </w:r>
    </w:p>
    <w:bookmarkStart w:id="88" w:name="Xba778d05a6ee2f182682e672ca736bc16a964cf"/>
    <w:p>
      <w:pPr>
        <w:pStyle w:val="Heading2"/>
      </w:pPr>
      <w:r>
        <w:t xml:space="preserve">10. Tarullo D.K. «Banking on Basel» (Peterson Institute, 2008)</w:t>
      </w:r>
    </w:p>
    <w:bookmarkStart w:id="80" w:name="X3e3d09d8bf59de00df01794954841079a92151d"/>
    <w:p>
      <w:pPr>
        <w:pStyle w:val="Heading3"/>
      </w:pPr>
      <w:r>
        <w:t xml:space="preserve">2-bob. Kapitalni tartibga solishning roli (pp. 15–44)</w:t>
      </w:r>
    </w:p>
    <w:p>
      <w:pPr>
        <w:numPr>
          <w:ilvl w:val="0"/>
          <w:numId w:val="1064"/>
        </w:numPr>
        <w:pStyle w:val="Compact"/>
      </w:pPr>
      <w:r>
        <w:t xml:space="preserve">25 yilda ikki tendensiya: kapital yetarliligi bank xavfsizligining asosiy regulyatsiyasiga aylandi; umumiy qoidalardan bankning o‘z risk-menejmentiga tayangan yondashuvga o‘tildi. A-IRB ikkalasini birlashtiradi (p. 15–16).</w:t>
      </w:r>
    </w:p>
    <w:p>
      <w:pPr>
        <w:numPr>
          <w:ilvl w:val="0"/>
          <w:numId w:val="1064"/>
        </w:numPr>
        <w:pStyle w:val="Compact"/>
      </w:pPr>
      <w:r>
        <w:t xml:space="preserve">Kapitalning uch funksiyasi: yo‘qotishlarga bufer; bank yiqilsa kreditorlarni himoya qilish; egalarning ortiqcha risk olishiga to‘siq (p. 16).</w:t>
      </w:r>
    </w:p>
    <w:p>
      <w:pPr>
        <w:numPr>
          <w:ilvl w:val="0"/>
          <w:numId w:val="1064"/>
        </w:numPr>
        <w:pStyle w:val="Compact"/>
      </w:pPr>
      <w:r>
        <w:t xml:space="preserve">Regulyatsiya asoslari: axborot asimmetriyasi (bank aktivlarini tashqaridan baholash qiyin, p. 19), depozit sug‘urtasi va oxirgi instansiya kreditori tug‘diradigan moral hazard (pp. 19–21), tizimli risk va kreditlash axborotining yo‘qolishi (pp. 22–23).</w:t>
      </w:r>
    </w:p>
    <w:p>
      <w:pPr>
        <w:numPr>
          <w:ilvl w:val="0"/>
          <w:numId w:val="1064"/>
        </w:numPr>
        <w:pStyle w:val="Compact"/>
      </w:pPr>
      <w:r>
        <w:t xml:space="preserve">Optimal kapital (Santomero–Watson): kapitalning marginal ijtimoiy foydasi uning marginal xarajatiga teng bo‘lishi kerak. Greenspan standarti: «xavfsizlik to‘ri bo‘lmaganda bozor qancha talab qilsa». Yillik insolvensiya ehtimoli &lt;0,1% ≈ S&amp;P «A» reytingi (pp. 23–24).</w:t>
      </w:r>
    </w:p>
    <w:p>
      <w:pPr>
        <w:numPr>
          <w:ilvl w:val="0"/>
          <w:numId w:val="1064"/>
        </w:numPr>
        <w:pStyle w:val="Compact"/>
      </w:pPr>
      <w:r>
        <w:t xml:space="preserve">Xulosa: minimal kapital optimal darajaga teng emas (p. 27).</w:t>
      </w:r>
    </w:p>
    <w:p>
      <w:pPr>
        <w:numPr>
          <w:ilvl w:val="0"/>
          <w:numId w:val="1064"/>
        </w:numPr>
        <w:pStyle w:val="Compact"/>
      </w:pPr>
      <w:r>
        <w:t xml:space="preserve">Risklar taksonomiyasi: kredit, bozor, operatsion, foiz, likvidlik, reputatsiya, siyosiy. Oddiy kapital/aktiv nisbati balansdan tashqari moddalarni va portfel riskidagi farqni ko‘rmaydi (pp. 27–28).</w:t>
      </w:r>
    </w:p>
    <w:p>
      <w:pPr>
        <w:numPr>
          <w:ilvl w:val="0"/>
          <w:numId w:val="1064"/>
        </w:numPr>
        <w:pStyle w:val="Compact"/>
      </w:pPr>
      <w:r>
        <w:t xml:space="preserve">Tarix: 1900–1930-yillarda kapital/depozit ≥10%; keyin kapital/aktiv va kapital/«riskli aktivlar». CAMEL 1978-yilda FFIEC tomonidan yaratilgan, keyin «S» qo‘shilgan (pp. 29–31).</w:t>
      </w:r>
    </w:p>
    <w:p>
      <w:pPr>
        <w:numPr>
          <w:ilvl w:val="0"/>
          <w:numId w:val="1064"/>
        </w:numPr>
        <w:pStyle w:val="Compact"/>
      </w:pPr>
      <w:r>
        <w:t xml:space="preserve">Jadval 2.1: AQShda kapital/aktiv 1970-yildagi 6,58% dan 1981-yilda 5,83% gacha, 17 yirik bankda 5,15% dan 3,83% gacha tushgan (p. 32). 1981-yilda birlamchi kapital/aktiv minimumi 5% (kichik banklar 6%), 1985-yilda 5,5% va jami 6% (pp. 36, 39).</w:t>
      </w:r>
    </w:p>
    <w:p>
      <w:pPr>
        <w:numPr>
          <w:ilvl w:val="0"/>
          <w:numId w:val="1064"/>
        </w:numPr>
        <w:pStyle w:val="Compact"/>
      </w:pPr>
      <w:r>
        <w:t xml:space="preserve">«Too big to fail» banklar uchun yuqoriroq kapital talabi asoslangan (p. 43).</w:t>
      </w:r>
    </w:p>
    <w:bookmarkEnd w:id="80"/>
    <w:bookmarkStart w:id="81" w:name="bob.-bazel-i-pp.-4586"/>
    <w:p>
      <w:pPr>
        <w:pStyle w:val="Heading3"/>
      </w:pPr>
      <w:r>
        <w:t xml:space="preserve">3-bob. Bazel I (pp. 45–86)</w:t>
      </w:r>
    </w:p>
    <w:p>
      <w:pPr>
        <w:numPr>
          <w:ilvl w:val="0"/>
          <w:numId w:val="1065"/>
        </w:numPr>
        <w:pStyle w:val="Compact"/>
      </w:pPr>
      <w:r>
        <w:t xml:space="preserve">Ikki maqsad: xalqaro tizim barqarorligi va raqobat tengligi (pp. 45–46).</w:t>
      </w:r>
    </w:p>
    <w:p>
      <w:pPr>
        <w:numPr>
          <w:ilvl w:val="0"/>
          <w:numId w:val="1065"/>
        </w:numPr>
        <w:pStyle w:val="Compact"/>
      </w:pPr>
      <w:r>
        <w:t xml:space="preserve">Tier 1 ≥4% RWA, jami kapital ≥8% RWA (p. 55). Misol: 1 mln korporativ kredit (100%), 2 mln davlat qog‘ozi (0%), 0,5 mln ipoteka (50%) → RWA 1,25 mln.</w:t>
      </w:r>
    </w:p>
    <w:p>
      <w:pPr>
        <w:numPr>
          <w:ilvl w:val="0"/>
          <w:numId w:val="1065"/>
        </w:numPr>
        <w:pStyle w:val="Compact"/>
      </w:pPr>
      <w:r>
        <w:t xml:space="preserve">Box 3.1 (p. 57): Tier 2 ≤100% Tier 1; subordinar qarz ≤50% Tier 1; umumiy zaxiralar ≤1,25 p.p.</w:t>
      </w:r>
    </w:p>
    <w:p>
      <w:pPr>
        <w:numPr>
          <w:ilvl w:val="0"/>
          <w:numId w:val="1065"/>
        </w:numPr>
        <w:pStyle w:val="Compact"/>
      </w:pPr>
      <w:r>
        <w:t xml:space="preserve">Box 3.2 (pp. 58–59), risk vaznlari: 0% (naqd pul, milliy valyutadagi suveren va MB talablari, OECD suverenlari); 20% (MDB, OECD banklari); 50% (turar-joy ipotekasi); 100% (xususiy sektor).</w:t>
      </w:r>
    </w:p>
    <w:p>
      <w:pPr>
        <w:numPr>
          <w:ilvl w:val="0"/>
          <w:numId w:val="1065"/>
        </w:numPr>
        <w:pStyle w:val="Compact"/>
      </w:pPr>
      <w:r>
        <w:t xml:space="preserve">Jadval 3.3 (p. 60): CCF 100/50/20/0%.</w:t>
      </w:r>
    </w:p>
    <w:p>
      <w:pPr>
        <w:numPr>
          <w:ilvl w:val="0"/>
          <w:numId w:val="1065"/>
        </w:numPr>
        <w:pStyle w:val="Compact"/>
      </w:pPr>
      <w:r>
        <w:t xml:space="preserve">1996-yilgi bozor riski tuzatishi: VaR, 10 kunlik gorizont, ×3 (pp. 61–64).</w:t>
      </w:r>
    </w:p>
    <w:p>
      <w:pPr>
        <w:numPr>
          <w:ilvl w:val="0"/>
          <w:numId w:val="1065"/>
        </w:numPr>
        <w:pStyle w:val="Compact"/>
      </w:pPr>
      <w:r>
        <w:t xml:space="preserve">Natija: o‘rtacha kapital 1988-yildagi 9,3% dan 1996-yilda 11,2% ga oshgan; Bazel I 100 dan ortiq mamlakatda qabul qilingan (pp. 65–67).</w:t>
      </w:r>
    </w:p>
    <w:p>
      <w:pPr>
        <w:numPr>
          <w:ilvl w:val="0"/>
          <w:numId w:val="1065"/>
        </w:numPr>
        <w:pStyle w:val="Compact"/>
      </w:pPr>
      <w:r>
        <w:t xml:space="preserve">Yaponiya: inqiroz xarajati YaIMning 20% dan ortig‘i; DTA kapitalning 15–40% ini tashkil etgan; tuzatilgan Tier 1 ≈2% (pp. 69–72).</w:t>
      </w:r>
    </w:p>
    <w:p>
      <w:pPr>
        <w:numPr>
          <w:ilvl w:val="0"/>
          <w:numId w:val="1065"/>
        </w:numPr>
        <w:pStyle w:val="Compact"/>
      </w:pPr>
      <w:r>
        <w:t xml:space="preserve">Kamchiliklar: protsiklik (1990–91 «credit crunch»), regulyativ arbitraj, kapital va real risk o‘rtasidagi uzilish (pp. 77–83).</w:t>
      </w:r>
    </w:p>
    <w:bookmarkEnd w:id="81"/>
    <w:bookmarkStart w:id="82" w:name="X317f995149fe200a3d372964fdaf6f7f7cb805d"/>
    <w:p>
      <w:pPr>
        <w:pStyle w:val="Heading3"/>
      </w:pPr>
      <w:r>
        <w:t xml:space="preserve">4-bob. Bazel II muzokaralari (pp. 87–138, asosiy nuqtalar)</w:t>
      </w:r>
    </w:p>
    <w:p>
      <w:pPr>
        <w:numPr>
          <w:ilvl w:val="0"/>
          <w:numId w:val="1066"/>
        </w:numPr>
        <w:pStyle w:val="Compact"/>
      </w:pPr>
      <w:r>
        <w:t xml:space="preserve">CP-1 (Jadval 4.1, p. 95): suverenlar AAA–AA⁻ 0%, A 20%, BBB 50%, BB–B⁻ 100%, past 150%.</w:t>
      </w:r>
    </w:p>
    <w:p>
      <w:pPr>
        <w:numPr>
          <w:ilvl w:val="0"/>
          <w:numId w:val="1066"/>
        </w:numPr>
        <w:pStyle w:val="Compact"/>
      </w:pPr>
      <w:r>
        <w:t xml:space="preserve">Uch ustun; Pillar 2 ning 4 tamoyili (Box 4.3, p. 109); Pillar 3 bo‘yicha 10 oshkoralik sohasi (p. 110).</w:t>
      </w:r>
    </w:p>
    <w:p>
      <w:pPr>
        <w:numPr>
          <w:ilvl w:val="0"/>
          <w:numId w:val="1066"/>
        </w:numPr>
        <w:pStyle w:val="Compact"/>
      </w:pPr>
      <w:r>
        <w:t xml:space="preserve">QIS-2 (138 bank): standart yondashuvda kapital talabi +6…+18% (Jadval 4.2, p. 112); QIS-3: A-IRBda kredit kapitali −14% (p. 117).</w:t>
      </w:r>
    </w:p>
    <w:p>
      <w:pPr>
        <w:numPr>
          <w:ilvl w:val="0"/>
          <w:numId w:val="1066"/>
        </w:numPr>
        <w:pStyle w:val="Compact"/>
      </w:pPr>
      <w:r>
        <w:t xml:space="preserve">Pillar 2 «outlier»: 200 b.p. foiz shokida kapitali 20% dan ko‘proq kamayadigan bank (p. 126).</w:t>
      </w:r>
    </w:p>
    <w:p>
      <w:pPr>
        <w:numPr>
          <w:ilvl w:val="0"/>
          <w:numId w:val="1066"/>
        </w:numPr>
        <w:pStyle w:val="Compact"/>
      </w:pPr>
      <w:r>
        <w:t xml:space="preserve">2008-yilda likvidlik bo‘yicha 17 tamoyil, lekin miqdoriy talab yo‘q edi (p. 135).</w:t>
      </w:r>
    </w:p>
    <w:bookmarkEnd w:id="82"/>
    <w:bookmarkStart w:id="83" w:name="Xd92e69a9a3bb39093953aaa51487bb1d03c1c9c"/>
    <w:p>
      <w:pPr>
        <w:pStyle w:val="Heading3"/>
      </w:pPr>
      <w:r>
        <w:t xml:space="preserve">5-bob. Bazel II ni regulyativ model sifatida baholash (pp. 139–194)</w:t>
      </w:r>
    </w:p>
    <w:p>
      <w:pPr>
        <w:numPr>
          <w:ilvl w:val="0"/>
          <w:numId w:val="1067"/>
        </w:numPr>
        <w:pStyle w:val="Compact"/>
      </w:pPr>
      <w:r>
        <w:t xml:space="preserve">Banklar minimumdan yuqori kapital ushlaydi: G-10 dagi 128 yirik bank medianasi 11,2%; minimumdan 30% va undan ko‘p ortiq (pp. 141–145).</w:t>
      </w:r>
    </w:p>
    <w:p>
      <w:pPr>
        <w:numPr>
          <w:ilvl w:val="0"/>
          <w:numId w:val="1067"/>
        </w:numPr>
        <w:pStyle w:val="Compact"/>
      </w:pPr>
      <w:r>
        <w:t xml:space="preserve">Leverage ratio talabi 4%, «well capitalized» 5%. FDIC QIS-4: 26 bankdan 17 tasi leverage bo‘yicha kam kapitallashgan bo‘lib chiqadi (pp. 145–148).</w:t>
      </w:r>
    </w:p>
    <w:p>
      <w:pPr>
        <w:numPr>
          <w:ilvl w:val="0"/>
          <w:numId w:val="1067"/>
        </w:numPr>
        <w:pStyle w:val="Compact"/>
      </w:pPr>
      <w:r>
        <w:t xml:space="preserve">Kredit modellarining 5 muammosi: ma’lumot yetishmasligi, backtest qiyinligi, korrelyatsiyalar, taqsimot dumlari, endogen risk (pp. 153–155).</w:t>
      </w:r>
    </w:p>
    <w:p>
      <w:pPr>
        <w:numPr>
          <w:ilvl w:val="0"/>
          <w:numId w:val="1067"/>
        </w:numPr>
        <w:pStyle w:val="Compact"/>
      </w:pPr>
      <w:r>
        <w:t xml:space="preserve">QIS-5: −7,1% (Tier 1 bo‘yicha −11%); QIS-4 (AQSh): jami −15,5%. Bir xil kreditlarga kapital talabi −30% dan +190% gacha farq qilgan (pp. 162–165).</w:t>
      </w:r>
    </w:p>
    <w:p>
      <w:pPr>
        <w:numPr>
          <w:ilvl w:val="0"/>
          <w:numId w:val="1067"/>
        </w:numPr>
        <w:pStyle w:val="Compact"/>
      </w:pPr>
      <w:r>
        <w:t xml:space="preserve">Protsiklikni kuchaytiruvchi omillar: PIT PD, LGD, oshkoralik; yumshatish: stress-test, TTC reytinglar, dinamik rezervlash (pp. 178–182).</w:t>
      </w:r>
    </w:p>
    <w:p>
      <w:pPr>
        <w:numPr>
          <w:ilvl w:val="0"/>
          <w:numId w:val="1067"/>
        </w:numPr>
        <w:pStyle w:val="Compact"/>
      </w:pPr>
      <w:r>
        <w:t xml:space="preserve">Xulosa: «worst of both worlds» — murakkab, lekin riskka sezgir emas (p. 189).</w:t>
      </w:r>
    </w:p>
    <w:bookmarkEnd w:id="83"/>
    <w:bookmarkStart w:id="84" w:name="bob-tanlangan-bolimlar-pp.-225245"/>
    <w:p>
      <w:pPr>
        <w:pStyle w:val="Heading3"/>
      </w:pPr>
      <w:r>
        <w:t xml:space="preserve">7-bob (tanlangan bo‘limlar, pp. 225–245)</w:t>
      </w:r>
    </w:p>
    <w:p>
      <w:pPr>
        <w:numPr>
          <w:ilvl w:val="0"/>
          <w:numId w:val="1068"/>
        </w:numPr>
        <w:pStyle w:val="Compact"/>
      </w:pPr>
      <w:r>
        <w:t xml:space="preserve">Leverage ratio ikkilamchi element sifatida: AQSh PCA chegaralari &lt;4% → aralashuv, &lt;3% → kuchli choralar, &lt;2% → «critically undercapitalized». Leverage &lt;2% yaqin bankrotlik bilan kuchli korrelyatsiyalangan (Estrella–Park–Peristiani). Kapital/yalpi daromad nisbati 1–2 yillik gorizontda risk-vaznli nisbatlar darajasida prognoz beradi (pp. 228–230).</w:t>
      </w:r>
    </w:p>
    <w:p>
      <w:pPr>
        <w:numPr>
          <w:ilvl w:val="0"/>
          <w:numId w:val="1068"/>
        </w:numPr>
        <w:pStyle w:val="Compact"/>
      </w:pPr>
      <w:r>
        <w:t xml:space="preserve">Majburiy subordinar qarz (aktivlarning ≥2%): spredlar supervizor reytinglarini risk-vaznli nisbatlardan yaxshiroq bashorat qiladi (p. 237); muammolar — TBTF kutilmasi, spredlardagi shovqin (pp. 238–241).</w:t>
      </w:r>
    </w:p>
    <w:bookmarkEnd w:id="84"/>
    <w:bookmarkStart w:id="85" w:name="dissertatsiyada-qollash-5"/>
    <w:p>
      <w:pPr>
        <w:pStyle w:val="Heading3"/>
      </w:pPr>
      <w:r>
        <w:t xml:space="preserve">Dissertatsiyada qo‘llash</w:t>
      </w:r>
    </w:p>
    <w:p>
      <w:pPr>
        <w:numPr>
          <w:ilvl w:val="0"/>
          <w:numId w:val="1069"/>
        </w:numPr>
        <w:pStyle w:val="Compact"/>
      </w:pPr>
      <w:r>
        <w:t xml:space="preserve">§1.1 — kapitalning uch funksiyasi, regulyatsiya asoslari va «minimum ≠ optimal» tezisi (pp. 16–27); risklar taksonomiyasi (pp. 27–28).</w:t>
      </w:r>
    </w:p>
    <w:p>
      <w:pPr>
        <w:numPr>
          <w:ilvl w:val="0"/>
          <w:numId w:val="1069"/>
        </w:numPr>
        <w:pStyle w:val="Compact"/>
      </w:pPr>
      <w:r>
        <w:t xml:space="preserve">§1.3 — CAMEL(S) kelib chiqishi (FFIEC 1978); kapital/depozit → kapital/aktiv → RWA evolyutsiyasi.</w:t>
      </w:r>
    </w:p>
    <w:p>
      <w:pPr>
        <w:numPr>
          <w:ilvl w:val="0"/>
          <w:numId w:val="1069"/>
        </w:numPr>
        <w:pStyle w:val="Compact"/>
      </w:pPr>
      <w:r>
        <w:t xml:space="preserve">§3.1 — Kapital blokiga kapital yetarliligi va leverage ratio (Tier 1/aktiv) birga olinadi; ball chegaralari PCA mantig‘ida (≥5 / 4 / 3 / &lt;2%). Banklar minimumdan ≥30% yuqori ushlashi (p. 142) «4 ball» chegarasini minimumdan yuqori qo‘yishga dalil.</w:t>
      </w:r>
    </w:p>
    <w:p>
      <w:pPr>
        <w:numPr>
          <w:ilvl w:val="0"/>
          <w:numId w:val="1069"/>
        </w:numPr>
        <w:pStyle w:val="Compact"/>
      </w:pPr>
      <w:r>
        <w:t xml:space="preserve">§2.3/§3.3 — Yaponiya tajribasi (DTA, rezerv yetishmasligi, double gearing, pp. 70–72): milliy hisobot kapitalni qanday «bo‘rttirishi», ΔMBII uchun dalil.</w:t>
      </w:r>
    </w:p>
    <w:p>
      <w:pPr>
        <w:numPr>
          <w:ilvl w:val="0"/>
          <w:numId w:val="1069"/>
        </w:numPr>
        <w:pStyle w:val="Compact"/>
      </w:pPr>
      <w:r>
        <w:t xml:space="preserve">§3.2/§4.3 — protsiklik va modellar ishonchsizligi TTC yondashuvini va kontrsiklik signalni asoslaydi; TBTF banklarga yuqoriroq kapital (SQB, Mikrokreditbank uchun).</w:t>
      </w:r>
    </w:p>
    <w:bookmarkEnd w:id="85"/>
    <w:bookmarkStart w:id="86" w:name="iqtiboslar-1"/>
    <w:p>
      <w:pPr>
        <w:pStyle w:val="Heading3"/>
      </w:pPr>
      <w:r>
        <w:t xml:space="preserve">Iqtiboslar</w:t>
      </w:r>
    </w:p>
    <w:p>
      <w:pPr>
        <w:numPr>
          <w:ilvl w:val="0"/>
          <w:numId w:val="1070"/>
        </w:numPr>
        <w:pStyle w:val="Compact"/>
      </w:pPr>
      <w:r>
        <w:t xml:space="preserve">“</w:t>
      </w:r>
      <w:r>
        <w:t xml:space="preserve">no financial model, whatever its sophistication, can provide an unassailable formula for capital requirements.</w:t>
      </w:r>
      <w:r>
        <w:t xml:space="preserve">”</w:t>
      </w:r>
      <w:r>
        <w:t xml:space="preserve"> </w:t>
      </w:r>
      <w:r>
        <w:t xml:space="preserve">(p. 27)</w:t>
      </w:r>
    </w:p>
    <w:p>
      <w:pPr>
        <w:numPr>
          <w:ilvl w:val="0"/>
          <w:numId w:val="1070"/>
        </w:numPr>
        <w:pStyle w:val="Compact"/>
      </w:pPr>
      <w:r>
        <w:t xml:space="preserve">“</w:t>
      </w:r>
      <w:r>
        <w:t xml:space="preserve">minimum regulatory capital requirements should not be confused with optimal capital levels.</w:t>
      </w:r>
      <w:r>
        <w:t xml:space="preserve">”</w:t>
      </w:r>
      <w:r>
        <w:t xml:space="preserve"> </w:t>
      </w:r>
      <w:r>
        <w:t xml:space="preserve">(p. 27)</w:t>
      </w:r>
    </w:p>
    <w:p>
      <w:pPr>
        <w:numPr>
          <w:ilvl w:val="0"/>
          <w:numId w:val="1070"/>
        </w:numPr>
        <w:pStyle w:val="Compact"/>
      </w:pPr>
      <w:r>
        <w:t xml:space="preserve">“</w:t>
      </w:r>
      <w:r>
        <w:t xml:space="preserve">The simple ratio of capital to assets is a crude but, in its own way, comprehensive measure that covers all risks</w:t>
      </w:r>
      <w:r>
        <w:t xml:space="preserve">”</w:t>
      </w:r>
      <w:r>
        <w:t xml:space="preserve"> </w:t>
      </w:r>
      <w:r>
        <w:t xml:space="preserve">(p. 28)</w:t>
      </w:r>
    </w:p>
    <w:p>
      <w:pPr>
        <w:numPr>
          <w:ilvl w:val="0"/>
          <w:numId w:val="1070"/>
        </w:numPr>
        <w:pStyle w:val="Compact"/>
      </w:pPr>
      <w:r>
        <w:t xml:space="preserve">“</w:t>
      </w:r>
      <w:r>
        <w:t xml:space="preserve">It is difficult to be comfortable in an environment in which a 500-year flood comes once a decade.</w:t>
      </w:r>
      <w:r>
        <w:t xml:space="preserve">”</w:t>
      </w:r>
      <w:r>
        <w:t xml:space="preserve"> </w:t>
      </w:r>
      <w:r>
        <w:t xml:space="preserve">(p. 154)</w:t>
      </w:r>
    </w:p>
    <w:p>
      <w:pPr>
        <w:numPr>
          <w:ilvl w:val="0"/>
          <w:numId w:val="1070"/>
        </w:numPr>
        <w:pStyle w:val="Compact"/>
      </w:pPr>
      <w:r>
        <w:t xml:space="preserve">“</w:t>
      </w:r>
      <w:r>
        <w:t xml:space="preserve">The leverage requirement is not only simple, it is about as transparent a capital calculation as one can imagine, easily derived from a bank’s balance sheet.</w:t>
      </w:r>
      <w:r>
        <w:t xml:space="preserve">”</w:t>
      </w:r>
      <w:r>
        <w:t xml:space="preserve"> </w:t>
      </w:r>
      <w:r>
        <w:t xml:space="preserve">(p. 229)</w:t>
      </w:r>
    </w:p>
    <w:bookmarkEnd w:id="86"/>
    <w:bookmarkStart w:id="87" w:name="moslashtiriladigan-jadvalformulalar-4"/>
    <w:p>
      <w:pPr>
        <w:pStyle w:val="Heading3"/>
      </w:pPr>
      <w:r>
        <w:t xml:space="preserve">Moslashtiriladigan jadval/formulalar</w:t>
      </w:r>
    </w:p>
    <w:p>
      <w:pPr>
        <w:numPr>
          <w:ilvl w:val="0"/>
          <w:numId w:val="1071"/>
        </w:numPr>
        <w:pStyle w:val="Compact"/>
      </w:pPr>
      <w:r>
        <w:t xml:space="preserve">Jadval 2.1 (p. 32); Box 3.1–3.2 (pp. 57–59); Jadval 3.3 CCF (p. 60); RWA hisob misoli (p. 55); Jadval 4.1 (p. 95); Box 4.3 (p. 109); Jadval 5.1 (p. 147); PCA leverage zinapoyasi 4/3/2% (p. 228).</w:t>
      </w:r>
    </w:p>
    <w:bookmarkEnd w:id="87"/>
    <w:bookmarkEnd w:id="88"/>
    <w:bookmarkStart w:id="96" w:name="X252c918d0928a3999acfe716052b2554f370df4"/>
    <w:p>
      <w:pPr>
        <w:pStyle w:val="Heading2"/>
      </w:pPr>
      <w:r>
        <w:t xml:space="preserve">11. Tian W. (ed.) «Commercial Banking Risk Management» (Palgrave, 2017)</w:t>
      </w:r>
    </w:p>
    <w:p>
      <w:pPr>
        <w:pStyle w:val="FirstParagraph"/>
      </w:pPr>
      <w:r>
        <w:t xml:space="preserve">Boblar: Tian W. «Regulatory Capital Requirement in Basel III» (pp. 3–34); Li L. «Liquidity Risk» (pp. 103–120); Zhu S.H. «Region and Sector Effects in Stress Testing of Commercial Loan Portfolio» (pp. 201–230); Todd B.A., Gardner D.T., Omer V. «Estimating the Impact of Model Limitations in Capital Stress Testing» (pp. 231–250).</w:t>
      </w:r>
      <w:r>
        <w:t xml:space="preserve"> </w:t>
      </w:r>
      <w:r>
        <w:t xml:space="preserve">Kitobdagi xatolar: jami kapital 10,5% ga «January 2009» deb yozilgan (to‘g‘risi 2019, p. 7); CCyB joriy etilishi «2006–2008» (to‘g‘risi 2016–2018, p. 24).</w:t>
      </w:r>
    </w:p>
    <w:bookmarkStart w:id="89" w:name="Xd7878db351d04e8a3e34e8e6e8da34583f2354e"/>
    <w:p>
      <w:pPr>
        <w:pStyle w:val="Heading3"/>
      </w:pPr>
      <w:r>
        <w:t xml:space="preserve">Tian: Bazel III da regulyativ kapital (pp. 3–34)</w:t>
      </w:r>
    </w:p>
    <w:p>
      <w:pPr>
        <w:numPr>
          <w:ilvl w:val="0"/>
          <w:numId w:val="1072"/>
        </w:numPr>
        <w:pStyle w:val="Compact"/>
      </w:pPr>
      <w:r>
        <w:t xml:space="preserve">Bazel III «risk sensitive»dan «capital intensive»ga siljish (p. 3).</w:t>
      </w:r>
    </w:p>
    <w:p>
      <w:pPr>
        <w:numPr>
          <w:ilvl w:val="0"/>
          <w:numId w:val="1072"/>
        </w:numPr>
        <w:pStyle w:val="Compact"/>
      </w:pPr>
      <w:r>
        <w:t xml:space="preserve">4 yangilik: CET1 2% → 4,5%, CCB 2,5%, CCyB 0–2,5%; stressed VaR, CVA; leverage ratio; LCR (2015) va NSFR (2018) (pp. 6–7).</w:t>
      </w:r>
    </w:p>
    <w:p>
      <w:pPr>
        <w:numPr>
          <w:ilvl w:val="0"/>
          <w:numId w:val="1072"/>
        </w:numPr>
        <w:pStyle w:val="Compact"/>
      </w:pPr>
      <w:r>
        <w:t xml:space="preserve">CET1 ga 14 mezon; ayiriladigan moddalar: gudvil, kelajak foydaga bog‘liq DTA, zaxiralarning EL dan kam qismi va boshqalar; ahamiyatli investitsiyalar, MSR va DTA har biri ≤10% CET1, jami ≤15% (pp. 9–10).</w:t>
      </w:r>
    </w:p>
    <w:p>
      <w:pPr>
        <w:numPr>
          <w:ilvl w:val="0"/>
          <w:numId w:val="1072"/>
        </w:numPr>
        <w:pStyle w:val="Compact"/>
      </w:pPr>
      <w:r>
        <w:t xml:space="preserve">Tier 2: muddat ≥5 yil; umumiy zaxiralar standart yondashuvda ≤1,25% kredit RWA (pp. 11–12).</w:t>
      </w:r>
    </w:p>
    <w:p>
      <w:pPr>
        <w:numPr>
          <w:ilvl w:val="0"/>
          <w:numId w:val="1072"/>
        </w:numPr>
        <w:pStyle w:val="Compact"/>
      </w:pPr>
      <w:r>
        <w:t xml:space="preserve">RWA = kredit RWA + 12,5 × operatsion yuk + 12,5 × bozor yuki (p. 13). Minimumlar: CET1 ≥4,5%, Tier 1 ≥6%, jami ≥8% (p. 15).</w:t>
      </w:r>
    </w:p>
    <w:p>
      <w:pPr>
        <w:numPr>
          <w:ilvl w:val="0"/>
          <w:numId w:val="1072"/>
        </w:numPr>
        <w:pStyle w:val="Compact"/>
      </w:pPr>
      <w:r>
        <w:t xml:space="preserve">Leverage = Tier 1 / Total exposure ≥3% (pp. 15–16).</w:t>
      </w:r>
    </w:p>
    <w:p>
      <w:pPr>
        <w:numPr>
          <w:ilvl w:val="0"/>
          <w:numId w:val="1072"/>
        </w:numPr>
        <w:pStyle w:val="Compact"/>
      </w:pPr>
      <w:r>
        <w:t xml:space="preserve">CCB: foydani saqlash shkalasi CET1 bo‘yicha 4,5–5,125% → 100%; 5,125–5,75% → 80%; 5,75–6,375% → 60%; 6,375–7% → 40%; &gt;7% → 0% (pp. 20–22).</w:t>
      </w:r>
    </w:p>
    <w:p>
      <w:pPr>
        <w:numPr>
          <w:ilvl w:val="0"/>
          <w:numId w:val="1072"/>
        </w:numPr>
        <w:pStyle w:val="Compact"/>
      </w:pPr>
      <w:r>
        <w:t xml:space="preserve">G-SIB: 5 kategoriya × 20% (hajm, o‘zaro bog‘liqlik, o‘rnini bosish qiyinligi, transchegaraviy faoliyat, murakkablik); qo‘shimcha CET1 1 / 1,5 / 2 / 2,5%, bo‘sh bucket 3,5% (pp. 24–28).</w:t>
      </w:r>
    </w:p>
    <w:p>
      <w:pPr>
        <w:numPr>
          <w:ilvl w:val="0"/>
          <w:numId w:val="1072"/>
        </w:numPr>
        <w:pStyle w:val="Compact"/>
      </w:pPr>
      <w:r>
        <w:t xml:space="preserve">TLAC: 2019-yildan ≥16% RWA, 2022-yildan ≥18% (p. 28).</w:t>
      </w:r>
    </w:p>
    <w:bookmarkEnd w:id="89"/>
    <w:bookmarkStart w:id="90" w:name="li-likvidlik-riski-pp.-103120"/>
    <w:p>
      <w:pPr>
        <w:pStyle w:val="Heading3"/>
      </w:pPr>
      <w:r>
        <w:t xml:space="preserve">Li: Likvidlik riski (pp. 103–120)</w:t>
      </w:r>
    </w:p>
    <w:p>
      <w:pPr>
        <w:numPr>
          <w:ilvl w:val="0"/>
          <w:numId w:val="1073"/>
        </w:numPr>
        <w:pStyle w:val="Compact"/>
      </w:pPr>
      <w:r>
        <w:t xml:space="preserve">Boshqaruv sikli: identifikatsiya → limitlar → o‘lchash va hisobot → monitoring (pp. 107–109).</w:t>
      </w:r>
    </w:p>
    <w:p>
      <w:pPr>
        <w:numPr>
          <w:ilvl w:val="0"/>
          <w:numId w:val="1073"/>
        </w:numPr>
        <w:pStyle w:val="Compact"/>
      </w:pPr>
      <w:r>
        <w:t xml:space="preserve">90 kunlik risk appetite: likvid aktivlar buferi / sof chiqim ≥ limit (masalan 100%) (pp. 109–110).</w:t>
      </w:r>
    </w:p>
    <w:p>
      <w:pPr>
        <w:numPr>
          <w:ilvl w:val="0"/>
          <w:numId w:val="1073"/>
        </w:numPr>
        <w:pStyle w:val="Compact"/>
      </w:pPr>
      <w:r>
        <w:t xml:space="preserve">LCR = HQLA / 30 kunlik sof chiqim; joriy etish 60% (2015), 70% (2016), 100% (2018). HQLA: L1 ≥60%; L2A ≤40%; L2B ≤15% (pp. 110–111).</w:t>
      </w:r>
    </w:p>
    <w:bookmarkEnd w:id="90"/>
    <w:bookmarkStart w:id="91" w:name="X39c7db96a7c9c20bf3fa84acce28fe7e4213966"/>
    <w:p>
      <w:pPr>
        <w:pStyle w:val="Heading3"/>
      </w:pPr>
      <w:r>
        <w:t xml:space="preserve">Zhu: Stress-testda hudud va tarmoq ta’siri (pp. 201–230)</w:t>
      </w:r>
    </w:p>
    <w:p>
      <w:pPr>
        <w:numPr>
          <w:ilvl w:val="0"/>
          <w:numId w:val="1074"/>
        </w:numPr>
        <w:pStyle w:val="Compact"/>
      </w:pPr>
      <w:r>
        <w:t xml:space="preserve">4 qadam: o‘tish matritsasidan yagona «kredit indeksi» Z olinadi → Z makro o‘zgaruvchilarga regressiya qilinadi → prognoz → stress-matritsalar (p. 203).</w:t>
      </w:r>
    </w:p>
    <w:p>
      <w:pPr>
        <w:numPr>
          <w:ilvl w:val="0"/>
          <w:numId w:val="1074"/>
        </w:numPr>
        <w:pStyle w:val="Compact"/>
      </w:pPr>
      <w:r>
        <w:t xml:space="preserve">Vasicek/ASRF: PD(g|Z) = Φ[(Φ⁻¹(PD) − √ρ·Z)/√(1−ρ)] (pp. 205–207). Z&lt;0 — yomon yil (p. 209).</w:t>
      </w:r>
    </w:p>
    <w:p>
      <w:pPr>
        <w:numPr>
          <w:ilvl w:val="0"/>
          <w:numId w:val="1074"/>
        </w:numPr>
        <w:pStyle w:val="Compact"/>
      </w:pPr>
      <w:r>
        <w:t xml:space="preserve">ρ: butun tanlanma 9–13%; AQSh 12%, EI 15%, rivojlanayotgan bozorlar 20%; ko‘chmas mulk 42,5% (pp. 210–212).</w:t>
      </w:r>
    </w:p>
    <w:p>
      <w:pPr>
        <w:numPr>
          <w:ilvl w:val="0"/>
          <w:numId w:val="1074"/>
        </w:numPr>
        <w:pStyle w:val="Compact"/>
      </w:pPr>
      <w:r>
        <w:t xml:space="preserve">CIndex = a + b₀·YaIM + b₁·CPI + b₂·ipoteka stavkasi + b₃·DJIA + b₄·uy narxi; R² 90%; indeks YaIMdan 2 chorak oldin harakatlanadi (pp. 212–214).</w:t>
      </w:r>
    </w:p>
    <w:p>
      <w:pPr>
        <w:numPr>
          <w:ilvl w:val="0"/>
          <w:numId w:val="1074"/>
        </w:numPr>
        <w:pStyle w:val="Compact"/>
      </w:pPr>
      <w:r>
        <w:t xml:space="preserve">EL = Σ EAD·PD·LGD; misol: C&amp;I portfel bo‘yicha yo‘qotish 6,4%, CCAR 2013 medianasi 6,5% (pp. 224–226).</w:t>
      </w:r>
    </w:p>
    <w:bookmarkEnd w:id="91"/>
    <w:bookmarkStart w:id="92" w:name="X6f37fc156d2a15db71628cbe915e364a90fba78"/>
    <w:p>
      <w:pPr>
        <w:pStyle w:val="Heading3"/>
      </w:pPr>
      <w:r>
        <w:t xml:space="preserve">Todd va boshq.: Modellar cheklovlarining ta’siri (pp. 231–250)</w:t>
      </w:r>
    </w:p>
    <w:p>
      <w:pPr>
        <w:numPr>
          <w:ilvl w:val="0"/>
          <w:numId w:val="1075"/>
        </w:numPr>
        <w:pStyle w:val="Compact"/>
      </w:pPr>
      <w:r>
        <w:t xml:space="preserve">«Model limitation buffer» — prognoz noaniqligi uchun qo‘shimcha kapital (p. 232).</w:t>
      </w:r>
    </w:p>
    <w:p>
      <w:pPr>
        <w:numPr>
          <w:ilvl w:val="0"/>
          <w:numId w:val="1075"/>
        </w:numPr>
        <w:pStyle w:val="Compact"/>
      </w:pPr>
      <w:r>
        <w:t xml:space="preserve">4 manba: qoldiq xato (out-of-time backtest, 9 chorak), model tanlash noaniqligi, ishlab chiqish kamchiliklari, rejim o‘zgarishi (pp. 233–243).</w:t>
      </w:r>
    </w:p>
    <w:p>
      <w:pPr>
        <w:numPr>
          <w:ilvl w:val="0"/>
          <w:numId w:val="1075"/>
        </w:numPr>
        <w:pStyle w:val="Compact"/>
      </w:pPr>
      <w:r>
        <w:t xml:space="preserve">ΔCET1_9Q ≈ CET1_0·[(NetRev + ΔValue)/Capital_0 − ΔRWA/RWA_0] (pp. 244–246); agregatsiya Buffer = √(δᵀ·C·δ), mukammal korrelyatsiyada oddiy yig‘indi (pp. 246–247).</w:t>
      </w:r>
    </w:p>
    <w:bookmarkEnd w:id="92"/>
    <w:bookmarkStart w:id="93" w:name="dissertatsiyada-qollash-6"/>
    <w:p>
      <w:pPr>
        <w:pStyle w:val="Heading3"/>
      </w:pPr>
      <w:r>
        <w:t xml:space="preserve">Dissertatsiyada qo‘llash</w:t>
      </w:r>
    </w:p>
    <w:p>
      <w:pPr>
        <w:numPr>
          <w:ilvl w:val="0"/>
          <w:numId w:val="1076"/>
        </w:numPr>
        <w:pStyle w:val="Compact"/>
      </w:pPr>
      <w:r>
        <w:t xml:space="preserve">§1.2 — Bazel III arxitekturasi (CET1/Tier 1/jami, CCB, CCyB, G-SIB, leverage, LCR, NSFR) va CET1 ayirmalari uchun asosiy manba (pp. 6–16, 110–111).</w:t>
      </w:r>
    </w:p>
    <w:p>
      <w:pPr>
        <w:numPr>
          <w:ilvl w:val="0"/>
          <w:numId w:val="1076"/>
        </w:numPr>
        <w:pStyle w:val="Compact"/>
      </w:pPr>
      <w:r>
        <w:t xml:space="preserve">§3.1 — CCB foydani saqlash shkalasi (pp. 21–22) MBII 1–4 ballik shkalasi uchun regulyatsiyaga bog‘langan namuna (milliy minimumga moslab).</w:t>
      </w:r>
    </w:p>
    <w:p>
      <w:pPr>
        <w:numPr>
          <w:ilvl w:val="0"/>
          <w:numId w:val="1076"/>
        </w:numPr>
        <w:pStyle w:val="Compact"/>
      </w:pPr>
      <w:r>
        <w:t xml:space="preserve">§3.2 — G-SIB metodikasi asosida SQB va Mikrokreditbank uchun D-SIB indeksi va qo‘shimcha bufer.</w:t>
      </w:r>
    </w:p>
    <w:p>
      <w:pPr>
        <w:numPr>
          <w:ilvl w:val="0"/>
          <w:numId w:val="1076"/>
        </w:numPr>
        <w:pStyle w:val="Compact"/>
      </w:pPr>
      <w:r>
        <w:t xml:space="preserve">§4.1/§4.3 — Zhu kredit indeksi modeli (Vasicek/ASRF) NPL sun’iy yo‘ldosh modeliga moslashtiriladi; ssenariy bo‘yicha PD va EL.</w:t>
      </w:r>
    </w:p>
    <w:p>
      <w:pPr>
        <w:numPr>
          <w:ilvl w:val="0"/>
          <w:numId w:val="1076"/>
        </w:numPr>
        <w:pStyle w:val="Compact"/>
      </w:pPr>
      <w:r>
        <w:t xml:space="preserve">§4.3 — MBII prognoziga «model limitation buffer»: backtest xatosi, alternativ spetsifikatsiyalar farqi, natija ishonch oralig‘i ko‘rinishida.</w:t>
      </w:r>
    </w:p>
    <w:p>
      <w:pPr>
        <w:numPr>
          <w:ilvl w:val="0"/>
          <w:numId w:val="1076"/>
        </w:numPr>
        <w:pStyle w:val="Compact"/>
      </w:pPr>
      <w:r>
        <w:t xml:space="preserve">§4.2 — Zhu validatsiyasi va Todd backtesti MBII bashorat kuchini tekshirish protsedurasi uchun.</w:t>
      </w:r>
    </w:p>
    <w:bookmarkEnd w:id="93"/>
    <w:bookmarkStart w:id="94" w:name="iqtiboslar-2"/>
    <w:p>
      <w:pPr>
        <w:pStyle w:val="Heading3"/>
      </w:pPr>
      <w:r>
        <w:t xml:space="preserve">Iqtiboslar</w:t>
      </w:r>
    </w:p>
    <w:p>
      <w:pPr>
        <w:numPr>
          <w:ilvl w:val="0"/>
          <w:numId w:val="1077"/>
        </w:numPr>
        <w:pStyle w:val="Compact"/>
      </w:pPr>
      <w:r>
        <w:t xml:space="preserve">“</w:t>
      </w:r>
      <w:r>
        <w:t xml:space="preserve">the shifts largely from risk sensitive to capital intensive in the perspective of risk management.</w:t>
      </w:r>
      <w:r>
        <w:t xml:space="preserve">”</w:t>
      </w:r>
      <w:r>
        <w:t xml:space="preserve"> </w:t>
      </w:r>
      <w:r>
        <w:t xml:space="preserve">(Tian, p. 3)</w:t>
      </w:r>
    </w:p>
    <w:p>
      <w:pPr>
        <w:numPr>
          <w:ilvl w:val="0"/>
          <w:numId w:val="1077"/>
        </w:numPr>
        <w:pStyle w:val="Compact"/>
      </w:pPr>
      <w:r>
        <w:t xml:space="preserve">Leverage ratio —</w:t>
      </w:r>
      <w:r>
        <w:t xml:space="preserve"> </w:t>
      </w:r>
      <w:r>
        <w:t xml:space="preserve">“</w:t>
      </w:r>
      <w:r>
        <w:t xml:space="preserve">simple, non-risk-based “backstop</w:t>
      </w:r>
      <w:r>
        <w:t xml:space="preserve">”</w:t>
      </w:r>
      <w:r>
        <w:t xml:space="preserve"> </w:t>
      </w:r>
      <w:r>
        <w:t xml:space="preserve">measure” (p. 15)</w:t>
      </w:r>
    </w:p>
    <w:p>
      <w:pPr>
        <w:numPr>
          <w:ilvl w:val="0"/>
          <w:numId w:val="1077"/>
        </w:numPr>
        <w:pStyle w:val="Compact"/>
      </w:pPr>
      <w:r>
        <w:t xml:space="preserve">“</w:t>
      </w:r>
      <w:r>
        <w:t xml:space="preserve">The rapid reversal of market conditions illustrated how quickly liquidity can evaporate and that illiquidity can last for an extended period of time.</w:t>
      </w:r>
      <w:r>
        <w:t xml:space="preserve">”</w:t>
      </w:r>
      <w:r>
        <w:t xml:space="preserve"> </w:t>
      </w:r>
      <w:r>
        <w:t xml:space="preserve">(BCBS, Li’da, p. 104)</w:t>
      </w:r>
    </w:p>
    <w:p>
      <w:pPr>
        <w:numPr>
          <w:ilvl w:val="0"/>
          <w:numId w:val="1077"/>
        </w:numPr>
        <w:pStyle w:val="Compact"/>
      </w:pPr>
      <w:r>
        <w:t xml:space="preserve">“</w:t>
      </w:r>
      <w:r>
        <w:t xml:space="preserve">The negative values of Zt (&lt;0) indicate the bad year ahead with a higher than average default rate</w:t>
      </w:r>
      <w:r>
        <w:t xml:space="preserve">”</w:t>
      </w:r>
      <w:r>
        <w:t xml:space="preserve"> </w:t>
      </w:r>
      <w:r>
        <w:t xml:space="preserve">(Zhu, p. 209)</w:t>
      </w:r>
    </w:p>
    <w:p>
      <w:pPr>
        <w:numPr>
          <w:ilvl w:val="0"/>
          <w:numId w:val="1077"/>
        </w:numPr>
        <w:pStyle w:val="Compact"/>
      </w:pPr>
      <w:r>
        <w:t xml:space="preserve">“</w:t>
      </w:r>
      <w:r>
        <w:t xml:space="preserve">We refer to the additional capital necessary to account for forecast limitations as the model limitation buffer.</w:t>
      </w:r>
      <w:r>
        <w:t xml:space="preserve">”</w:t>
      </w:r>
      <w:r>
        <w:t xml:space="preserve"> </w:t>
      </w:r>
      <w:r>
        <w:t xml:space="preserve">(Todd et al., p. 232)</w:t>
      </w:r>
    </w:p>
    <w:bookmarkEnd w:id="94"/>
    <w:bookmarkStart w:id="95" w:name="moslashtiriladigan-jadvalformulalar-5"/>
    <w:p>
      <w:pPr>
        <w:pStyle w:val="Heading3"/>
      </w:pPr>
      <w:r>
        <w:t xml:space="preserve">Moslashtiriladigan jadval/formulalar</w:t>
      </w:r>
    </w:p>
    <w:p>
      <w:pPr>
        <w:numPr>
          <w:ilvl w:val="0"/>
          <w:numId w:val="1078"/>
        </w:numPr>
        <w:pStyle w:val="Compact"/>
      </w:pPr>
      <w:r>
        <w:t xml:space="preserve">RWA formulasi (p. 13); leverage (pp. 15–16); CCB va CCyB shkalalari (pp. 22, 24); G-SIB indikatorlari (pp. 26–27); HQLA darajalari (pp. 110–111); Zhu formulalari va Jadval 1–4 (pp. 204–224); Todd formulalari (1)–(9) (pp. 244–247).</w:t>
      </w:r>
    </w:p>
    <w:bookmarkEnd w:id="95"/>
    <w:bookmarkEnd w:id="96"/>
    <w:bookmarkStart w:id="97" w:name="Xae682789561b5534e746436b97db6a6db849641"/>
    <w:p>
      <w:pPr>
        <w:pStyle w:val="Heading2"/>
      </w:pPr>
      <w:r>
        <w:t xml:space="preserve">12. Beccalli E., Poli F. (eds.) «Bank Risk, Governance and Regulation» (Palgrave, 2015)</w:t>
      </w:r>
    </w:p>
    <w:p>
      <w:pPr>
        <w:pStyle w:val="FirstParagraph"/>
      </w:pPr>
      <w:r>
        <w:rPr>
          <w:bCs/>
          <w:b/>
        </w:rPr>
        <w:t xml:space="preserve">1. Bibliografiya:</w:t>
      </w:r>
      <w:r>
        <w:t xml:space="preserve"> </w:t>
      </w:r>
      <w:r>
        <w:t xml:space="preserve">Beccalli E., Poli F. (eds.). Bank Risk, Governance and Regulation. – Basingstoke: Palgrave Macmillan, 2015 (Palgrave Macmillan Studies in Banking and Financial Institutions). Boblar:</w:t>
      </w:r>
      <w:r>
        <w:t xml:space="preserve"> </w:t>
      </w:r>
      <w:r>
        <w:t xml:space="preserve">- Floreani J., Polato M., Paltrinieri A., Pichler F. Credit Quality, Bank Provisioning and Systematic Risk in Banking Business. – pp. 1–34.</w:t>
      </w:r>
      <w:r>
        <w:t xml:space="preserve"> </w:t>
      </w:r>
      <w:r>
        <w:t xml:space="preserve">- Cocozza R. Back to the Future: Prospective Bank Risk Management in a Financial Analysis Perspective. – pp. 105–126.</w:t>
      </w:r>
      <w:r>
        <w:t xml:space="preserve"> </w:t>
      </w:r>
      <w:r>
        <w:t xml:space="preserve">- Gualandri E., Noera M. Towards a Macroprudential Policy in the EU. – pp. 182–205.</w:t>
      </w:r>
      <w:r>
        <w:t xml:space="preserve"> </w:t>
      </w:r>
      <w:r>
        <w:t xml:space="preserve">- Tutino F., Brugnoni G.C., Siena M.G. Italian Banks Facing Basel 3 Higher Capital Requirements: Which Strategies Are Actually Feasible? – pp. 206–234.</w:t>
      </w:r>
    </w:p>
    <w:p>
      <w:pPr>
        <w:pStyle w:val="BodyText"/>
      </w:pPr>
      <w:r>
        <w:rPr>
          <w:bCs/>
          <w:b/>
        </w:rPr>
        <w:t xml:space="preserve">2. Mazmun</w:t>
      </w:r>
    </w:p>
    <w:p>
      <w:pPr>
        <w:pStyle w:val="BodyText"/>
      </w:pPr>
      <w:r>
        <w:rPr>
          <w:iCs/>
          <w:i/>
        </w:rPr>
        <w:t xml:space="preserve">4-bob. Cocozza (EBA KRI)</w:t>
      </w:r>
      <w:r>
        <w:t xml:space="preserve"> </w:t>
      </w:r>
      <w:r>
        <w:t xml:space="preserve">- Maqsad: EBA tanlagan asosiy risk indikatorlari (KRI) orqali nazoratchining risk xaritasini tiklash, so‘ng bozorning deleveraging va de-risking jarayonlarini qanday baholashini tekshirish (p.105–107).</w:t>
      </w:r>
      <w:r>
        <w:t xml:space="preserve"> </w:t>
      </w:r>
      <w:r>
        <w:t xml:space="preserve">- EBA KRI bazasi: 53 ta indikator, har chorakda, 20 ta EEA mamlakatidagi 57 ta bank, 2009-yildan boshlab. Banklar har bir milliy sektor aktivlarining kamida 50% ini qamraydi (p.111).</w:t>
      </w:r>
      <w:r>
        <w:t xml:space="preserve"> </w:t>
      </w:r>
      <w:r>
        <w:t xml:space="preserve">- Table 4.1 (p.112–113) KRIlarni to‘rt blokka ajratadi:</w:t>
      </w:r>
      <w:r>
        <w:t xml:space="preserve"> </w:t>
      </w:r>
      <w:r>
        <w:t xml:space="preserve">- kapital yetarliligi (1–3) va kapital talabining tarkibi (4–11);</w:t>
      </w:r>
      <w:r>
        <w:t xml:space="preserve"> </w:t>
      </w:r>
      <w:r>
        <w:t xml:space="preserve">- kredit riski va aktivlar sifati (12–21): &gt;90 kun muddati o‘tgan kreditlar, qamrov koeffitsiyenti va boshqalar;</w:t>
      </w:r>
      <w:r>
        <w:t xml:space="preserve"> </w:t>
      </w:r>
      <w:r>
        <w:t xml:space="preserve">- rentabellik (22–33): ROE, ROA, cost-income va boshqalar;</w:t>
      </w:r>
      <w:r>
        <w:t xml:space="preserve"> </w:t>
      </w:r>
      <w:r>
        <w:t xml:space="preserve">- balans tuzilmasi (34–46): LTD, Tier1/(TA − nomoddiy aktivlar), D/E va boshqalar;</w:t>
      </w:r>
      <w:r>
        <w:t xml:space="preserve"> </w:t>
      </w:r>
      <w:r>
        <w:t xml:space="preserve">- mutlaq qiymatlar (47–53).</w:t>
      </w:r>
      <w:r>
        <w:t xml:space="preserve"> </w:t>
      </w:r>
      <w:r>
        <w:t xml:space="preserve">- Table 4.2 (p.114): KRIlar 4 sohani qamraydi, Risk Dashboard esa 11 ta risk omilini ko‘rsatadi (bozor, operatsion, konsentratsiya, likvidlik, funding, regulyativ, suveren va boshqalar). Xulosa: nazorat asosan aktivlar sifati va rezervlarga qaratilgan.</w:t>
      </w:r>
      <w:r>
        <w:t xml:space="preserve"> </w:t>
      </w:r>
      <w:r>
        <w:t xml:space="preserve">- Dinamika (p.115–117): D/E 2009-yil 4-chorakdagi 18.71 dan 2014-yil 2-chorakda 16.13 gacha tushgan. RWA/TA 35–39% oralig‘ida. LTD 1.20 dan 1.11–1.13 gacha kamaygan, ya’ni deleveraging kreditlash sekinlashuvi hisobiga bo‘lgan.</w:t>
      </w:r>
      <w:r>
        <w:t xml:space="preserve"> </w:t>
      </w:r>
      <w:r>
        <w:t xml:space="preserve">- Model (4.1), p.118: TEV = f(RWA/TA, DER, lnTA, ΔGDP, INTM, EQMC, D2007, D2009). Tanlanma: EuroStoxx Banks tarkibidagi 31 bank, 9 mamlakat, 2007–2013, 182 kuzatuv. Bu yevro hududi MFI aktivlarining 46.84% i (p.120–121).</w:t>
      </w:r>
      <w:r>
        <w:t xml:space="preserve"> </w:t>
      </w:r>
      <w:r>
        <w:t xml:space="preserve">- Natijalar, random-effects GLS (Table 4.8, p.124):</w:t>
      </w:r>
      <w:r>
        <w:t xml:space="preserve"> </w:t>
      </w:r>
      <w:r>
        <w:t xml:space="preserve">- RWA/TA 0.415, DER 0.011, NIM/TA −6.23, ΔGDP −1.24, regulyativ dummy −0.079;</w:t>
      </w:r>
      <w:r>
        <w:t xml:space="preserve"> </w:t>
      </w:r>
      <w:r>
        <w:t xml:space="preserve">- lnTA ahamiyatsiz;</w:t>
      </w:r>
      <w:r>
        <w:t xml:space="preserve"> </w:t>
      </w:r>
      <w:r>
        <w:t xml:space="preserve">- R² within 52.9%.</w:t>
      </w:r>
      <w:r>
        <w:t xml:space="preserve"> </w:t>
      </w:r>
      <w:r>
        <w:t xml:space="preserve">- Talqin: bozor de-risking (RWA/TA ni kamaytirish)ni deleveragingdan ko‘ra yuqoriroq baholaydi (p.123–125).</w:t>
      </w:r>
      <w:r>
        <w:t xml:space="preserve"> </w:t>
      </w:r>
      <w:r>
        <w:t xml:space="preserve">- Xulosa (p.125): kredit riskiga haddan tashqari urg‘u boshqa risklarni e’tibordan chetda qoldirish xavfini tug‘diradi. Rezerv orqali kredit riskini nazorat qilish past foyda sharoitida barqaror emas.</w:t>
      </w:r>
    </w:p>
    <w:p>
      <w:pPr>
        <w:pStyle w:val="BodyText"/>
      </w:pPr>
      <w:r>
        <w:rPr>
          <w:iCs/>
          <w:i/>
        </w:rPr>
        <w:t xml:space="preserve">7-bob. Gualandri va Noera (makroprudensial siyosat)</w:t>
      </w:r>
      <w:r>
        <w:t xml:space="preserve"> </w:t>
      </w:r>
      <w:r>
        <w:t xml:space="preserve">- MAP ta’rifi FSB–IMF–BIS (2011) bo‘yicha (p.183). Asosiy qiyinchiliklar: tizimli riskni o‘lchashning yagona usuli yo‘q; boshqa siyosatlar bilan o‘zaro ta’sir mavjud (p.183–184).</w:t>
      </w:r>
      <w:r>
        <w:t xml:space="preserve"> </w:t>
      </w:r>
      <w:r>
        <w:t xml:space="preserve">- Mikro va makro farqlari, Borio bo‘yicha (p.184–185):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Mezon</w:t>
            </w:r>
          </w:p>
        </w:tc>
        <w:tc>
          <w:tcPr/>
          <w:p>
            <w:pPr>
              <w:pStyle w:val="Compact"/>
              <w:jc w:val="left"/>
            </w:pPr>
            <w:r>
              <w:t xml:space="preserve">MAP (makro)</w:t>
            </w:r>
          </w:p>
        </w:tc>
        <w:tc>
          <w:tcPr/>
          <w:p>
            <w:pPr>
              <w:pStyle w:val="Compact"/>
              <w:jc w:val="left"/>
            </w:pPr>
            <w:r>
              <w:t xml:space="preserve">MIP (mikro)</w:t>
            </w:r>
          </w:p>
        </w:tc>
      </w:tr>
      <w:tr>
        <w:tc>
          <w:tcPr/>
          <w:p>
            <w:pPr>
              <w:pStyle w:val="Compact"/>
              <w:jc w:val="left"/>
            </w:pPr>
            <w:r>
              <w:t xml:space="preserve">Maqsad</w:t>
            </w:r>
          </w:p>
        </w:tc>
        <w:tc>
          <w:tcPr/>
          <w:p>
            <w:pPr>
              <w:pStyle w:val="Compact"/>
              <w:jc w:val="left"/>
            </w:pPr>
            <w:r>
              <w:t xml:space="preserve">butun tizim inqirozi va YaIM yo‘qotishini cheklash</w:t>
            </w:r>
          </w:p>
        </w:tc>
        <w:tc>
          <w:tcPr/>
          <w:p>
            <w:pPr>
              <w:pStyle w:val="Compact"/>
              <w:jc w:val="left"/>
            </w:pPr>
            <w:r>
              <w:t xml:space="preserve">alohida institut va omonatchini himoya qilish</w:t>
            </w:r>
          </w:p>
        </w:tc>
      </w:tr>
      <w:tr>
        <w:tc>
          <w:tcPr/>
          <w:p>
            <w:pPr>
              <w:pStyle w:val="Compact"/>
              <w:jc w:val="left"/>
            </w:pPr>
            <w:r>
              <w:t xml:space="preserve">Risk qanday qaraladi</w:t>
            </w:r>
          </w:p>
        </w:tc>
        <w:tc>
          <w:tcPr/>
          <w:p>
            <w:pPr>
              <w:pStyle w:val="Compact"/>
              <w:jc w:val="left"/>
            </w:pPr>
            <w:r>
              <w:t xml:space="preserve">endogen</w:t>
            </w:r>
          </w:p>
        </w:tc>
        <w:tc>
          <w:tcPr/>
          <w:p>
            <w:pPr>
              <w:pStyle w:val="Compact"/>
              <w:jc w:val="left"/>
            </w:pPr>
            <w:r>
              <w:t xml:space="preserve">ekzogen</w:t>
            </w:r>
          </w:p>
        </w:tc>
      </w:tr>
      <w:tr>
        <w:tc>
          <w:tcPr/>
          <w:p>
            <w:pPr>
              <w:pStyle w:val="Compact"/>
              <w:jc w:val="left"/>
            </w:pPr>
            <w:r>
              <w:t xml:space="preserve">Banklar o‘rtasidagi korrelyatsiya</w:t>
            </w:r>
          </w:p>
        </w:tc>
        <w:tc>
          <w:tcPr/>
          <w:p>
            <w:pPr>
              <w:pStyle w:val="Compact"/>
              <w:jc w:val="left"/>
            </w:pPr>
            <w:r>
              <w:t xml:space="preserve">muhim</w:t>
            </w:r>
          </w:p>
        </w:tc>
        <w:tc>
          <w:tcPr/>
          <w:p>
            <w:pPr>
              <w:pStyle w:val="Compact"/>
              <w:jc w:val="left"/>
            </w:pPr>
            <w:r>
              <w:t xml:space="preserve">ahamiyatsiz</w:t>
            </w:r>
          </w:p>
        </w:tc>
      </w:tr>
      <w:tr>
        <w:tc>
          <w:tcPr/>
          <w:p>
            <w:pPr>
              <w:pStyle w:val="Compact"/>
              <w:jc w:val="left"/>
            </w:pPr>
            <w:r>
              <w:t xml:space="preserve">Kalibrlash</w:t>
            </w:r>
          </w:p>
        </w:tc>
        <w:tc>
          <w:tcPr/>
          <w:p>
            <w:pPr>
              <w:pStyle w:val="Compact"/>
              <w:jc w:val="left"/>
            </w:pPr>
            <w:r>
              <w:t xml:space="preserve">top-down</w:t>
            </w:r>
          </w:p>
        </w:tc>
        <w:tc>
          <w:tcPr/>
          <w:p>
            <w:pPr>
              <w:pStyle w:val="Compact"/>
              <w:jc w:val="left"/>
            </w:pPr>
            <w:r>
              <w:t xml:space="preserve">bottom-up</w:t>
            </w:r>
          </w:p>
        </w:tc>
      </w:tr>
    </w:tbl>
    <w:p>
      <w:pPr>
        <w:numPr>
          <w:ilvl w:val="0"/>
          <w:numId w:val="1079"/>
        </w:numPr>
        <w:pStyle w:val="Compact"/>
      </w:pPr>
      <w:r>
        <w:t xml:space="preserve">Ziddiyat yomon davrlarda kuchli: MAP buferlarni bo‘shatmoqchi, MIP saqlamoqchi. Yaxshi davrlarda ikkalasi bir-birini to‘ldiradi (p.185).</w:t>
      </w:r>
    </w:p>
    <w:p>
      <w:pPr>
        <w:numPr>
          <w:ilvl w:val="0"/>
          <w:numId w:val="1079"/>
        </w:numPr>
        <w:pStyle w:val="Compact"/>
      </w:pPr>
      <w:r>
        <w:t xml:space="preserve">Kim boshqarishi kerak (p.187–189): yangi agentlik, qo‘shma kengash yoki markaziy bank. Mualliflar markaziy bank ichidagi alohida qo‘mitani afzal ko‘radi. Table 7.1 (p.189) CGFS 5–7-tamoyillarini beradi.</w:t>
      </w:r>
    </w:p>
    <w:p>
      <w:pPr>
        <w:numPr>
          <w:ilvl w:val="0"/>
          <w:numId w:val="1079"/>
        </w:numPr>
        <w:pStyle w:val="Compact"/>
      </w:pPr>
      <w:r>
        <w:t xml:space="preserve">Maqsadlar (p.189–191):</w:t>
      </w:r>
    </w:p>
    <w:p>
      <w:pPr>
        <w:numPr>
          <w:ilvl w:val="1"/>
          <w:numId w:val="1080"/>
        </w:numPr>
        <w:pStyle w:val="Compact"/>
      </w:pPr>
      <w:r>
        <w:t xml:space="preserve">tor maqsad: tizimning bardoshliligi;</w:t>
      </w:r>
    </w:p>
    <w:p>
      <w:pPr>
        <w:numPr>
          <w:ilvl w:val="1"/>
          <w:numId w:val="1080"/>
        </w:numPr>
        <w:pStyle w:val="Compact"/>
      </w:pPr>
      <w:r>
        <w:t xml:space="preserve">keng maqsad: moliyaviy siklni jilovlash;</w:t>
      </w:r>
    </w:p>
    <w:p>
      <w:pPr>
        <w:numPr>
          <w:ilvl w:val="1"/>
          <w:numId w:val="1080"/>
        </w:numPr>
        <w:pStyle w:val="Compact"/>
      </w:pPr>
      <w:r>
        <w:t xml:space="preserve">oraliq tashqi samaralar: leverage, likvidlik va bozor riski, o‘zaro bog‘liqlik.</w:t>
      </w:r>
    </w:p>
    <w:p>
      <w:pPr>
        <w:numPr>
          <w:ilvl w:val="0"/>
          <w:numId w:val="1079"/>
        </w:numPr>
        <w:pStyle w:val="Compact"/>
      </w:pPr>
      <w:r>
        <w:t xml:space="preserve">ESRB beshta oraliq maqsadi (p.191):</w:t>
      </w:r>
    </w:p>
    <w:p>
      <w:pPr>
        <w:numPr>
          <w:ilvl w:val="1"/>
          <w:numId w:val="1081"/>
        </w:numPr>
        <w:pStyle w:val="Compact"/>
      </w:pPr>
      <w:r>
        <w:t xml:space="preserve">kredit o‘sishi va leverage;</w:t>
      </w:r>
    </w:p>
    <w:p>
      <w:pPr>
        <w:numPr>
          <w:ilvl w:val="1"/>
          <w:numId w:val="1081"/>
        </w:numPr>
        <w:pStyle w:val="Compact"/>
      </w:pPr>
      <w:r>
        <w:t xml:space="preserve">muddatlar nomuvofiqligi va bozor nolikvidligi;</w:t>
      </w:r>
    </w:p>
    <w:p>
      <w:pPr>
        <w:numPr>
          <w:ilvl w:val="1"/>
          <w:numId w:val="1081"/>
        </w:numPr>
        <w:pStyle w:val="Compact"/>
      </w:pPr>
      <w:r>
        <w:t xml:space="preserve">ekspozitsiyalar konsentratsiyasi;</w:t>
      </w:r>
    </w:p>
    <w:p>
      <w:pPr>
        <w:numPr>
          <w:ilvl w:val="1"/>
          <w:numId w:val="1081"/>
        </w:numPr>
        <w:pStyle w:val="Compact"/>
      </w:pPr>
      <w:r>
        <w:t xml:space="preserve">noto‘g‘ri rag‘batlar va TBTF;</w:t>
      </w:r>
    </w:p>
    <w:p>
      <w:pPr>
        <w:numPr>
          <w:ilvl w:val="1"/>
          <w:numId w:val="1081"/>
        </w:numPr>
        <w:pStyle w:val="Compact"/>
      </w:pPr>
      <w:r>
        <w:t xml:space="preserve">infratuzilma bardoshliligi.</w:t>
      </w:r>
    </w:p>
    <w:p>
      <w:pPr>
        <w:numPr>
          <w:ilvl w:val="0"/>
          <w:numId w:val="1079"/>
        </w:numPr>
        <w:pStyle w:val="Compact"/>
      </w:pPr>
      <w:r>
        <w:t xml:space="preserve">Vositalar taksonomiyasi (p.192–193):</w:t>
      </w:r>
    </w:p>
    <w:p>
      <w:pPr>
        <w:numPr>
          <w:ilvl w:val="1"/>
          <w:numId w:val="1082"/>
        </w:numPr>
        <w:pStyle w:val="Compact"/>
      </w:pPr>
      <w:r>
        <w:t xml:space="preserve">butun tizimga yoki alohida sektorga qaratilgan;</w:t>
      </w:r>
    </w:p>
    <w:p>
      <w:pPr>
        <w:numPr>
          <w:ilvl w:val="1"/>
          <w:numId w:val="1082"/>
        </w:numPr>
        <w:pStyle w:val="Compact"/>
      </w:pPr>
      <w:r>
        <w:t xml:space="preserve">balans (kredit, likvidlik, kapital), shartnoma shartlari yoki bozor tuzilmasiga ta’sir qiluvchi;</w:t>
      </w:r>
    </w:p>
    <w:p>
      <w:pPr>
        <w:numPr>
          <w:ilvl w:val="1"/>
          <w:numId w:val="1082"/>
        </w:numPr>
        <w:pStyle w:val="Compact"/>
      </w:pPr>
      <w:r>
        <w:t xml:space="preserve">narx yoki miqdorga asoslangan.</w:t>
      </w:r>
    </w:p>
    <w:p>
      <w:pPr>
        <w:numPr>
          <w:ilvl w:val="0"/>
          <w:numId w:val="1079"/>
        </w:numPr>
        <w:pStyle w:val="Compact"/>
      </w:pPr>
      <w:r>
        <w:t xml:space="preserve">ESRB vositalari 45 tadan 15 taga qisqartirilgan: CCyB (RWA ning 0–2.5% i), leverage, LTV, LTI, LTD, LCR, NSFR, SIFI qo‘shimchasi va boshqalar (p.193; Table 7.2, p.195).</w:t>
      </w:r>
    </w:p>
    <w:p>
      <w:pPr>
        <w:numPr>
          <w:ilvl w:val="0"/>
          <w:numId w:val="1079"/>
        </w:numPr>
        <w:pStyle w:val="Compact"/>
      </w:pPr>
      <w:r>
        <w:t xml:space="preserve">Qoida yoki diskretsiya (p.194–196): eng ma’quli qat’iy bazaviy qoida va unga qo‘shiladigan diskretsion vaqt bo‘yicha o‘zgaruvchan vositalar. CCyB kredit/YaIM trendiga qarab belgilanadi.</w:t>
      </w:r>
    </w:p>
    <w:p>
      <w:pPr>
        <w:numPr>
          <w:ilvl w:val="0"/>
          <w:numId w:val="1079"/>
        </w:numPr>
        <w:pStyle w:val="Compact"/>
      </w:pPr>
      <w:r>
        <w:t xml:space="preserve">YeIdagi arxitektura: ESRB, NMA, SSM (19+), EBA, CoS (Fig. 7.1, p.199). CRD IV va CRR moddalari 2-izohda (p.203): CCyB 130, 135–140-moddalar; SyRB 133–134; SII qo‘shimchasi 131; CRR 458.</w:t>
      </w:r>
    </w:p>
    <w:p>
      <w:pPr>
        <w:pStyle w:val="FirstParagraph"/>
      </w:pPr>
      <w:r>
        <w:rPr>
          <w:iCs/>
          <w:i/>
        </w:rPr>
        <w:t xml:space="preserve">8-bob. Tutino va boshq. (Bazel 3 strategiyalari)</w:t>
      </w:r>
      <w:r>
        <w:t xml:space="preserve"> </w:t>
      </w:r>
      <w:r>
        <w:t xml:space="preserve">- Tanlanma (p.212–215): 2011-yilda Tier1 &lt; 11% bo‘lgan 10 ta Italiya bank guruhi. Maqsad 11% = 6% + 2.5% CCB + 2.5% CCyB.</w:t>
      </w:r>
      <w:r>
        <w:t xml:space="preserve"> </w:t>
      </w:r>
      <w:r>
        <w:t xml:space="preserve">- 2011-yil o‘rtachalari (Table 8.2, p.214): Tier1 8.00%; ΔRWA 6.89%; RWA/TA 64.81%; dividend to‘lash ulushi 39.44%; ROA −0.12%; goodwill hisobga olinmagan ROA 0.30%.</w:t>
      </w:r>
      <w:r>
        <w:t xml:space="preserve"> </w:t>
      </w:r>
      <w:r>
        <w:t xml:space="preserve">- Model (Morelli 2011; 8.1–8.7, p.216–217): kapital faqat taqsimlanmagan foyda hisobiga o‘sadi, Tier1 barqarorligi sharti qo‘yiladi. Natijada:</w:t>
      </w:r>
      <w:r>
        <w:t xml:space="preserve"> </w:t>
      </w:r>
      <w:r>
        <w:t xml:space="preserve">- Tier1* = ROA·(1−d)·(1+g) / (RWA/TA · g), bu yerda g = RWA o‘sishi;</w:t>
      </w:r>
      <w:r>
        <w:t xml:space="preserve"> </w:t>
      </w:r>
      <w:r>
        <w:t xml:space="preserve">- shu tenglamadan ROA_stab, RWA/TA_stab, d_stab va g_stab chiqariladi.</w:t>
      </w:r>
      <w:r>
        <w:t xml:space="preserve"> </w:t>
      </w:r>
      <w:r>
        <w:t xml:space="preserve">- Natijalar (p.218–225):</w:t>
      </w:r>
      <w:r>
        <w:t xml:space="preserve"> </w:t>
      </w:r>
      <w:r>
        <w:t xml:space="preserve">- 11% ni barqaror ushlab turish uchun o‘rtacha ROA_stab 1.28% bo‘lishi kerak. Bu amaldagidan +1.40 p.p. (goodwillsiz +0.98 p.p.) yuqori;</w:t>
      </w:r>
      <w:r>
        <w:t xml:space="preserve"> </w:t>
      </w:r>
      <w:r>
        <w:t xml:space="preserve">- faqat dividendlarni qisqartirish yetmaydi: d_stab = −48.55%;</w:t>
      </w:r>
      <w:r>
        <w:t xml:space="preserve"> </w:t>
      </w:r>
      <w:r>
        <w:t xml:space="preserve">- RWA o‘sishini ~9.7 p.p. qisqartirish kerak bo‘ladi.</w:t>
      </w:r>
      <w:r>
        <w:t xml:space="preserve"> </w:t>
      </w:r>
      <w:r>
        <w:t xml:space="preserve">- Amalda (Table 8.7, p.226): ROA 2012-yilda 0.03%, 2013-yilda −0.68%; Tier1 8.80% va 8.66%; RWA/TA 57.34% gacha tushgan.</w:t>
      </w:r>
      <w:r>
        <w:t xml:space="preserve"> </w:t>
      </w:r>
      <w:r>
        <w:t xml:space="preserve">- Tarixiy ROA 2004–2006 yillarda atigi +0.1 p.p. o‘sgan, ya’ni kerakli o‘sishning 10% i (p.227–228, Table 8.8).</w:t>
      </w:r>
      <w:r>
        <w:t xml:space="preserve"> </w:t>
      </w:r>
      <w:r>
        <w:t xml:space="preserve">- 2012-yilgi so‘rov (p.229): banklarning 65% i kapital oshirishni, 58% i o‘z-o‘zini moliyalashni, 52% i RWA qisqartirishni rejalagan.</w:t>
      </w:r>
      <w:r>
        <w:t xml:space="preserve"> </w:t>
      </w:r>
      <w:r>
        <w:t xml:space="preserve">- Xulosa (p.231): 11% Tier1 uchun zarur rentabellikka qisqa muddatda erishib bo‘lmaydi. Bir nechta dastakni birga qo‘llash kerak.</w:t>
      </w:r>
    </w:p>
    <w:p>
      <w:pPr>
        <w:pStyle w:val="BodyText"/>
      </w:pPr>
      <w:r>
        <w:rPr>
          <w:iCs/>
          <w:i/>
        </w:rPr>
        <w:t xml:space="preserve">1-bob (qisman). Floreani va boshq.</w:t>
      </w:r>
      <w:r>
        <w:t xml:space="preserve"> </w:t>
      </w:r>
      <w:r>
        <w:t xml:space="preserve">- Tanlanma: 59 ta Yevropa bank guruhi, 2005–2011, 413 kuzatuv, ulardan 38 tasi listingda. Bog‘liq o‘zgaruvchi – bank betasi (p.13–14).</w:t>
      </w:r>
      <w:r>
        <w:t xml:space="preserve"> </w:t>
      </w:r>
      <w:r>
        <w:t xml:space="preserve">- O‘zgaruvchilar (Table 1.2, p.17): IMPL/GL, LLP/GL, RIL/IMPL (qamrov), LLP/PIMOP, RWA/TA, DMMS/TE, ROE.</w:t>
      </w:r>
      <w:r>
        <w:t xml:space="preserve"> </w:t>
      </w:r>
      <w:r>
        <w:t xml:space="preserve">- FE natijalari (Table 1.5, p.24): CRISIS×LLPGL −80.5</w:t>
      </w:r>
      <w:r>
        <w:rPr>
          <w:iCs/>
          <w:i/>
          <w:bCs/>
          <w:b/>
        </w:rPr>
        <w:t xml:space="preserve">; GL/TA +0.87</w:t>
      </w:r>
      <w:r>
        <w:t xml:space="preserve">.</w:t>
      </w:r>
      <w:r>
        <w:t xml:space="preserve"> </w:t>
      </w:r>
      <w:r>
        <w:t xml:space="preserve">- Arellano–Bond (Table 1.7, p.27): LLPGL −36.1**; RWATA +56.7*; ROE ahamiyatsiz; Hansen testi o‘tadi.</w:t>
      </w:r>
      <w:r>
        <w:t xml:space="preserve"> </w:t>
      </w:r>
      <w:r>
        <w:t xml:space="preserve">- Xulosalar (p.29–32): betani rezervlar va RWA/TA belgilaydi, joriy rentabellik emas. Dinamik (ispancha) rezervlash va NPL hamda forbearance ta’riflarini uyg‘unlashtirish tavsiya qilinadi.</w:t>
      </w:r>
    </w:p>
    <w:p>
      <w:pPr>
        <w:pStyle w:val="BodyText"/>
      </w:pPr>
      <w:r>
        <w:rPr>
          <w:bCs/>
          <w:b/>
        </w:rPr>
        <w:t xml:space="preserve">3. Dissertatsiyada qo‘llash</w:t>
      </w:r>
      <w:r>
        <w:t xml:space="preserve"> </w:t>
      </w:r>
      <w:r>
        <w:t xml:space="preserve">- §1.2 – Tutino formulasi (</w:t>
      </w:r>
      <w:r>
        <w:t xml:space="preserve">“</w:t>
      </w:r>
      <w:r>
        <w:t xml:space="preserve">Moslashtiriladigan jadval/formulalar</w:t>
      </w:r>
      <w:r>
        <w:t xml:space="preserve">”</w:t>
      </w:r>
      <w:r>
        <w:t xml:space="preserve"> </w:t>
      </w:r>
      <w:r>
        <w:t xml:space="preserve">bo‘limidagi 1-band) orqali O‘zbekiston banklari uchun barqarorlashtiruvchi ROA hisoblanadi. U MBII-Basel blokida</w:t>
      </w:r>
      <w:r>
        <w:t xml:space="preserve"> </w:t>
      </w:r>
      <w:r>
        <w:t xml:space="preserve">“</w:t>
      </w:r>
      <w:r>
        <w:t xml:space="preserve">ichki kapital generatsiyasi</w:t>
      </w:r>
      <w:r>
        <w:t xml:space="preserve">”</w:t>
      </w:r>
      <w:r>
        <w:t xml:space="preserve"> </w:t>
      </w:r>
      <w:r>
        <w:t xml:space="preserve">signali bo‘ladi: ROA_stab &gt; ROA amaldagi bo‘lsa, ogohlantirish.</w:t>
      </w:r>
      <w:r>
        <w:t xml:space="preserve"> </w:t>
      </w:r>
      <w:r>
        <w:t xml:space="preserve">- §1.3 – EBA KRI to‘rt bloki (kapital, aktivlar sifati, rentabellik, balans tuzilmasi) MBIIning beshta blokini xalqaro amaliyat bilan asoslaydi. Valyuta bloki KRIda yo‘qligini MBIIning qo‘shimcha hissasi sifatida ko‘rsatish mumkin.</w:t>
      </w:r>
      <w:r>
        <w:t xml:space="preserve"> </w:t>
      </w:r>
      <w:r>
        <w:t xml:space="preserve">- §3.1 – Cocozzaning xulosasi blok og‘irliklarini asoslashda ishlatiladi: faqat aktivlar sifatiga urg‘u berish</w:t>
      </w:r>
      <w:r>
        <w:t xml:space="preserve"> </w:t>
      </w:r>
      <w:r>
        <w:t xml:space="preserve">“</w:t>
      </w:r>
      <w:r>
        <w:t xml:space="preserve">miyopiya</w:t>
      </w:r>
      <w:r>
        <w:t xml:space="preserve">”</w:t>
      </w:r>
      <w:r>
        <w:t xml:space="preserve">ga olib keladi. Aktivlar bloki (0.3) dominant bo‘lsa-da, likvidlik va valyuta bloklari saqlanishi kerak.</w:t>
      </w:r>
      <w:r>
        <w:t xml:space="preserve"> </w:t>
      </w:r>
      <w:r>
        <w:t xml:space="preserve">- §3.2 – ESRB vositalari (CCyB 0–2.5%, LTD, NSFR, SIFI qo‘shimchasi) va</w:t>
      </w:r>
      <w:r>
        <w:t xml:space="preserve"> </w:t>
      </w:r>
      <w:r>
        <w:t xml:space="preserve">“</w:t>
      </w:r>
      <w:r>
        <w:t xml:space="preserve">qat’iy baza + diskretsiya</w:t>
      </w:r>
      <w:r>
        <w:t xml:space="preserve">”</w:t>
      </w:r>
      <w:r>
        <w:t xml:space="preserve"> </w:t>
      </w:r>
      <w:r>
        <w:t xml:space="preserve">tamoyili tizimli muhim banklar qoidalari va signal chegaralarini qurish uchun.</w:t>
      </w:r>
      <w:r>
        <w:t xml:space="preserve"> </w:t>
      </w:r>
      <w:r>
        <w:t xml:space="preserve">- §4.1 – Floreanining CRISIS×LLP talqini va beta–RWA/TA bog‘liqligi NPL sun’iy yo‘ldosh modelida rezerv o‘zgaruvchisini kiritishni asoslaydi.</w:t>
      </w:r>
    </w:p>
    <w:p>
      <w:pPr>
        <w:pStyle w:val="BodyText"/>
      </w:pPr>
      <w:r>
        <w:rPr>
          <w:bCs/>
          <w:b/>
        </w:rPr>
        <w:t xml:space="preserve">4. Iqtiboslar</w:t>
      </w:r>
      <w:r>
        <w:t xml:space="preserve"> </w:t>
      </w:r>
      <w:r>
        <w:t xml:space="preserve">-</w:t>
      </w:r>
      <w:r>
        <w:t xml:space="preserve"> </w:t>
      </w:r>
      <w:r>
        <w:t xml:space="preserve">“</w:t>
      </w:r>
      <w:r>
        <w:t xml:space="preserve">The EBA KRI is an original set of 53 indicators collected on a quarterly basis by national supervisors, from a sample of 57 European banks</w:t>
      </w:r>
      <w:r>
        <w:t xml:space="preserve">”</w:t>
      </w:r>
      <w:r>
        <w:t xml:space="preserve"> </w:t>
      </w:r>
      <w:r>
        <w:t xml:space="preserve">(p.111).</w:t>
      </w:r>
      <w:r>
        <w:t xml:space="preserve"> </w:t>
      </w:r>
      <w:r>
        <w:t xml:space="preserve">-</w:t>
      </w:r>
      <w:r>
        <w:t xml:space="preserve"> </w:t>
      </w:r>
      <w:r>
        <w:t xml:space="preserve">“</w:t>
      </w:r>
      <w:r>
        <w:t xml:space="preserve">de-risking and provisioning are only a part of a proper risk-management approach and, in a sense, they are not proper risk management</w:t>
      </w:r>
      <w:r>
        <w:t xml:space="preserve">”</w:t>
      </w:r>
      <w:r>
        <w:t xml:space="preserve"> </w:t>
      </w:r>
      <w:r>
        <w:t xml:space="preserve">(p.114).</w:t>
      </w:r>
      <w:r>
        <w:t xml:space="preserve"> </w:t>
      </w:r>
      <w:r>
        <w:t xml:space="preserve">-</w:t>
      </w:r>
      <w:r>
        <w:t xml:space="preserve"> </w:t>
      </w:r>
      <w:r>
        <w:t xml:space="preserve">“</w:t>
      </w:r>
      <w:r>
        <w:t xml:space="preserve">prospective risk management could be not really sustainable risk management</w:t>
      </w:r>
      <w:r>
        <w:t xml:space="preserve">”</w:t>
      </w:r>
      <w:r>
        <w:t xml:space="preserve"> </w:t>
      </w:r>
      <w:r>
        <w:t xml:space="preserve">(p.125).</w:t>
      </w:r>
      <w:r>
        <w:t xml:space="preserve"> </w:t>
      </w:r>
      <w:r>
        <w:t xml:space="preserve">-</w:t>
      </w:r>
      <w:r>
        <w:t xml:space="preserve"> </w:t>
      </w:r>
      <w:r>
        <w:t xml:space="preserve">“</w:t>
      </w:r>
      <w:r>
        <w:t xml:space="preserve">[A] policy that uses primarily prudential tools to limit systemic or system-wide financial risk…</w:t>
      </w:r>
      <w:r>
        <w:t xml:space="preserve">”</w:t>
      </w:r>
      <w:r>
        <w:t xml:space="preserve"> </w:t>
      </w:r>
      <w:r>
        <w:t xml:space="preserve">(p.183).</w:t>
      </w:r>
      <w:r>
        <w:t xml:space="preserve"> </w:t>
      </w:r>
      <w:r>
        <w:t xml:space="preserve">-</w:t>
      </w:r>
      <w:r>
        <w:t xml:space="preserve"> </w:t>
      </w:r>
      <w:r>
        <w:t xml:space="preserve">“</w:t>
      </w:r>
      <w:r>
        <w:t xml:space="preserve">A solution at some point on the scale between zero discretionality … and full discretionality … appears to be preferable</w:t>
      </w:r>
      <w:r>
        <w:t xml:space="preserve">”</w:t>
      </w:r>
      <w:r>
        <w:t xml:space="preserve"> </w:t>
      </w:r>
      <w:r>
        <w:t xml:space="preserve">(p.196).</w:t>
      </w:r>
      <w:r>
        <w:t xml:space="preserve"> </w:t>
      </w:r>
      <w:r>
        <w:t xml:space="preserve">-</w:t>
      </w:r>
      <w:r>
        <w:t xml:space="preserve"> </w:t>
      </w:r>
      <w:r>
        <w:t xml:space="preserve">“</w:t>
      </w:r>
      <w:r>
        <w:t xml:space="preserve">the profitability levels necessary to support a Tier 1 ratio of 11 per cent appear difficult to reach, at least in the short term</w:t>
      </w:r>
      <w:r>
        <w:t xml:space="preserve">”</w:t>
      </w:r>
      <w:r>
        <w:t xml:space="preserve"> </w:t>
      </w:r>
      <w:r>
        <w:t xml:space="preserve">(p.231).</w:t>
      </w:r>
      <w:r>
        <w:t xml:space="preserve"> </w:t>
      </w:r>
      <w:r>
        <w:t xml:space="preserve">-</w:t>
      </w:r>
      <w:r>
        <w:t xml:space="preserve"> </w:t>
      </w:r>
      <w:r>
        <w:t xml:space="preserve">“</w:t>
      </w:r>
      <w:r>
        <w:t xml:space="preserve">Current performances are not significant in explaining systematic risk. The magnitude of loan-loss provisions plays the most significant role</w:t>
      </w:r>
      <w:r>
        <w:t xml:space="preserve">”</w:t>
      </w:r>
      <w:r>
        <w:t xml:space="preserve"> </w:t>
      </w:r>
      <w:r>
        <w:t xml:space="preserve">(p.32).</w:t>
      </w:r>
    </w:p>
    <w:p>
      <w:pPr>
        <w:pStyle w:val="BodyText"/>
      </w:pPr>
      <w:r>
        <w:rPr>
          <w:bCs/>
          <w:b/>
        </w:rPr>
        <w:t xml:space="preserve">5. Moslashtiriladigan jadval/formulalar</w:t>
      </w:r>
      <w:r>
        <w:t xml:space="preserve"> </w:t>
      </w:r>
      <w:r>
        <w:t xml:space="preserve">1. Tutino formulalari 8.1–8.7 (p.216–217) va Table 8.3–8.7 (p.219–226).</w:t>
      </w:r>
      <w:r>
        <w:t xml:space="preserve"> </w:t>
      </w:r>
      <w:r>
        <w:t xml:space="preserve">2. KRI ro‘yxati, Table 4.1 (p.112–113), va KRI bilan risk omillari solishtirmasi, Table 4.2 (p.114).</w:t>
      </w:r>
      <w:r>
        <w:t xml:space="preserve"> </w:t>
      </w:r>
      <w:r>
        <w:t xml:space="preserve">3. TEV regressiyasi (4.1) va Table 4.5 va 4.8 (p.118–124).</w:t>
      </w:r>
      <w:r>
        <w:t xml:space="preserve"> </w:t>
      </w:r>
      <w:r>
        <w:t xml:space="preserve">4. MAP va MIP farqlari (p.184–185).</w:t>
      </w:r>
      <w:r>
        <w:t xml:space="preserve"> </w:t>
      </w:r>
      <w:r>
        <w:t xml:space="preserve">5. ESRB vositalari taksonomiyasi, Table 7.2 (p.195), va YeI nazorat arxitekturasi, Fig. 7.1 (p.199).</w:t>
      </w:r>
      <w:r>
        <w:t xml:space="preserve"> </w:t>
      </w:r>
      <w:r>
        <w:t xml:space="preserve">6. Kredit riski o‘zgaruvchilari, Table 1.2 (p.17).</w:t>
      </w:r>
    </w:p>
    <w:bookmarkEnd w:id="97"/>
    <w:bookmarkStart w:id="98" w:name="X7372f0a44cb8061e893626b385f2dbee0ec2b34"/>
    <w:p>
      <w:pPr>
        <w:pStyle w:val="Heading2"/>
      </w:pPr>
      <w:r>
        <w:t xml:space="preserve">13. Lindblom T., Sjögren S., Willesson M. (eds.) «Governance, Regulation and Bank Stability» (Palgrave, 2014)</w:t>
      </w:r>
    </w:p>
    <w:p>
      <w:pPr>
        <w:pStyle w:val="FirstParagraph"/>
      </w:pPr>
      <w:r>
        <w:rPr>
          <w:bCs/>
          <w:b/>
        </w:rPr>
        <w:t xml:space="preserve">1. Bibliografiya:</w:t>
      </w:r>
      <w:r>
        <w:t xml:space="preserve"> </w:t>
      </w:r>
      <w:r>
        <w:t xml:space="preserve">Lindblom T., Sjögren S., Willesson M. (eds.). Governance, Regulation and Bank Stability. – Basingstoke: Palgrave Macmillan, 2014. Boblar:</w:t>
      </w:r>
      <w:r>
        <w:t xml:space="preserve"> </w:t>
      </w:r>
      <w:r>
        <w:t xml:space="preserve">- Thakor A.V. Leverage, System Risk and Financial System Health: How Do We Develop a Healthy Financial System? – pp. 9–19.</w:t>
      </w:r>
      <w:r>
        <w:t xml:space="preserve"> </w:t>
      </w:r>
      <w:r>
        <w:t xml:space="preserve">- Chiaramonte L., Poli F. Predicting European Bank Distress: Evidence from the Recent Financial Crisis. – pp. 77–99.</w:t>
      </w:r>
      <w:r>
        <w:t xml:space="preserve"> </w:t>
      </w:r>
      <w:r>
        <w:t xml:space="preserve">- Deng B., Casu B., Ferrari A. The Impact of Deregulation and Re-regulation on Bank Efficiency: Evidence from Asia. – pp. 100–128.</w:t>
      </w:r>
    </w:p>
    <w:p>
      <w:pPr>
        <w:pStyle w:val="BodyText"/>
      </w:pPr>
      <w:r>
        <w:rPr>
          <w:bCs/>
          <w:b/>
        </w:rPr>
        <w:t xml:space="preserve">2. Mazmun</w:t>
      </w:r>
    </w:p>
    <w:p>
      <w:pPr>
        <w:pStyle w:val="BodyText"/>
      </w:pPr>
      <w:r>
        <w:rPr>
          <w:iCs/>
          <w:i/>
        </w:rPr>
        <w:t xml:space="preserve">5-bob. Chiaramonte va Poli (Z-score)</w:t>
      </w:r>
      <w:r>
        <w:t xml:space="preserve"> </w:t>
      </w:r>
      <w:r>
        <w:t xml:space="preserve">- Distress indikatorlarining ikki guruhi (p.77–80):</w:t>
      </w:r>
      <w:r>
        <w:t xml:space="preserve"> </w:t>
      </w:r>
      <w:r>
        <w:t xml:space="preserve">- bozorga asoslangan (DD, obligatsiya spredlari, CDS) – faqat listingdagi banklar uchun;</w:t>
      </w:r>
      <w:r>
        <w:t xml:space="preserve"> </w:t>
      </w:r>
      <w:r>
        <w:t xml:space="preserve">- hisobga asoslangan (CAMEL, Z-score).</w:t>
      </w:r>
      <w:r>
        <w:t xml:space="preserve"> </w:t>
      </w:r>
      <w:r>
        <w:t xml:space="preserve">- Tanlanma (p.81–82): 12 mamlakatdagi 3 125 ta bank, 2001–2011. Davr inqirozdan oldingi (2001–2007) va inqiroz (2008–2011) davrlariga bo‘lingan.</w:t>
      </w:r>
      <w:r>
        <w:t xml:space="preserve"> </w:t>
      </w:r>
      <w:r>
        <w:t xml:space="preserve">- Distress ta’rifi (p.82): quyidagilardan biri.</w:t>
      </w:r>
      <w:r>
        <w:t xml:space="preserve"> </w:t>
      </w:r>
      <w:r>
        <w:t xml:space="preserve">- bankrotlik, tugatish yoki faoliyatni to‘xtatish;</w:t>
      </w:r>
      <w:r>
        <w:t xml:space="preserve"> </w:t>
      </w:r>
      <w:r>
        <w:t xml:space="preserve">- M&amp;A, agar undan oldingi yili CR &lt; 0 bo‘lsa, bu yerda CR = (kapital + kredit rezervi − NPL)/TA;</w:t>
      </w:r>
      <w:r>
        <w:t xml:space="preserve"> </w:t>
      </w:r>
      <w:r>
        <w:t xml:space="preserve">- davlat yordami.</w:t>
      </w:r>
      <w:r>
        <w:t xml:space="preserve"> </w:t>
      </w:r>
      <w:r>
        <w:t xml:space="preserve">- Natijada 149 bankda 185 ta hodisa aniqlangan.</w:t>
      </w:r>
      <w:r>
        <w:t xml:space="preserve"> </w:t>
      </w:r>
      <w:r>
        <w:t xml:space="preserve">- Model: probit, Pr(DB=1 | X_{t−1}) (5.1), barcha o‘zgaruvchilar bir yil lag bilan (p.83). Z-score = (ROAA + E/TA)/σ(ROAA), σ 3 yillik sirpanuvchi oynada (5.2), modelda ln_Z ishlatiladi (p.83–84).</w:t>
      </w:r>
      <w:r>
        <w:t xml:space="preserve"> </w:t>
      </w:r>
      <w:r>
        <w:t xml:space="preserve">- Nazorat o‘zgaruvchilari (Table 5.1, p.85): SIZE, GDPC, INFC, CR3, CRED = muammoli kreditlar/yalpi kreditlar, CIR, LIQ = sof kreditlar/(omonatlar + qisqa muddatli fondlar).</w:t>
      </w:r>
      <w:r>
        <w:t xml:space="preserve"> </w:t>
      </w:r>
      <w:r>
        <w:t xml:space="preserve">- Xatolar (p.84–85): I tur – distressni o‘tkazib yuborish; II tur – soxta signal. Kesish nuqtalari 1% va 10%, asosiy e’tibor 1% ga.</w:t>
      </w:r>
      <w:r>
        <w:t xml:space="preserve"> </w:t>
      </w:r>
      <w:r>
        <w:t xml:space="preserve">- Tavsifiy statistika (Table 5.2, p.86): ln_Z sog‘lom banklarda 4.551, distressdagilarda 3.222.</w:t>
      </w:r>
      <w:r>
        <w:t xml:space="preserve"> </w:t>
      </w:r>
      <w:r>
        <w:t xml:space="preserve">- Probit natijalari (Table 5.4, p.90–91):</w:t>
      </w:r>
      <w:r>
        <w:t xml:space="preserve"> </w:t>
      </w:r>
      <w:r>
        <w:t xml:space="preserve">- ln_Z koeffitsiyenti barcha spetsifikatsiyalarda −0.14…−0.18 va ahamiyatli;</w:t>
      </w:r>
      <w:r>
        <w:t xml:space="preserve"> </w:t>
      </w:r>
      <w:r>
        <w:t xml:space="preserve">- SIZE +0.17…+0.21, CIR +0.52, LIQ +0.19 (inqirozda +0.31);</w:t>
      </w:r>
      <w:r>
        <w:t xml:space="preserve"> </w:t>
      </w:r>
      <w:r>
        <w:t xml:space="preserve">- makro o‘zgaruvchilar ahamiyatsiz;</w:t>
      </w:r>
      <w:r>
        <w:t xml:space="preserve"> </w:t>
      </w:r>
      <w:r>
        <w:t xml:space="preserve">- Pseudo R² 0.232 dan 0.324 gacha oshadi.</w:t>
      </w:r>
      <w:r>
        <w:t xml:space="preserve"> </w:t>
      </w:r>
      <w:r>
        <w:t xml:space="preserve">- Prognoz aniqligi (p.92; Table 5.5, p.94–95):</w:t>
      </w:r>
      <w:r>
        <w:t xml:space="preserve"> </w:t>
      </w:r>
      <w:r>
        <w:t xml:space="preserve">- faqat ln_Z: 185 tadan 139 ta distress to‘g‘ri topilgan (75%), sog‘lom banklar 81% to‘g‘ri;</w:t>
      </w:r>
      <w:r>
        <w:t xml:space="preserve"> </w:t>
      </w:r>
      <w:r>
        <w:t xml:space="preserve">- to‘liq model: 81% va 87%;</w:t>
      </w:r>
      <w:r>
        <w:t xml:space="preserve"> </w:t>
      </w:r>
      <w:r>
        <w:t xml:space="preserve">- inqiroz davrida to‘liq model: 91% va 83%;</w:t>
      </w:r>
      <w:r>
        <w:t xml:space="preserve"> </w:t>
      </w:r>
      <w:r>
        <w:t xml:space="preserve">- 10% kesishda I tur xatosi 0.58–0.85 ga yetadi.</w:t>
      </w:r>
      <w:r>
        <w:t xml:space="preserve"> </w:t>
      </w:r>
      <w:r>
        <w:t xml:space="preserve">- Xulosa (p.93): Z-score</w:t>
      </w:r>
      <w:r>
        <w:t xml:space="preserve"> </w:t>
      </w:r>
      <w:r>
        <w:t xml:space="preserve">“</w:t>
      </w:r>
      <w:r>
        <w:t xml:space="preserve">reliable and parsimonious</w:t>
      </w:r>
      <w:r>
        <w:t xml:space="preserve">”</w:t>
      </w:r>
      <w:r>
        <w:t xml:space="preserve">. Bozor ma’lumotlari bo‘lmaganda PCA uchun yaroqli.</w:t>
      </w:r>
    </w:p>
    <w:p>
      <w:pPr>
        <w:pStyle w:val="BodyText"/>
      </w:pPr>
      <w:r>
        <w:rPr>
          <w:iCs/>
          <w:i/>
        </w:rPr>
        <w:t xml:space="preserve">2-bob. Thakor</w:t>
      </w:r>
      <w:r>
        <w:t xml:space="preserve"> </w:t>
      </w:r>
      <w:r>
        <w:t xml:space="preserve">- Inqirozning sabablari (p.10–12): rag‘batlar buzilishi va e’tiqodlar buzilishi. Uzoq muvaffaqiyat bankirlar mahoratiga ishonchni oshiradi va riskni oshiradi. Shok kelganda funding to‘xtaydi: bu tashqaridan likvidlik inqiroziga o‘xshaydi, aslida to‘lovga qobiliyatsizlik inqirozi.</w:t>
      </w:r>
      <w:r>
        <w:t xml:space="preserve"> </w:t>
      </w:r>
      <w:r>
        <w:t xml:space="preserve">- Yuqori bank va iste’molchi leverage korrelyatsiyasi tizimli riskni oshiradi (p.12). AQSh banklarida kapital/aktiv 1893–2010 yillarda pasaygan (Fig. 2.1, p.13).</w:t>
      </w:r>
      <w:r>
        <w:t xml:space="preserve"> </w:t>
      </w:r>
      <w:r>
        <w:t xml:space="preserve">- Sog‘lom tizimning to‘rt belgisi (p.13–15, 16):</w:t>
      </w:r>
      <w:r>
        <w:t xml:space="preserve"> </w:t>
      </w:r>
      <w:r>
        <w:t xml:space="preserve">1. vaqti-vaqti bilan bailoutsiz idiosinkratik bankrotliklar;</w:t>
      </w:r>
      <w:r>
        <w:t xml:space="preserve"> </w:t>
      </w:r>
      <w:r>
        <w:t xml:space="preserve">2. yuqori kapital, soya bank tizimida ham;</w:t>
      </w:r>
      <w:r>
        <w:t xml:space="preserve"> </w:t>
      </w:r>
      <w:r>
        <w:t xml:space="preserve">3. faol aksiyador boshqaruvi;</w:t>
      </w:r>
      <w:r>
        <w:t xml:space="preserve"> </w:t>
      </w:r>
      <w:r>
        <w:t xml:space="preserve">4. regulyatsiyani shartnoma yorlig‘iga emas, iqtisodiy funksiyaga qarab yuritish.</w:t>
      </w:r>
      <w:r>
        <w:t xml:space="preserve"> </w:t>
      </w:r>
      <w:r>
        <w:t xml:space="preserve">- Yetti chora (p.15–16): bank bankrotlik kodeksi; RWAdan tashqari yuqori leverage ratio, balansdan tashqari moddalar bilan; dividend cheklovi orqali kontrsiklik kapital; soya bankka talablar; mulkdorlikni kengaytirish; qarz va kapital soliq rejimini tenglashtirish (Belgiya ACE).</w:t>
      </w:r>
      <w:r>
        <w:t xml:space="preserve"> </w:t>
      </w:r>
      <w:r>
        <w:t xml:space="preserve">-</w:t>
      </w:r>
      <w:r>
        <w:t xml:space="preserve"> </w:t>
      </w:r>
      <w:r>
        <w:t xml:space="preserve">“</w:t>
      </w:r>
      <w:r>
        <w:t xml:space="preserve">Kapital kreditni kamaytiradi</w:t>
      </w:r>
      <w:r>
        <w:t xml:space="preserve">”</w:t>
      </w:r>
      <w:r>
        <w:t xml:space="preserve"> </w:t>
      </w:r>
      <w:r>
        <w:t xml:space="preserve">degan da’vo xato: kapital talabi zaxira talabi emas (p.14).</w:t>
      </w:r>
    </w:p>
    <w:p>
      <w:pPr>
        <w:pStyle w:val="BodyText"/>
      </w:pPr>
      <w:r>
        <w:rPr>
          <w:iCs/>
          <w:i/>
        </w:rPr>
        <w:t xml:space="preserve">6-bob (qisman). Deng, Casu, Ferrari</w:t>
      </w:r>
      <w:r>
        <w:t xml:space="preserve"> </w:t>
      </w:r>
      <w:r>
        <w:t xml:space="preserve">- Usul (p.113–115): stoxastik xarajat chegarasi (6.1), samarasizlik Battese–Coelli bo‘yicha (6.2), metafrontier formulasi Meta-E = CF-E × TGR (6.3), bootstrap.</w:t>
      </w:r>
      <w:r>
        <w:t xml:space="preserve"> </w:t>
      </w:r>
      <w:r>
        <w:t xml:space="preserve">- Ma’lumotlar (p.115–118): 8 ta Osiyo iqtisodiyoti, 2001–2010, 3 805 kuzatuv. Xarajat funksiyasi translog.</w:t>
      </w:r>
      <w:r>
        <w:t xml:space="preserve"> </w:t>
      </w:r>
      <w:r>
        <w:t xml:space="preserve">- Kirishlar: PL, PC, PF. Chiqishlar: LN, OEA, NFC. Risk: CR, VOroa, LLP.</w:t>
      </w:r>
      <w:r>
        <w:t xml:space="preserve"> </w:t>
      </w:r>
      <w:r>
        <w:t xml:space="preserve">- Regulyatsiya indekslari (Table 6.2, p.116–117): ACTR (1–4), CMD (0–10), CAPS (0–7), SUPP (0–15), MARD (0–7). Dereg = (ACTR+CMD)/2, Rereg = (CAPS+SUPP+MARD)/3.</w:t>
      </w:r>
      <w:r>
        <w:t xml:space="preserve"> </w:t>
      </w:r>
      <w:r>
        <w:t xml:space="preserve">- Natijalar:</w:t>
      </w:r>
      <w:r>
        <w:t xml:space="preserve"> </w:t>
      </w:r>
      <w:r>
        <w:t xml:space="preserve">- texnologik bir xillik rad etilgan (p.118);</w:t>
      </w:r>
      <w:r>
        <w:t xml:space="preserve"> </w:t>
      </w:r>
      <w:r>
        <w:t xml:space="preserve">- CAPS samaradorlikni pasaytiradi (p.121);</w:t>
      </w:r>
      <w:r>
        <w:t xml:space="preserve"> </w:t>
      </w:r>
      <w:r>
        <w:t xml:space="preserve">- Dereg −0.557***, ya’ni +0.1 birlik xarajatni −5.57% ga kamaytiradi; Rereg ahamiyatsiz (Table 6.4, p.120–122);</w:t>
      </w:r>
      <w:r>
        <w:t xml:space="preserve"> </w:t>
      </w:r>
      <w:r>
        <w:t xml:space="preserve">- kapital xarajatni oshirmaydi (signal effekti), LLP xarajatni oshiradi (p.122);</w:t>
      </w:r>
      <w:r>
        <w:t xml:space="preserve"> </w:t>
      </w:r>
      <w:r>
        <w:t xml:space="preserve">- Meta-E o‘sgan, asosan TGR hisobiga; Malayziya istisno; Yaponiya eng samarali (p.122–124).</w:t>
      </w:r>
      <w:r>
        <w:t xml:space="preserve"> </w:t>
      </w:r>
      <w:r>
        <w:t xml:space="preserve">- Xulosa (p.124–125): barqarorlik va vositachilikni rag‘batlantiruvchi siyosatlarni uyg‘unlashtirish kerak.</w:t>
      </w:r>
    </w:p>
    <w:p>
      <w:pPr>
        <w:pStyle w:val="BodyText"/>
      </w:pPr>
      <w:r>
        <w:rPr>
          <w:bCs/>
          <w:b/>
        </w:rPr>
        <w:t xml:space="preserve">3. Dissertatsiyada qo‘llash</w:t>
      </w:r>
      <w:r>
        <w:t xml:space="preserve"> </w:t>
      </w:r>
      <w:r>
        <w:t xml:space="preserve">- §4.2 – MBIIning bashorat kuchini Chiaramonte–Poli dizayni bilan tekshirish:</w:t>
      </w:r>
      <w:r>
        <w:t xml:space="preserve"> </w:t>
      </w:r>
      <w:r>
        <w:t xml:space="preserve">- distress ta’rifi: litsenziyani chaqirib olish, sanatsiya, davlat kapitali yoki CR &lt; 0;</w:t>
      </w:r>
      <w:r>
        <w:t xml:space="preserve"> </w:t>
      </w:r>
      <w:r>
        <w:t xml:space="preserve">- probit modeli, MBII_{t−1} bilan;</w:t>
      </w:r>
      <w:r>
        <w:t xml:space="preserve"> </w:t>
      </w:r>
      <w:r>
        <w:t xml:space="preserve">- I va II tur xatolari, 1% va 10% kesishda;</w:t>
      </w:r>
      <w:r>
        <w:t xml:space="preserve"> </w:t>
      </w:r>
      <w:r>
        <w:t xml:space="preserve">- ln Z-score benchmark sifatida.</w:t>
      </w:r>
      <w:r>
        <w:t xml:space="preserve"> </w:t>
      </w:r>
      <w:r>
        <w:t xml:space="preserve">- §1.3 – CAMEL va bozorga asoslangan indikatorlar taqqosi (p.79–81). Bu O‘zbekistonda listingdagi banklar kamligi sababli buxgalteriya indeksini tanlashni asoslaydi.</w:t>
      </w:r>
      <w:r>
        <w:t xml:space="preserve"> </w:t>
      </w:r>
      <w:r>
        <w:t xml:space="preserve">- §3.1 – CR = (E + LLR − NPL)/TA ni aktivlar blokiga qo‘shimcha</w:t>
      </w:r>
      <w:r>
        <w:t xml:space="preserve"> </w:t>
      </w:r>
      <w:r>
        <w:t xml:space="preserve">“</w:t>
      </w:r>
      <w:r>
        <w:t xml:space="preserve">NPL qamrovi</w:t>
      </w:r>
      <w:r>
        <w:t xml:space="preserve">”</w:t>
      </w:r>
      <w:r>
        <w:t xml:space="preserve"> </w:t>
      </w:r>
      <w:r>
        <w:t xml:space="preserve">indikatori sifatida kiritish mumkin. Bu IFRS 9 ECL bilan bog‘liq.</w:t>
      </w:r>
      <w:r>
        <w:t xml:space="preserve"> </w:t>
      </w:r>
      <w:r>
        <w:t xml:space="preserve">- §1.1 – Thakorning to‘rt belgisi</w:t>
      </w:r>
      <w:r>
        <w:t xml:space="preserve"> </w:t>
      </w:r>
      <w:r>
        <w:t xml:space="preserve">“</w:t>
      </w:r>
      <w:r>
        <w:t xml:space="preserve">sog‘lom moliya tizimi</w:t>
      </w:r>
      <w:r>
        <w:t xml:space="preserve">”</w:t>
      </w:r>
      <w:r>
        <w:t xml:space="preserve"> </w:t>
      </w:r>
      <w:r>
        <w:t xml:space="preserve">va barqarorlik ta’riflari bo‘limi uchun. Barqarorlik</w:t>
      </w:r>
      <w:r>
        <w:t xml:space="preserve"> </w:t>
      </w:r>
      <w:r>
        <w:t xml:space="preserve">“</w:t>
      </w:r>
      <w:r>
        <w:t xml:space="preserve">bankrotlik nolga teng</w:t>
      </w:r>
      <w:r>
        <w:t xml:space="preserve">”</w:t>
      </w:r>
      <w:r>
        <w:t xml:space="preserve"> </w:t>
      </w:r>
      <w:r>
        <w:t xml:space="preserve">degani emas.</w:t>
      </w:r>
      <w:r>
        <w:t xml:space="preserve"> </w:t>
      </w:r>
      <w:r>
        <w:t xml:space="preserve">- §4.1 – Deng va boshqalarning regulyatsiya indekslarini (CAPS, SUPP, MARD) GMM modelida institutsional o‘zgaruvchi sifatida ishlatish mumkin.</w:t>
      </w:r>
    </w:p>
    <w:p>
      <w:pPr>
        <w:pStyle w:val="BodyText"/>
      </w:pPr>
      <w:r>
        <w:rPr>
          <w:bCs/>
          <w:b/>
        </w:rPr>
        <w:t xml:space="preserve">4. Iqtiboslar</w:t>
      </w:r>
      <w:r>
        <w:t xml:space="preserve"> </w:t>
      </w:r>
      <w:r>
        <w:t xml:space="preserve">-</w:t>
      </w:r>
      <w:r>
        <w:t xml:space="preserve"> </w:t>
      </w:r>
      <w:r>
        <w:t xml:space="preserve">“</w:t>
      </w:r>
      <w:r>
        <w:t xml:space="preserve">the Z-score is a reliable and parsimonious measure of bank distress because while it requires few data, it does not lose predictive power</w:t>
      </w:r>
      <w:r>
        <w:t xml:space="preserve">”</w:t>
      </w:r>
      <w:r>
        <w:t xml:space="preserve"> </w:t>
      </w:r>
      <w:r>
        <w:t xml:space="preserve">(p.93).</w:t>
      </w:r>
      <w:r>
        <w:t xml:space="preserve"> </w:t>
      </w:r>
      <w:r>
        <w:t xml:space="preserve">-</w:t>
      </w:r>
      <w:r>
        <w:t xml:space="preserve"> </w:t>
      </w:r>
      <w:r>
        <w:t xml:space="preserve">“</w:t>
      </w:r>
      <w:r>
        <w:t xml:space="preserve">the Z-score could be used by supervisors as an early-warning tool to detect the symptoms of bank distress and adopt prompt corrective actions (PCA)</w:t>
      </w:r>
      <w:r>
        <w:t xml:space="preserve">”</w:t>
      </w:r>
      <w:r>
        <w:t xml:space="preserve"> </w:t>
      </w:r>
      <w:r>
        <w:t xml:space="preserve">(p.93).</w:t>
      </w:r>
      <w:r>
        <w:t xml:space="preserve"> </w:t>
      </w:r>
      <w:r>
        <w:t xml:space="preserve">-</w:t>
      </w:r>
      <w:r>
        <w:t xml:space="preserve"> </w:t>
      </w:r>
      <w:r>
        <w:t xml:space="preserve">“</w:t>
      </w:r>
      <w:r>
        <w:t xml:space="preserve">supervisors, from a prudential perspective, are primarily concerned about missing a distressed bank</w:t>
      </w:r>
      <w:r>
        <w:t xml:space="preserve">”</w:t>
      </w:r>
      <w:r>
        <w:t xml:space="preserve"> </w:t>
      </w:r>
      <w:r>
        <w:t xml:space="preserve">(p.84–85).</w:t>
      </w:r>
      <w:r>
        <w:t xml:space="preserve"> </w:t>
      </w:r>
      <w:r>
        <w:t xml:space="preserve">-</w:t>
      </w:r>
      <w:r>
        <w:t xml:space="preserve"> </w:t>
      </w:r>
      <w:r>
        <w:t xml:space="preserve">“</w:t>
      </w:r>
      <w:r>
        <w:t xml:space="preserve">It is a crisis that looks like a liquidity crisis, but it is in fact a solvency crisis</w:t>
      </w:r>
      <w:r>
        <w:t xml:space="preserve">”</w:t>
      </w:r>
      <w:r>
        <w:t xml:space="preserve"> </w:t>
      </w:r>
      <w:r>
        <w:t xml:space="preserve">(p.11).</w:t>
      </w:r>
      <w:r>
        <w:t xml:space="preserve"> </w:t>
      </w:r>
      <w:r>
        <w:t xml:space="preserve">-</w:t>
      </w:r>
      <w:r>
        <w:t xml:space="preserve"> </w:t>
      </w:r>
      <w:r>
        <w:t xml:space="preserve">“</w:t>
      </w:r>
      <w:r>
        <w:t xml:space="preserve">A healthy financial system is not one that is never susceptible to a crisis</w:t>
      </w:r>
      <w:r>
        <w:t xml:space="preserve">”</w:t>
      </w:r>
      <w:r>
        <w:t xml:space="preserve"> </w:t>
      </w:r>
      <w:r>
        <w:t xml:space="preserve">(p.13).</w:t>
      </w:r>
      <w:r>
        <w:t xml:space="preserve"> </w:t>
      </w:r>
      <w:r>
        <w:t xml:space="preserve">-</w:t>
      </w:r>
      <w:r>
        <w:t xml:space="preserve"> </w:t>
      </w:r>
      <w:r>
        <w:t xml:space="preserve">“</w:t>
      </w:r>
      <w:r>
        <w:t xml:space="preserve">This confuses capital requirements with cash asset reserve requirements</w:t>
      </w:r>
      <w:r>
        <w:t xml:space="preserve">”</w:t>
      </w:r>
      <w:r>
        <w:t xml:space="preserve"> </w:t>
      </w:r>
      <w:r>
        <w:t xml:space="preserve">(p.14).</w:t>
      </w:r>
      <w:r>
        <w:t xml:space="preserve"> </w:t>
      </w:r>
      <w:r>
        <w:t xml:space="preserve">-</w:t>
      </w:r>
      <w:r>
        <w:t xml:space="preserve"> </w:t>
      </w:r>
      <w:r>
        <w:t xml:space="preserve">“</w:t>
      </w:r>
      <w:r>
        <w:t xml:space="preserve">These results highlight the importance of combining policies which aim to foster financial stability with policies which promote financial intermediation</w:t>
      </w:r>
      <w:r>
        <w:t xml:space="preserve">”</w:t>
      </w:r>
      <w:r>
        <w:t xml:space="preserve"> </w:t>
      </w:r>
      <w:r>
        <w:t xml:space="preserve">(p.125).</w:t>
      </w:r>
    </w:p>
    <w:p>
      <w:pPr>
        <w:pStyle w:val="BodyText"/>
      </w:pPr>
      <w:r>
        <w:rPr>
          <w:bCs/>
          <w:b/>
        </w:rPr>
        <w:t xml:space="preserve">5. Moslashtiriladigan jadval/formulalar</w:t>
      </w:r>
      <w:r>
        <w:t xml:space="preserve"> </w:t>
      </w:r>
      <w:r>
        <w:t xml:space="preserve">1. Z-score formulasi (5.2) va probit modeli (5.1), p.83.</w:t>
      </w:r>
      <w:r>
        <w:t xml:space="preserve"> </w:t>
      </w:r>
      <w:r>
        <w:t xml:space="preserve">2. O‘zgaruvchilar va kutilgan ishoralar, Table 5.1 (p.85).</w:t>
      </w:r>
      <w:r>
        <w:t xml:space="preserve"> </w:t>
      </w:r>
      <w:r>
        <w:t xml:space="preserve">3. Prognoz va xatolar matritsasi, Table 5.5 (p.94–95).</w:t>
      </w:r>
      <w:r>
        <w:t xml:space="preserve"> </w:t>
      </w:r>
      <w:r>
        <w:t xml:space="preserve">4. ln_Z sog‘lom va distressdagi banklarda, Table 5.2 (p.86).</w:t>
      </w:r>
      <w:r>
        <w:t xml:space="preserve"> </w:t>
      </w:r>
      <w:r>
        <w:t xml:space="preserve">5. Metafrontier formulasi (6.3) va o‘zgaruvchilar, Table 6.2 (p.116–117).</w:t>
      </w:r>
      <w:r>
        <w:t xml:space="preserve"> </w:t>
      </w:r>
      <w:r>
        <w:t xml:space="preserve">6. Thakorning to‘rt belgisi (p.16).</w:t>
      </w:r>
    </w:p>
    <w:bookmarkEnd w:id="98"/>
    <w:bookmarkStart w:id="106" w:name="X63eab94596e094c9db620b539823163bf65dca8"/>
    <w:p>
      <w:pPr>
        <w:pStyle w:val="Heading2"/>
      </w:pPr>
      <w:r>
        <w:t xml:space="preserve">14. Izzi L., Oricchio G., Vitale L. «Basel III Credit Rating Systems» (Palgrave, 2012)</w:t>
      </w:r>
    </w:p>
    <w:p>
      <w:pPr>
        <w:pStyle w:val="FirstParagraph"/>
      </w:pPr>
      <w:r>
        <w:rPr>
          <w:bCs/>
          <w:b/>
        </w:rPr>
        <w:t xml:space="preserve">Bibliografiya:</w:t>
      </w:r>
      <w:r>
        <w:t xml:space="preserve"> </w:t>
      </w:r>
      <w:r>
        <w:t xml:space="preserve">Izzi L., Oricchio G., Vitale L.</w:t>
      </w:r>
      <w:r>
        <w:t xml:space="preserve"> </w:t>
      </w:r>
      <w:r>
        <w:rPr>
          <w:iCs/>
          <w:i/>
        </w:rPr>
        <w:t xml:space="preserve">Basel III Credit Rating Systems: An Applied Guide to Quantitative and Qualitative Models.</w:t>
      </w:r>
      <w:r>
        <w:t xml:space="preserve"> </w:t>
      </w:r>
      <w:r>
        <w:t xml:space="preserve">– Basingstoke: Palgrave Macmillan, 2012. – xxii + 330 p.</w:t>
      </w:r>
    </w:p>
    <w:bookmarkStart w:id="99" w:name="ch.1.-kirish-emh-va-basel-iii-p.110"/>
    <w:p>
      <w:pPr>
        <w:pStyle w:val="Heading3"/>
      </w:pPr>
      <w:r>
        <w:t xml:space="preserve">Ch.1. Kirish: EMH va Basel III (p.1–10)</w:t>
      </w:r>
    </w:p>
    <w:p>
      <w:pPr>
        <w:numPr>
          <w:ilvl w:val="0"/>
          <w:numId w:val="1083"/>
        </w:numPr>
        <w:pStyle w:val="Compact"/>
      </w:pPr>
      <w:r>
        <w:t xml:space="preserve">Mualliflar samarali bozor gipotezasini (EMH) inkor qiladi. Ular cheklangan ratsionallik va</w:t>
      </w:r>
      <w:r>
        <w:t xml:space="preserve"> </w:t>
      </w:r>
      <w:r>
        <w:t xml:space="preserve">“</w:t>
      </w:r>
      <w:r>
        <w:t xml:space="preserve">adaptive market hypothesis</w:t>
      </w:r>
      <w:r>
        <w:t xml:space="preserve">”</w:t>
      </w:r>
      <w:r>
        <w:t xml:space="preserve"> </w:t>
      </w:r>
      <w:r>
        <w:t xml:space="preserve">g’oyasini taklif qiladi (p.1–2).</w:t>
      </w:r>
    </w:p>
    <w:p>
      <w:pPr>
        <w:numPr>
          <w:ilvl w:val="0"/>
          <w:numId w:val="1083"/>
        </w:numPr>
        <w:pStyle w:val="Compact"/>
      </w:pPr>
      <w:r>
        <w:t xml:space="preserve">Banklarning uch biznes-modeli ajratiladi: originate-and-distribute, originate-and-hold, originate-and-manage (p.3).</w:t>
      </w:r>
    </w:p>
    <w:p>
      <w:pPr>
        <w:numPr>
          <w:ilvl w:val="0"/>
          <w:numId w:val="1083"/>
        </w:numPr>
        <w:pStyle w:val="Compact"/>
      </w:pPr>
      <w:r>
        <w:t xml:space="preserve">Inqiroz natijalari: global yo’qotishlar 771,9 mlrd yevro, kapital oshirish esa 661,9 mlrd yevro bo’lgan (Table 1.1, p.4).</w:t>
      </w:r>
      <w:r>
        <w:t xml:space="preserve"> </w:t>
      </w:r>
      <w:r>
        <w:t xml:space="preserve">“</w:t>
      </w:r>
      <w:r>
        <w:t xml:space="preserve">Hard-to-value</w:t>
      </w:r>
      <w:r>
        <w:t xml:space="preserve">”</w:t>
      </w:r>
      <w:r>
        <w:t xml:space="preserve"> </w:t>
      </w:r>
      <w:r>
        <w:t xml:space="preserve">aktivlar kapitalning 23–175% ini tashkil etgan (p.4).</w:t>
      </w:r>
    </w:p>
    <w:p>
      <w:pPr>
        <w:numPr>
          <w:ilvl w:val="0"/>
          <w:numId w:val="1083"/>
        </w:numPr>
        <w:pStyle w:val="Compact"/>
      </w:pPr>
      <w:r>
        <w:t xml:space="preserve">Basel III kapital bo’yicha 4 element kiritadi (p.5–6): kapital sifati va shaffofligi; kontragent riskini qamrab olish; leverage ratio; kontrsiklik buferlar.</w:t>
      </w:r>
    </w:p>
    <w:p>
      <w:pPr>
        <w:numPr>
          <w:ilvl w:val="0"/>
          <w:numId w:val="1083"/>
        </w:numPr>
        <w:pStyle w:val="Compact"/>
      </w:pPr>
      <w:r>
        <w:t xml:space="preserve">Likvidlik bo’yicha 3 element (p.6): LCR, NSFR va monitoring vositalari.</w:t>
      </w:r>
    </w:p>
    <w:p>
      <w:pPr>
        <w:numPr>
          <w:ilvl w:val="0"/>
          <w:numId w:val="1083"/>
        </w:numPr>
        <w:pStyle w:val="Compact"/>
      </w:pPr>
      <w:r>
        <w:t xml:space="preserve">Asosiy tezis: rating modelining aniqlik koeffitsienti (AR) qancha yuqori bo’lsa, regulyativ kapital talabi shuncha past bo’ladi (p.6).</w:t>
      </w:r>
    </w:p>
    <w:bookmarkEnd w:id="99"/>
    <w:bookmarkStart w:id="100" w:name="X4a6b4fe1d1ba1f3958072bb3470e4785b019c5e"/>
    <w:p>
      <w:pPr>
        <w:pStyle w:val="Heading3"/>
      </w:pPr>
      <w:r>
        <w:t xml:space="preserve">3.2 Bank rating modeli (p.69–88; metodologiya 3.1 bilan umumiy)</w:t>
      </w:r>
    </w:p>
    <w:p>
      <w:pPr>
        <w:numPr>
          <w:ilvl w:val="0"/>
          <w:numId w:val="1084"/>
        </w:numPr>
        <w:pStyle w:val="Compact"/>
      </w:pPr>
      <w:r>
        <w:t xml:space="preserve">Bank va suveren uchun</w:t>
      </w:r>
      <w:r>
        <w:t xml:space="preserve"> </w:t>
      </w:r>
      <w:r>
        <w:t xml:space="preserve">“</w:t>
      </w:r>
      <w:r>
        <w:t xml:space="preserve">shadow rating</w:t>
      </w:r>
      <w:r>
        <w:t xml:space="preserve">”</w:t>
      </w:r>
      <w:r>
        <w:t xml:space="preserve"> </w:t>
      </w:r>
      <w:r>
        <w:t xml:space="preserve">yondashuvi qo’llanadi. Model tashqi reytinglarni takrorlaydi va regressiya tashqi PD larga nisbatan quriladi (Table 3.1, p.69).</w:t>
      </w:r>
    </w:p>
    <w:p>
      <w:pPr>
        <w:numPr>
          <w:ilvl w:val="0"/>
          <w:numId w:val="1084"/>
        </w:numPr>
        <w:pStyle w:val="Compact"/>
      </w:pPr>
      <w:r>
        <w:t xml:space="preserve">Ma’lumotga talablar (p.69):</w:t>
      </w:r>
    </w:p>
    <w:p>
      <w:pPr>
        <w:numPr>
          <w:ilvl w:val="1"/>
          <w:numId w:val="1085"/>
        </w:numPr>
        <w:pStyle w:val="Compact"/>
      </w:pPr>
      <w:r>
        <w:t xml:space="preserve">ishlab chiqish uchun kamida 100 ta reytinglangan kontragent;</w:t>
      </w:r>
    </w:p>
    <w:p>
      <w:pPr>
        <w:numPr>
          <w:ilvl w:val="1"/>
          <w:numId w:val="1085"/>
        </w:numPr>
        <w:pStyle w:val="Compact"/>
      </w:pPr>
      <w:r>
        <w:t xml:space="preserve">validatsiya uchun kamida 50 ta;</w:t>
      </w:r>
    </w:p>
    <w:p>
      <w:pPr>
        <w:numPr>
          <w:ilvl w:val="1"/>
          <w:numId w:val="1085"/>
        </w:numPr>
        <w:pStyle w:val="Compact"/>
      </w:pPr>
      <w:r>
        <w:t xml:space="preserve">good/bad yondashuvida har bir izohlovchi o’zgaruvchiga kamida 30 ta defolt.</w:t>
      </w:r>
    </w:p>
    <w:p>
      <w:pPr>
        <w:numPr>
          <w:ilvl w:val="0"/>
          <w:numId w:val="1084"/>
        </w:numPr>
        <w:pStyle w:val="Compact"/>
      </w:pPr>
      <w:r>
        <w:t xml:space="preserve">Agentlik reytingini PD ga o’tkazish shkalasi, 12 daraja (Table 3.2, p.70): 0,01; 0,03; 0,07; 0,12; 0,24; 0,40; 0,70; 1,20; 3,50; 6,10; 10,5; 20,0%.</w:t>
      </w:r>
    </w:p>
    <w:p>
      <w:pPr>
        <w:numPr>
          <w:ilvl w:val="0"/>
          <w:numId w:val="1084"/>
        </w:numPr>
        <w:pStyle w:val="Compact"/>
      </w:pPr>
      <w:r>
        <w:t xml:space="preserve">Bir nechta tashqi reyting bo’lsa, ularning o’rtachasi olinadi: PD_external = (1/n)·ΣPD_i (p.72). Omillar t yilga, tashqi PD esa t+1 yilga bog’lanadi.</w:t>
      </w:r>
    </w:p>
    <w:p>
      <w:pPr>
        <w:numPr>
          <w:ilvl w:val="0"/>
          <w:numId w:val="1084"/>
        </w:numPr>
        <w:pStyle w:val="Compact"/>
      </w:pPr>
      <w:r>
        <w:t xml:space="preserve">Sifat savolnomasi 1 (yaxshi) dan 5 (yomon) gacha shkalada baholanadi va har bir savolga yo’riqnoma beriladi (p.73).</w:t>
      </w:r>
    </w:p>
    <w:p>
      <w:pPr>
        <w:numPr>
          <w:ilvl w:val="0"/>
          <w:numId w:val="1084"/>
        </w:numPr>
        <w:pStyle w:val="Compact"/>
      </w:pPr>
      <w:r>
        <w:t xml:space="preserve">Univariat bosqich: tozalash, outlier larni chiqarish, normallashtirish. Bashorat kuchi</w:t>
      </w:r>
      <w:r>
        <w:t xml:space="preserve"> </w:t>
      </w:r>
      <w:r>
        <w:t xml:space="preserve">“</w:t>
      </w:r>
      <w:r>
        <w:t xml:space="preserve">shadow accuracy ratio</w:t>
      </w:r>
      <w:r>
        <w:t xml:space="preserve">”</w:t>
      </w:r>
      <w:r>
        <w:t xml:space="preserve"> </w:t>
      </w:r>
      <w:r>
        <w:t xml:space="preserve">bilan o’lchanadi (p.74–75):</w:t>
      </w:r>
    </w:p>
    <w:p>
      <w:pPr>
        <w:numPr>
          <w:ilvl w:val="1"/>
          <w:numId w:val="1086"/>
        </w:numPr>
        <w:pStyle w:val="Compact"/>
      </w:pPr>
      <w:r>
        <w:t xml:space="preserve">SCDF_i = SCDF_{i−1} + PD_i/ΣPD_j;</w:t>
      </w:r>
    </w:p>
    <w:p>
      <w:pPr>
        <w:numPr>
          <w:ilvl w:val="1"/>
          <w:numId w:val="1086"/>
        </w:numPr>
        <w:pStyle w:val="Compact"/>
      </w:pPr>
      <w:r>
        <w:t xml:space="preserve">RP = A/(A+B);</w:t>
      </w:r>
    </w:p>
    <w:p>
      <w:pPr>
        <w:numPr>
          <w:ilvl w:val="1"/>
          <w:numId w:val="1086"/>
        </w:numPr>
        <w:pStyle w:val="Compact"/>
      </w:pPr>
      <w:r>
        <w:t xml:space="preserve">SAR = RP_model / RP_shadow.</w:t>
      </w:r>
    </w:p>
    <w:p>
      <w:pPr>
        <w:numPr>
          <w:ilvl w:val="0"/>
          <w:numId w:val="1084"/>
        </w:numPr>
        <w:pStyle w:val="Compact"/>
      </w:pPr>
      <w:r>
        <w:t xml:space="preserve">Multivariat bosqich (p.76):</w:t>
      </w:r>
    </w:p>
    <w:p>
      <w:pPr>
        <w:numPr>
          <w:ilvl w:val="1"/>
          <w:numId w:val="1087"/>
        </w:numPr>
        <w:pStyle w:val="Compact"/>
      </w:pPr>
      <w:r>
        <w:t xml:space="preserve">ln((1−PD)/PD) = β0 + Σβ_j·x_j, OLS bilan baholanadi;</w:t>
      </w:r>
    </w:p>
    <w:p>
      <w:pPr>
        <w:numPr>
          <w:ilvl w:val="1"/>
          <w:numId w:val="1087"/>
        </w:numPr>
        <w:pStyle w:val="Compact"/>
      </w:pPr>
      <w:r>
        <w:t xml:space="preserve">Score = Σα_j·x_j, bu yerda α_j = β_j/Σβ_k va Σα_j = 1 (intersept kiritilmaydi);</w:t>
      </w:r>
    </w:p>
    <w:p>
      <w:pPr>
        <w:numPr>
          <w:ilvl w:val="1"/>
          <w:numId w:val="1087"/>
        </w:numPr>
        <w:pStyle w:val="Compact"/>
      </w:pPr>
      <w:r>
        <w:t xml:space="preserve">stepwise ahamiyatlilik darajasi 1–10%.</w:t>
      </w:r>
    </w:p>
    <w:p>
      <w:pPr>
        <w:numPr>
          <w:ilvl w:val="0"/>
          <w:numId w:val="1084"/>
        </w:numPr>
        <w:pStyle w:val="Compact"/>
      </w:pPr>
      <w:r>
        <w:t xml:space="preserve">Korrelyatsiya qoidasi: ikki omil orasidagi korrelyatsiya har bir omilning bog’liq o’zgaruvchi bilan korrelyatsiyasidan kichik bo’lishi kerak (p.77).</w:t>
      </w:r>
    </w:p>
    <w:p>
      <w:pPr>
        <w:numPr>
          <w:ilvl w:val="0"/>
          <w:numId w:val="1084"/>
        </w:numPr>
        <w:pStyle w:val="Compact"/>
      </w:pPr>
      <w:r>
        <w:t xml:space="preserve">Kalibrlash logit yoki eksponensial egri chiziq bilan bajariladi. Model sinfi tashqi reytingdan 1–2 notch dan ortiq farq qilmasligi kerak (p.77).</w:t>
      </w:r>
    </w:p>
    <w:p>
      <w:pPr>
        <w:numPr>
          <w:ilvl w:val="0"/>
          <w:numId w:val="1084"/>
        </w:numPr>
        <w:pStyle w:val="Compact"/>
      </w:pPr>
      <w:r>
        <w:t xml:space="preserve">Bank uchun omillar ro’yxati (Table 3.6, p.81–82):</w:t>
      </w:r>
    </w:p>
    <w:p>
      <w:pPr>
        <w:numPr>
          <w:ilvl w:val="1"/>
          <w:numId w:val="1088"/>
        </w:numPr>
        <w:pStyle w:val="Compact"/>
      </w:pPr>
      <w:r>
        <w:t xml:space="preserve">Kapitallashuv: Tier 1 ratio, Total capital ratio, Equity/Assets, Equity/Loans, ichki kapital o’sishi;</w:t>
      </w:r>
    </w:p>
    <w:p>
      <w:pPr>
        <w:numPr>
          <w:ilvl w:val="1"/>
          <w:numId w:val="1088"/>
        </w:numPr>
        <w:pStyle w:val="Compact"/>
      </w:pPr>
      <w:r>
        <w:t xml:space="preserve">Funding &amp; liquidity: Liquid assets/TA, Liquid assets/(ST+customer funding), Interbank funding/Total funding, Customer funds/Loans va boshqalar;</w:t>
      </w:r>
    </w:p>
    <w:p>
      <w:pPr>
        <w:numPr>
          <w:ilvl w:val="1"/>
          <w:numId w:val="1088"/>
        </w:numPr>
        <w:pStyle w:val="Compact"/>
      </w:pPr>
      <w:r>
        <w:t xml:space="preserve">Rentabellik: ROA, ROE, Cost/Income, NII/ATA, PBT/ATA va boshqalar;</w:t>
      </w:r>
    </w:p>
    <w:p>
      <w:pPr>
        <w:numPr>
          <w:ilvl w:val="1"/>
          <w:numId w:val="1088"/>
        </w:numPr>
        <w:pStyle w:val="Compact"/>
      </w:pPr>
      <w:r>
        <w:t xml:space="preserve">Aktivlar sifati: NPL/Gross loans, LLR/NPL, (NPL−LLP)/Equity, LLP/Operating income, kredit o’sishi;</w:t>
      </w:r>
    </w:p>
    <w:p>
      <w:pPr>
        <w:numPr>
          <w:ilvl w:val="1"/>
          <w:numId w:val="1088"/>
        </w:numPr>
        <w:pStyle w:val="Compact"/>
      </w:pPr>
      <w:r>
        <w:t xml:space="preserve">Hajm: Total assets, Equity, Tier 1.</w:t>
      </w:r>
    </w:p>
    <w:p>
      <w:pPr>
        <w:numPr>
          <w:ilvl w:val="0"/>
          <w:numId w:val="1084"/>
        </w:numPr>
        <w:pStyle w:val="Compact"/>
      </w:pPr>
      <w:r>
        <w:t xml:space="preserve">Sifat omillari (Table 3.7, p.83): mamlakat (regulyatsiya, zaxira yaratish tartibi, sektor konsentratsiyasi); menejment (strategiya, risk-menejment, shaffoflik); biznes (diversifikatsiya, bozor pozitsiyasi); funding (depozit barqarorligi, FX likvidlik); bozor va kredit riski.</w:t>
      </w:r>
    </w:p>
    <w:p>
      <w:pPr>
        <w:numPr>
          <w:ilvl w:val="0"/>
          <w:numId w:val="1084"/>
        </w:numPr>
        <w:pStyle w:val="Compact"/>
      </w:pPr>
      <w:r>
        <w:t xml:space="preserve">Rivojlangan mamlakat banki modeli (Table 3.8, p.84): miqdoriy modul 70%, sifat moduli 30%.</w:t>
      </w:r>
    </w:p>
    <w:p>
      <w:pPr>
        <w:numPr>
          <w:ilvl w:val="1"/>
          <w:numId w:val="1089"/>
        </w:numPr>
        <w:pStyle w:val="Compact"/>
      </w:pPr>
      <w:r>
        <w:t xml:space="preserve">Miqdoriy modul ichida: Tier 1 – 13; Liquid assets/TA – 10; Cost/Income – 20; LLP/Operating income – 22; Total equity – 35.</w:t>
      </w:r>
    </w:p>
    <w:p>
      <w:pPr>
        <w:numPr>
          <w:ilvl w:val="1"/>
          <w:numId w:val="1089"/>
        </w:numPr>
        <w:pStyle w:val="Compact"/>
      </w:pPr>
      <w:r>
        <w:t xml:space="preserve">Sifat moduli ichida: Transparency – 35; Risk management – 22; Asset quality – 14; Market risk – 10; Regulation – 6; Market position – 5; Strategy – 4; Org. structure – 4.</w:t>
      </w:r>
    </w:p>
    <w:p>
      <w:pPr>
        <w:numPr>
          <w:ilvl w:val="0"/>
          <w:numId w:val="1084"/>
        </w:numPr>
        <w:pStyle w:val="Compact"/>
      </w:pPr>
      <w:r>
        <w:t xml:space="preserve">Rivojlanayotgan mamlakat banki modeli (Table 3.9, p.85): miqdoriy modul 80%, sifat moduli 20%.</w:t>
      </w:r>
    </w:p>
    <w:p>
      <w:pPr>
        <w:numPr>
          <w:ilvl w:val="1"/>
          <w:numId w:val="1090"/>
        </w:numPr>
        <w:pStyle w:val="Compact"/>
      </w:pPr>
      <w:r>
        <w:t xml:space="preserve">Miqdoriy modul ichida: Equity/TA – 10; Net interest expense/Avg funding – 20; Overheads/ATA – 22; Loan growth – 8; LLR/Gross loans – 12; Total assets – 28.</w:t>
      </w:r>
    </w:p>
    <w:p>
      <w:pPr>
        <w:numPr>
          <w:ilvl w:val="1"/>
          <w:numId w:val="1090"/>
        </w:numPr>
        <w:pStyle w:val="Compact"/>
      </w:pPr>
      <w:r>
        <w:t xml:space="preserve">Sifat moduli ichida: FX liquidity – 30; Mgmt stability – 15; Asset quality – 15; Sector concentration – 10; Risk management – 10; qolganlari 5 dan.</w:t>
      </w:r>
    </w:p>
    <w:p>
      <w:pPr>
        <w:numPr>
          <w:ilvl w:val="0"/>
          <w:numId w:val="1084"/>
        </w:numPr>
        <w:pStyle w:val="Compact"/>
      </w:pPr>
      <w:r>
        <w:t xml:space="preserve">Ona kompaniya qo’llovi (Fig. 3.3, Table 3.10, p.80–86): PD_adj = w·PD_Parent + (1−w)·PD_Bank.</w:t>
      </w:r>
    </w:p>
    <w:p>
      <w:pPr>
        <w:numPr>
          <w:ilvl w:val="1"/>
          <w:numId w:val="1091"/>
        </w:numPr>
        <w:pStyle w:val="Compact"/>
      </w:pPr>
      <w:r>
        <w:t xml:space="preserve">Support matritsasi: to’liq kafolatda w = 95–100%; kovenantlar bo’lsa 0–80%; yozma majburiyat bo’lmasa 0–60%.</w:t>
      </w:r>
    </w:p>
    <w:p>
      <w:pPr>
        <w:numPr>
          <w:ilvl w:val="1"/>
          <w:numId w:val="1091"/>
        </w:numPr>
        <w:pStyle w:val="Compact"/>
      </w:pPr>
      <w:r>
        <w:t xml:space="preserve">Penalty matritsasi (ona bank zaif bo’lsa): w = 0–100%.</w:t>
      </w:r>
    </w:p>
    <w:p>
      <w:pPr>
        <w:numPr>
          <w:ilvl w:val="0"/>
          <w:numId w:val="1084"/>
        </w:numPr>
        <w:pStyle w:val="Compact"/>
      </w:pPr>
      <w:r>
        <w:t xml:space="preserve">Davlat qo’llovi (Table 3.11, Fig. 3.4, p.87–88):</w:t>
      </w:r>
    </w:p>
    <w:p>
      <w:pPr>
        <w:numPr>
          <w:ilvl w:val="1"/>
          <w:numId w:val="1092"/>
        </w:numPr>
        <w:pStyle w:val="Compact"/>
      </w:pPr>
      <w:r>
        <w:t xml:space="preserve">davlat ulushi &gt;50% yoki to’liq kafolat bo’lsa w = 100%;</w:t>
      </w:r>
    </w:p>
    <w:p>
      <w:pPr>
        <w:numPr>
          <w:ilvl w:val="1"/>
          <w:numId w:val="1092"/>
        </w:numPr>
        <w:pStyle w:val="Compact"/>
      </w:pPr>
      <w:r>
        <w:t xml:space="preserve">implitsit qo’llov bankning hajm reytingiga bog’liq: Top-5 uchun 80/50%, Top-6–10 uchun 70/40%, Top-11–20 uchun 50/30%, Top-21–30 uchun 30/15% (mos ravishda</w:t>
      </w:r>
      <w:r>
        <w:t xml:space="preserve"> </w:t>
      </w:r>
      <w:r>
        <w:t xml:space="preserve">“</w:t>
      </w:r>
      <w:r>
        <w:t xml:space="preserve">juda qo’llab-quvvatlovchi</w:t>
      </w:r>
      <w:r>
        <w:t xml:space="preserve">”</w:t>
      </w:r>
      <w:r>
        <w:t xml:space="preserve"> </w:t>
      </w:r>
      <w:r>
        <w:t xml:space="preserve">va</w:t>
      </w:r>
      <w:r>
        <w:t xml:space="preserve"> </w:t>
      </w:r>
      <w:r>
        <w:t xml:space="preserve">“</w:t>
      </w:r>
      <w:r>
        <w:t xml:space="preserve">o’rtacha</w:t>
      </w:r>
      <w:r>
        <w:t xml:space="preserve">”</w:t>
      </w:r>
      <w:r>
        <w:t xml:space="preserve"> </w:t>
      </w:r>
      <w:r>
        <w:t xml:space="preserve">muhit).</w:t>
      </w:r>
    </w:p>
    <w:p>
      <w:pPr>
        <w:numPr>
          <w:ilvl w:val="1"/>
          <w:numId w:val="1092"/>
        </w:numPr>
        <w:pStyle w:val="Compact"/>
      </w:pPr>
      <w:r>
        <w:t xml:space="preserve">Ham ona bank, ham davlat qo’llovi bo’lsa, yakuniy PD sifatida tuzatilgan PD larning min, o’rtacha yoki max qiymati olinadi (p.84).</w:t>
      </w:r>
    </w:p>
    <w:bookmarkEnd w:id="100"/>
    <w:bookmarkStart w:id="101" w:name="ch.6-validatsiya-p.114146"/>
    <w:p>
      <w:pPr>
        <w:pStyle w:val="Heading3"/>
      </w:pPr>
      <w:r>
        <w:t xml:space="preserve">Ch.6 Validatsiya (p.114–146)</w:t>
      </w:r>
    </w:p>
    <w:p>
      <w:pPr>
        <w:numPr>
          <w:ilvl w:val="0"/>
          <w:numId w:val="1093"/>
        </w:numPr>
        <w:pStyle w:val="Compact"/>
      </w:pPr>
      <w:r>
        <w:t xml:space="preserve">Validatsiya kamida yiliga bir marta o’tkaziladi. Hayot sikli: boshlang’ich validatsiya, monitoring (yil ichida), to’liq qayta validatsiya (Fig. 6.1, p.114–115).</w:t>
      </w:r>
    </w:p>
    <w:p>
      <w:pPr>
        <w:numPr>
          <w:ilvl w:val="0"/>
          <w:numId w:val="1093"/>
        </w:numPr>
        <w:pStyle w:val="Compact"/>
      </w:pPr>
      <w:r>
        <w:t xml:space="preserve">Uch soha tekshiriladi: model, jarayon va IT tizimi (Fig. 6.2, p.116).</w:t>
      </w:r>
    </w:p>
    <w:p>
      <w:pPr>
        <w:numPr>
          <w:ilvl w:val="0"/>
          <w:numId w:val="1093"/>
        </w:numPr>
        <w:pStyle w:val="Compact"/>
      </w:pPr>
      <w:r>
        <w:t xml:space="preserve">Master shkala: defoltsiz qarzdorlar uchun kamida 7 daraja va defolt uchun 1 daraja; bitta darajada ortiqcha konsentratsiya bo’lmasligi kerak (Table 6.1, p.118–119).</w:t>
      </w:r>
    </w:p>
    <w:p>
      <w:pPr>
        <w:numPr>
          <w:ilvl w:val="0"/>
          <w:numId w:val="1093"/>
        </w:numPr>
        <w:pStyle w:val="Compact"/>
      </w:pPr>
      <w:r>
        <w:t xml:space="preserve">Tekshiriladigan ko’rsatkichlar ro’yxati (Table 6.3, p.122–123):</w:t>
      </w:r>
    </w:p>
    <w:p>
      <w:pPr>
        <w:numPr>
          <w:ilvl w:val="1"/>
          <w:numId w:val="1094"/>
        </w:numPr>
        <w:pStyle w:val="Compact"/>
      </w:pPr>
      <w:r>
        <w:t xml:space="preserve">diskriminatsiya: CAP/ROC, AR, AUROC, Gini*, FAR/HR/MR, KS, Pietra, CIER, IV, Brier;</w:t>
      </w:r>
    </w:p>
    <w:p>
      <w:pPr>
        <w:numPr>
          <w:ilvl w:val="1"/>
          <w:numId w:val="1094"/>
        </w:numPr>
        <w:pStyle w:val="Compact"/>
      </w:pPr>
      <w:r>
        <w:t xml:space="preserve">kalibrlash: binomial test, Hosmer–Lemeshow, traffic light;</w:t>
      </w:r>
    </w:p>
    <w:p>
      <w:pPr>
        <w:numPr>
          <w:ilvl w:val="1"/>
          <w:numId w:val="1094"/>
        </w:numPr>
        <w:pStyle w:val="Compact"/>
      </w:pPr>
      <w:r>
        <w:t xml:space="preserve">barqarorlik: PSI, HHI, PR, M1C/M2C, rating reversal.</w:t>
      </w:r>
    </w:p>
    <w:p>
      <w:pPr>
        <w:numPr>
          <w:ilvl w:val="0"/>
          <w:numId w:val="1093"/>
        </w:numPr>
        <w:pStyle w:val="Compact"/>
      </w:pPr>
      <w:r>
        <w:t xml:space="preserve">AR (Gini) 0 dan 1 gacha o’zgaradi. CAP egri chizig’i ideal va tasodifiy model egri chiziqlari orasida yotadi (p.134).</w:t>
      </w:r>
    </w:p>
    <w:p>
      <w:pPr>
        <w:numPr>
          <w:ilvl w:val="0"/>
          <w:numId w:val="1093"/>
        </w:numPr>
        <w:pStyle w:val="Compact"/>
      </w:pPr>
      <w:r>
        <w:t xml:space="preserve">AUROC tasodifiy modelda 0,5 ga, ideal modelda 1 ga teng. Bog’liqlik:</w:t>
      </w:r>
      <w:r>
        <w:t xml:space="preserve"> </w:t>
      </w:r>
      <w:r>
        <w:rPr>
          <w:bCs/>
          <w:b/>
        </w:rPr>
        <w:t xml:space="preserve">AR = 2·AUROC − 1</w:t>
      </w:r>
      <w:r>
        <w:t xml:space="preserve"> </w:t>
      </w:r>
      <w:r>
        <w:t xml:space="preserve">(p.135).</w:t>
      </w:r>
    </w:p>
    <w:p>
      <w:pPr>
        <w:numPr>
          <w:ilvl w:val="0"/>
          <w:numId w:val="1093"/>
        </w:numPr>
        <w:pStyle w:val="Compact"/>
      </w:pPr>
      <w:r>
        <w:t xml:space="preserve">Tuzatilgan Gini:</w:t>
      </w:r>
      <w:r>
        <w:t xml:space="preserve"> </w:t>
      </w:r>
      <w:r>
        <w:rPr>
          <w:bCs/>
          <w:b/>
        </w:rPr>
        <w:t xml:space="preserve">Gini* = AR·(1 − DR)</w:t>
      </w:r>
      <w:r>
        <w:t xml:space="preserve">, bu yerda DR – tanlanmadagi defolt ulushi (p.136).</w:t>
      </w:r>
    </w:p>
    <w:p>
      <w:pPr>
        <w:numPr>
          <w:ilvl w:val="0"/>
          <w:numId w:val="1093"/>
        </w:numPr>
        <w:pStyle w:val="Compact"/>
      </w:pPr>
      <w:r>
        <w:t xml:space="preserve">Kontingensiya jadvali (Table 6.11, p.136): misolda I tur xatosi 30%, II tur xatosi (FAR) 20%. I tur xatosi qimmatroq, chunki asosiy qarz va foiz yo’qotiladi. Misolda HR = 70%, MR = 25% (Table 6.12, p.137).</w:t>
      </w:r>
    </w:p>
    <w:p>
      <w:pPr>
        <w:numPr>
          <w:ilvl w:val="0"/>
          <w:numId w:val="1093"/>
        </w:numPr>
        <w:pStyle w:val="Compact"/>
      </w:pPr>
      <w:r>
        <w:t xml:space="preserve">KS – good va bad taqsimotlarining kumulyativ funksiyalari orasidagi maksimal vertikal masofa, [0;1] oralig’ida (p.137).</w:t>
      </w:r>
    </w:p>
    <w:p>
      <w:pPr>
        <w:numPr>
          <w:ilvl w:val="0"/>
          <w:numId w:val="1093"/>
        </w:numPr>
        <w:pStyle w:val="Compact"/>
      </w:pPr>
      <w:r>
        <w:t xml:space="preserve">Kalibrlash testlari (p.139–142):</w:t>
      </w:r>
    </w:p>
    <w:p>
      <w:pPr>
        <w:numPr>
          <w:ilvl w:val="1"/>
          <w:numId w:val="1095"/>
        </w:numPr>
        <w:pStyle w:val="Compact"/>
      </w:pPr>
      <w:r>
        <w:t xml:space="preserve">binomial test bir tomonlama. H0:</w:t>
      </w:r>
      <w:r>
        <w:t xml:space="preserve"> </w:t>
      </w:r>
      <w:r>
        <w:t xml:space="preserve">“</w:t>
      </w:r>
      <w:r>
        <w:t xml:space="preserve">sinf PD si to’g’ri</w:t>
      </w:r>
      <w:r>
        <w:t xml:space="preserve">”</w:t>
      </w:r>
      <w:r>
        <w:t xml:space="preserve">, H1:</w:t>
      </w:r>
      <w:r>
        <w:t xml:space="preserve"> </w:t>
      </w:r>
      <w:r>
        <w:t xml:space="preserve">“</w:t>
      </w:r>
      <w:r>
        <w:t xml:space="preserve">PD past baholangan</w:t>
      </w:r>
      <w:r>
        <w:t xml:space="preserve">”</w:t>
      </w:r>
      <w:r>
        <w:t xml:space="preserve">. Aktivlar korrelyatsiyasi bilan va korrelyatsiyasiz variantlari bor;</w:t>
      </w:r>
    </w:p>
    <w:p>
      <w:pPr>
        <w:numPr>
          <w:ilvl w:val="1"/>
          <w:numId w:val="1095"/>
        </w:numPr>
        <w:pStyle w:val="Compact"/>
      </w:pPr>
      <w:r>
        <w:t xml:space="preserve">Hosmer–Lemeshow χ² butun portfel bo’yicha ham past, ham yuqori baholashni aniqlaydi;</w:t>
      </w:r>
    </w:p>
    <w:p>
      <w:pPr>
        <w:numPr>
          <w:ilvl w:val="1"/>
          <w:numId w:val="1095"/>
        </w:numPr>
        <w:pStyle w:val="Compact"/>
      </w:pPr>
      <w:r>
        <w:t xml:space="preserve">traffic light: DR &lt; PD_inf bo’lsa</w:t>
      </w:r>
      <w:r>
        <w:t xml:space="preserve"> </w:t>
      </w:r>
      <w:r>
        <w:t xml:space="preserve">“</w:t>
      </w:r>
      <w:r>
        <w:t xml:space="preserve">yashil</w:t>
      </w:r>
      <w:r>
        <w:t xml:space="preserve">”</w:t>
      </w:r>
      <w:r>
        <w:t xml:space="preserve">, DR &gt; PD_sup bo’lsa</w:t>
      </w:r>
      <w:r>
        <w:t xml:space="preserve"> </w:t>
      </w:r>
      <w:r>
        <w:t xml:space="preserve">“</w:t>
      </w:r>
      <w:r>
        <w:t xml:space="preserve">qizil</w:t>
      </w:r>
      <w:r>
        <w:t xml:space="preserve">”</w:t>
      </w:r>
      <w:r>
        <w:t xml:space="preserve">, oradagi holat</w:t>
      </w:r>
      <w:r>
        <w:t xml:space="preserve"> </w:t>
      </w:r>
      <w:r>
        <w:t xml:space="preserve">“</w:t>
      </w:r>
      <w:r>
        <w:t xml:space="preserve">sariq</w:t>
      </w:r>
      <w:r>
        <w:t xml:space="preserve">”</w:t>
      </w:r>
      <w:r>
        <w:t xml:space="preserve">.</w:t>
      </w:r>
    </w:p>
    <w:p>
      <w:pPr>
        <w:numPr>
          <w:ilvl w:val="0"/>
          <w:numId w:val="1093"/>
        </w:numPr>
        <w:pStyle w:val="Compact"/>
      </w:pPr>
      <w:r>
        <w:t xml:space="preserve">10 sinfli misol (Table 6.14, p.140): portfel DR = 4,67%. Masalan, 7-sinfda DR 8,70%, PD 7,49%; 10-sinfda DR 36,09%, PD 40,17%.</w:t>
      </w:r>
    </w:p>
    <w:p>
      <w:pPr>
        <w:numPr>
          <w:ilvl w:val="0"/>
          <w:numId w:val="1093"/>
        </w:numPr>
        <w:pStyle w:val="Compact"/>
      </w:pPr>
      <w:r>
        <w:t xml:space="preserve">PSI = Σ(P_i − C_i)·ln(P_i/C_i). Kichik qiymat barqarorlikni bildiradi (p.142–143).</w:t>
      </w:r>
    </w:p>
    <w:p>
      <w:pPr>
        <w:numPr>
          <w:ilvl w:val="0"/>
          <w:numId w:val="1093"/>
        </w:numPr>
        <w:pStyle w:val="Compact"/>
      </w:pPr>
      <w:r>
        <w:t xml:space="preserve">Rating reversal misoli: 3 yil davomida 87,6% barqaror, 12,4% teskari harakat (Table 6.15, p.143).</w:t>
      </w:r>
    </w:p>
    <w:bookmarkEnd w:id="101"/>
    <w:bookmarkStart w:id="102" w:name="X9dad6819a3cdefcb4548b2989b9221a168ee5da"/>
    <w:p>
      <w:pPr>
        <w:pStyle w:val="Heading3"/>
      </w:pPr>
      <w:r>
        <w:t xml:space="preserve">8.5–8.9 Stand-alone drayverlar va qo’llov (p.161–178)</w:t>
      </w:r>
    </w:p>
    <w:p>
      <w:pPr>
        <w:numPr>
          <w:ilvl w:val="0"/>
          <w:numId w:val="1096"/>
        </w:numPr>
        <w:pStyle w:val="Compact"/>
      </w:pPr>
      <w:r>
        <w:t xml:space="preserve">Mamlakat riski (p.161–163). Ishlatiladigan reyting turlari: CAR (country average rating), MRC (korporativ qarzdor uchun maksimal reyting) va suveren reyting. Stand-alone reyting MRC dan oshmasligi kerak.</w:t>
      </w:r>
    </w:p>
    <w:p>
      <w:pPr>
        <w:numPr>
          <w:ilvl w:val="0"/>
          <w:numId w:val="1096"/>
        </w:numPr>
        <w:pStyle w:val="Compact"/>
      </w:pPr>
      <w:r>
        <w:t xml:space="preserve">Sifat mezonlari (p.163–167): muhit va sektor; sektordagi pozitsiya (8 pog’onali shkala:</w:t>
      </w:r>
      <w:r>
        <w:t xml:space="preserve"> </w:t>
      </w:r>
      <w:r>
        <w:t xml:space="preserve">“</w:t>
      </w:r>
      <w:r>
        <w:t xml:space="preserve">industry leader</w:t>
      </w:r>
      <w:r>
        <w:t xml:space="preserve">”</w:t>
      </w:r>
      <w:r>
        <w:t xml:space="preserve"> </w:t>
      </w:r>
      <w:r>
        <w:t xml:space="preserve">dan</w:t>
      </w:r>
      <w:r>
        <w:t xml:space="preserve"> </w:t>
      </w:r>
      <w:r>
        <w:t xml:space="preserve">“</w:t>
      </w:r>
      <w:r>
        <w:t xml:space="preserve">weak competitor</w:t>
      </w:r>
      <w:r>
        <w:t xml:space="preserve">”</w:t>
      </w:r>
      <w:r>
        <w:t xml:space="preserve"> </w:t>
      </w:r>
      <w:r>
        <w:t xml:space="preserve">gacha); menejment (7 pog’ona: excellent → unacceptable); tashqi likvidlik manbalari (8 pog’ona).</w:t>
      </w:r>
    </w:p>
    <w:p>
      <w:pPr>
        <w:numPr>
          <w:ilvl w:val="0"/>
          <w:numId w:val="1096"/>
        </w:numPr>
        <w:pStyle w:val="Compact"/>
      </w:pPr>
      <w:r>
        <w:t xml:space="preserve">Moliyaviy tahlil 3 yillik o’rtachalar asosida olib boriladi (p.168). Agentlik koeffitsientlari keltiriladi (p.171).</w:t>
      </w:r>
    </w:p>
    <w:p>
      <w:pPr>
        <w:numPr>
          <w:ilvl w:val="0"/>
          <w:numId w:val="1096"/>
        </w:numPr>
        <w:pStyle w:val="Compact"/>
      </w:pPr>
      <w:r>
        <w:t xml:space="preserve">Qo’llovning umumiy tamoyillari (p.171–172): qo’llov global xususiyatga ega; yuridik kafolat qo’llov hisoblanmaydi (u GRR ga, ya’ni qaytarish darajasiga ta’sir qiladi); faqat bitta qo’llovchi subyekt hisobga olinadi.</w:t>
      </w:r>
    </w:p>
    <w:p>
      <w:pPr>
        <w:numPr>
          <w:ilvl w:val="0"/>
          <w:numId w:val="1096"/>
        </w:numPr>
        <w:pStyle w:val="Compact"/>
      </w:pPr>
      <w:r>
        <w:t xml:space="preserve">Qo’llovchi subyektni aniqlash mezonlari (p.173): strategik ahamiyat, brend, funding, ulush, track record, dividendlar va boshqalar.</w:t>
      </w:r>
    </w:p>
    <w:p>
      <w:pPr>
        <w:numPr>
          <w:ilvl w:val="0"/>
          <w:numId w:val="1096"/>
        </w:numPr>
        <w:pStyle w:val="Compact"/>
      </w:pPr>
      <w:r>
        <w:t xml:space="preserve">Salbiy qo’llov belgilari (p.174): nostandart transfer narxlar, yuqori royalti, fiskal integratsiyani suiiste’mol qilish, yuqoriga yo’naltirilgan moliyalash. Misol: qarz 10 mln, dividend 3 mln.</w:t>
      </w:r>
    </w:p>
    <w:p>
      <w:pPr>
        <w:numPr>
          <w:ilvl w:val="0"/>
          <w:numId w:val="1096"/>
        </w:numPr>
        <w:pStyle w:val="Compact"/>
      </w:pPr>
      <w:r>
        <w:t xml:space="preserve">Ijobiy qo’llovning kuchi va notch qoidalari (p.176):</w:t>
      </w:r>
    </w:p>
    <w:p>
      <w:pPr>
        <w:numPr>
          <w:ilvl w:val="1"/>
          <w:numId w:val="1097"/>
        </w:numPr>
        <w:pStyle w:val="Compact"/>
      </w:pPr>
      <w:r>
        <w:t xml:space="preserve">absolyut qo’llov: yakuniy reyting qo’llovchi reytingiga teng;</w:t>
      </w:r>
    </w:p>
    <w:p>
      <w:pPr>
        <w:numPr>
          <w:ilvl w:val="1"/>
          <w:numId w:val="1097"/>
        </w:numPr>
        <w:pStyle w:val="Compact"/>
      </w:pPr>
      <w:r>
        <w:t xml:space="preserve">juda kuchli: qo’llovchidan 1–2 notch past;</w:t>
      </w:r>
    </w:p>
    <w:p>
      <w:pPr>
        <w:numPr>
          <w:ilvl w:val="1"/>
          <w:numId w:val="1097"/>
        </w:numPr>
        <w:pStyle w:val="Compact"/>
      </w:pPr>
      <w:r>
        <w:t xml:space="preserve">kuchli: 2–3 notch past;</w:t>
      </w:r>
    </w:p>
    <w:p>
      <w:pPr>
        <w:numPr>
          <w:ilvl w:val="1"/>
          <w:numId w:val="1097"/>
        </w:numPr>
        <w:pStyle w:val="Compact"/>
      </w:pPr>
      <w:r>
        <w:t xml:space="preserve">kuchsiz: kamida 3 notch past.</w:t>
      </w:r>
    </w:p>
    <w:p>
      <w:pPr>
        <w:numPr>
          <w:ilvl w:val="0"/>
          <w:numId w:val="1096"/>
        </w:numPr>
        <w:pStyle w:val="Compact"/>
      </w:pPr>
      <w:r>
        <w:t xml:space="preserve">Salbiy qo’llov (p.176–177): juda kuchli bo’lsa, stand-alone dan kamida 2–3 notch past; kuchli bo’lsa 1–2 notch past.</w:t>
      </w:r>
    </w:p>
    <w:p>
      <w:pPr>
        <w:numPr>
          <w:ilvl w:val="0"/>
          <w:numId w:val="1096"/>
        </w:numPr>
        <w:pStyle w:val="Compact"/>
      </w:pPr>
      <w:r>
        <w:t xml:space="preserve">Yakuniy reyting (p.177–178): stand-alone reytingga qo’llov tuzatishi qo’shiladi. Sho’ba korxonalarni baholash</w:t>
      </w:r>
      <w:r>
        <w:t xml:space="preserve"> </w:t>
      </w:r>
      <w:r>
        <w:t xml:space="preserve">“</w:t>
      </w:r>
      <w:r>
        <w:t xml:space="preserve">bottom-up</w:t>
      </w:r>
      <w:r>
        <w:t xml:space="preserve">”</w:t>
      </w:r>
      <w:r>
        <w:t xml:space="preserve"> </w:t>
      </w:r>
      <w:r>
        <w:t xml:space="preserve">usulida bo’lishi kerak,</w:t>
      </w:r>
      <w:r>
        <w:t xml:space="preserve"> </w:t>
      </w:r>
      <w:r>
        <w:t xml:space="preserve">“</w:t>
      </w:r>
      <w:r>
        <w:t xml:space="preserve">top-down</w:t>
      </w:r>
      <w:r>
        <w:t xml:space="preserve">”</w:t>
      </w:r>
      <w:r>
        <w:t xml:space="preserve"> </w:t>
      </w:r>
      <w:r>
        <w:t xml:space="preserve">emas.</w:t>
      </w:r>
    </w:p>
    <w:bookmarkEnd w:id="102"/>
    <w:bookmarkStart w:id="103" w:name="dissertatsiyada-qollash-7"/>
    <w:p>
      <w:pPr>
        <w:pStyle w:val="Heading3"/>
      </w:pPr>
      <w:r>
        <w:t xml:space="preserve">Dissertatsiyada qo’llash</w:t>
      </w:r>
    </w:p>
    <w:p>
      <w:pPr>
        <w:numPr>
          <w:ilvl w:val="0"/>
          <w:numId w:val="1098"/>
        </w:numPr>
        <w:pStyle w:val="Compact"/>
      </w:pPr>
      <w:r>
        <w:t xml:space="preserve">§1.3 – Table 3.8 va 3.9 dagi bank rating modellari xalqaro amaliyotdagi og’irlik tuzilmasi namunasi sifatida keltiriladi. Ularni CAMELS va MBII bloklari bilan solishtirma jadvalga qo’yish mumkin. Rivojlanayotgan mamlakatlarda FX likvidlikning 30% og’irligi MBII dagi FX blokini asoslaydi.</w:t>
      </w:r>
    </w:p>
    <w:p>
      <w:pPr>
        <w:numPr>
          <w:ilvl w:val="0"/>
          <w:numId w:val="1098"/>
        </w:numPr>
        <w:pStyle w:val="Compact"/>
      </w:pPr>
      <w:r>
        <w:t xml:space="preserve">§3.1 – MBII og’irliklarini (0,2/0,3/0,25/0,15/0,1) ekspert asosida berishni p.76 dagi formulaga qarama-qarshi qo’yish mumkin: α_j = β_j/Σβ. Sezgirlik tahlili uchun 1–4 ball → 0–100 indeksni logit-regressiya bilan tekshirish taklif qilinadi.</w:t>
      </w:r>
    </w:p>
    <w:p>
      <w:pPr>
        <w:numPr>
          <w:ilvl w:val="0"/>
          <w:numId w:val="1098"/>
        </w:numPr>
        <w:pStyle w:val="Compact"/>
      </w:pPr>
      <w:r>
        <w:t xml:space="preserve">§3.2 (SIB) – Table 3.11 davlat qo’llovi matritsasini SQB va Mikrokreditbank uchun</w:t>
      </w:r>
      <w:r>
        <w:t xml:space="preserve"> </w:t>
      </w:r>
      <w:r>
        <w:t xml:space="preserve">“</w:t>
      </w:r>
      <w:r>
        <w:t xml:space="preserve">stand-alone MBII</w:t>
      </w:r>
      <w:r>
        <w:t xml:space="preserve">”</w:t>
      </w:r>
      <w:r>
        <w:t xml:space="preserve"> </w:t>
      </w:r>
      <w:r>
        <w:t xml:space="preserve">va</w:t>
      </w:r>
      <w:r>
        <w:t xml:space="preserve"> </w:t>
      </w:r>
      <w:r>
        <w:t xml:space="preserve">“</w:t>
      </w:r>
      <w:r>
        <w:t xml:space="preserve">qo’llov bilan tuzatilgan MBII</w:t>
      </w:r>
      <w:r>
        <w:t xml:space="preserve">”</w:t>
      </w:r>
      <w:r>
        <w:t xml:space="preserve"> </w:t>
      </w:r>
      <w:r>
        <w:t xml:space="preserve">ga ajratishda ishlatish mumkin (davlat ulushi &gt;50% bo’lsa w = 100%).</w:t>
      </w:r>
    </w:p>
    <w:p>
      <w:pPr>
        <w:numPr>
          <w:ilvl w:val="0"/>
          <w:numId w:val="1098"/>
        </w:numPr>
        <w:pStyle w:val="Compact"/>
      </w:pPr>
      <w:r>
        <w:t xml:space="preserve">§4.2 – MBII ning bashorat kuchini baholash: AUROC, AR = 2AUROC−1, KS, Gini*, darajalar barqarorligi uchun PSI, 4 darajali shkala uchun o’tish matritsasi (PR, M1C).</w:t>
      </w:r>
    </w:p>
    <w:p>
      <w:pPr>
        <w:numPr>
          <w:ilvl w:val="0"/>
          <w:numId w:val="1098"/>
        </w:numPr>
        <w:pStyle w:val="Compact"/>
      </w:pPr>
      <w:r>
        <w:t xml:space="preserve">§4.3 –</w:t>
      </w:r>
      <w:r>
        <w:t xml:space="preserve"> </w:t>
      </w:r>
      <w:r>
        <w:t xml:space="preserve">“</w:t>
      </w:r>
      <w:r>
        <w:t xml:space="preserve">Traffic light</w:t>
      </w:r>
      <w:r>
        <w:t xml:space="preserve">”</w:t>
      </w:r>
      <w:r>
        <w:t xml:space="preserve"> </w:t>
      </w:r>
      <w:r>
        <w:t xml:space="preserve">mantig’ini ssenariy natijalarini rangli zonalarga ajratishda ishlatish mumkin.</w:t>
      </w:r>
    </w:p>
    <w:p>
      <w:pPr>
        <w:numPr>
          <w:ilvl w:val="0"/>
          <w:numId w:val="1098"/>
        </w:numPr>
        <w:pStyle w:val="Compact"/>
      </w:pPr>
      <w:r>
        <w:t xml:space="preserve">§1.2 – Basel III elementlari ro’yxati (p.5–6).</w:t>
      </w:r>
    </w:p>
    <w:bookmarkEnd w:id="103"/>
    <w:bookmarkStart w:id="104" w:name="iqtiboslar-3"/>
    <w:p>
      <w:pPr>
        <w:pStyle w:val="Heading3"/>
      </w:pPr>
      <w:r>
        <w:t xml:space="preserve">Iqtiboslar</w:t>
      </w:r>
    </w:p>
    <w:p>
      <w:pPr>
        <w:numPr>
          <w:ilvl w:val="0"/>
          <w:numId w:val="1099"/>
        </w:numPr>
        <w:pStyle w:val="Compact"/>
      </w:pPr>
      <w:r>
        <w:t xml:space="preserve">“</w:t>
      </w:r>
      <w:r>
        <w:t xml:space="preserve">In any given loan portfolio, the higher the credit rating model accuracy ratio, the lower the regulatory capital required.</w:t>
      </w:r>
      <w:r>
        <w:t xml:space="preserve">”</w:t>
      </w:r>
      <w:r>
        <w:t xml:space="preserve"> </w:t>
      </w:r>
      <w:r>
        <w:t xml:space="preserve">(p.6)</w:t>
      </w:r>
    </w:p>
    <w:p>
      <w:pPr>
        <w:numPr>
          <w:ilvl w:val="0"/>
          <w:numId w:val="1099"/>
        </w:numPr>
        <w:pStyle w:val="Compact"/>
      </w:pPr>
      <w:r>
        <w:t xml:space="preserve">“</w:t>
      </w:r>
      <w:r>
        <w:t xml:space="preserve">For the evaluation of the bank counterparty credit risk, it is appropriate to develop a framework to adjust the PD estimated by the model according to implicit and explicit support given, in this case, by the parent company and/or the government.</w:t>
      </w:r>
      <w:r>
        <w:t xml:space="preserve">”</w:t>
      </w:r>
      <w:r>
        <w:t xml:space="preserve"> </w:t>
      </w:r>
      <w:r>
        <w:t xml:space="preserve">(p.77)</w:t>
      </w:r>
    </w:p>
    <w:p>
      <w:pPr>
        <w:numPr>
          <w:ilvl w:val="0"/>
          <w:numId w:val="1099"/>
        </w:numPr>
        <w:pStyle w:val="Compact"/>
      </w:pPr>
      <w:r>
        <w:t xml:space="preserve">“</w:t>
      </w:r>
      <w:r>
        <w:t xml:space="preserve">Governments also tend to support banks, especially when they are of high importance for the financial system of a country, providing them with implicit support.</w:t>
      </w:r>
      <w:r>
        <w:t xml:space="preserve">”</w:t>
      </w:r>
      <w:r>
        <w:t xml:space="preserve"> </w:t>
      </w:r>
      <w:r>
        <w:t xml:space="preserve">(p.87)</w:t>
      </w:r>
    </w:p>
    <w:p>
      <w:pPr>
        <w:numPr>
          <w:ilvl w:val="0"/>
          <w:numId w:val="1099"/>
        </w:numPr>
        <w:pStyle w:val="Compact"/>
      </w:pPr>
      <w:r>
        <w:t xml:space="preserve">“</w:t>
      </w:r>
      <w:r>
        <w:t xml:space="preserve">The AUROC and the AR parameters are linked by the relation: AR = 2 · AUROC − 1</w:t>
      </w:r>
      <w:r>
        <w:t xml:space="preserve">”</w:t>
      </w:r>
      <w:r>
        <w:t xml:space="preserve"> </w:t>
      </w:r>
      <w:r>
        <w:t xml:space="preserve">(p.135)</w:t>
      </w:r>
    </w:p>
    <w:p>
      <w:pPr>
        <w:numPr>
          <w:ilvl w:val="0"/>
          <w:numId w:val="1099"/>
        </w:numPr>
        <w:pStyle w:val="Compact"/>
      </w:pPr>
      <w:r>
        <w:t xml:space="preserve">“</w:t>
      </w:r>
      <w:r>
        <w:t xml:space="preserve">Hence, model validation must be seen as an ongoing process</w:t>
      </w:r>
      <w:r>
        <w:t xml:space="preserve">”</w:t>
      </w:r>
      <w:r>
        <w:t xml:space="preserve"> </w:t>
      </w:r>
      <w:r>
        <w:t xml:space="preserve">(p.114)</w:t>
      </w:r>
    </w:p>
    <w:p>
      <w:pPr>
        <w:numPr>
          <w:ilvl w:val="0"/>
          <w:numId w:val="1099"/>
        </w:numPr>
        <w:pStyle w:val="Compact"/>
      </w:pPr>
      <w:r>
        <w:t xml:space="preserve">“</w:t>
      </w:r>
      <w:r>
        <w:t xml:space="preserve">the small values of PSI are expressions of a good level of stability/representativeness … high values are a symptom of instability.</w:t>
      </w:r>
      <w:r>
        <w:t xml:space="preserve">”</w:t>
      </w:r>
      <w:r>
        <w:t xml:space="preserve"> </w:t>
      </w:r>
      <w:r>
        <w:t xml:space="preserve">(p.143)</w:t>
      </w:r>
    </w:p>
    <w:p>
      <w:pPr>
        <w:numPr>
          <w:ilvl w:val="0"/>
          <w:numId w:val="1099"/>
        </w:numPr>
        <w:pStyle w:val="Compact"/>
      </w:pPr>
      <w:r>
        <w:t xml:space="preserve">“</w:t>
      </w:r>
      <w:r>
        <w:t xml:space="preserve">Legal guarantees are not support</w:t>
      </w:r>
      <w:r>
        <w:t xml:space="preserve">”</w:t>
      </w:r>
      <w:r>
        <w:t xml:space="preserve"> </w:t>
      </w:r>
      <w:r>
        <w:t xml:space="preserve">(p.172)</w:t>
      </w:r>
    </w:p>
    <w:bookmarkEnd w:id="104"/>
    <w:bookmarkStart w:id="105" w:name="moslashtiriladigan-jadvalformulalar-6"/>
    <w:p>
      <w:pPr>
        <w:pStyle w:val="Heading3"/>
      </w:pPr>
      <w:r>
        <w:t xml:space="preserve">Moslashtiriladigan jadval/formulalar</w:t>
      </w:r>
    </w:p>
    <w:p>
      <w:pPr>
        <w:numPr>
          <w:ilvl w:val="0"/>
          <w:numId w:val="1100"/>
        </w:numPr>
        <w:pStyle w:val="Compact"/>
      </w:pPr>
      <w:r>
        <w:t xml:space="preserve">Table 3.1 (p.69) – good/bad, ranking va shadow rating yondashuvlari solishtiruvi.</w:t>
      </w:r>
    </w:p>
    <w:p>
      <w:pPr>
        <w:numPr>
          <w:ilvl w:val="0"/>
          <w:numId w:val="1100"/>
        </w:numPr>
        <w:pStyle w:val="Compact"/>
      </w:pPr>
      <w:r>
        <w:t xml:space="preserve">Table 3.2 (p.70) – 12 darajali reyting→PD shkalasi.</w:t>
      </w:r>
    </w:p>
    <w:p>
      <w:pPr>
        <w:numPr>
          <w:ilvl w:val="0"/>
          <w:numId w:val="1100"/>
        </w:numPr>
        <w:pStyle w:val="Compact"/>
      </w:pPr>
      <w:r>
        <w:t xml:space="preserve">SAR formulalari (p.74–75).</w:t>
      </w:r>
    </w:p>
    <w:p>
      <w:pPr>
        <w:numPr>
          <w:ilvl w:val="0"/>
          <w:numId w:val="1100"/>
        </w:numPr>
        <w:pStyle w:val="Compact"/>
      </w:pPr>
      <w:r>
        <w:t xml:space="preserve">Logit-OLS va normallashtirilgan og’irliklar formulasi (p.76).</w:t>
      </w:r>
    </w:p>
    <w:p>
      <w:pPr>
        <w:numPr>
          <w:ilvl w:val="0"/>
          <w:numId w:val="1100"/>
        </w:numPr>
        <w:pStyle w:val="Compact"/>
      </w:pPr>
      <w:r>
        <w:t xml:space="preserve">Table 3.6–3.9 (p.81–85) – bank omillari va og’irliklari.</w:t>
      </w:r>
    </w:p>
    <w:p>
      <w:pPr>
        <w:numPr>
          <w:ilvl w:val="0"/>
          <w:numId w:val="1100"/>
        </w:numPr>
        <w:pStyle w:val="Compact"/>
      </w:pPr>
      <w:r>
        <w:t xml:space="preserve">Fig. 3.3 va 3.4, Table 3.10 va 3.11 (p.80–88) – qo’llov matritsalari.</w:t>
      </w:r>
    </w:p>
    <w:p>
      <w:pPr>
        <w:numPr>
          <w:ilvl w:val="0"/>
          <w:numId w:val="1100"/>
        </w:numPr>
        <w:pStyle w:val="Compact"/>
      </w:pPr>
      <w:r>
        <w:t xml:space="preserve">Table 6.3 (p.122) – validatsiya testlari ro’yxati.</w:t>
      </w:r>
    </w:p>
    <w:p>
      <w:pPr>
        <w:numPr>
          <w:ilvl w:val="0"/>
          <w:numId w:val="1100"/>
        </w:numPr>
        <w:pStyle w:val="Compact"/>
      </w:pPr>
      <w:r>
        <w:t xml:space="preserve">AR, Gini* va PSI formulalari (p.135–142).</w:t>
      </w:r>
    </w:p>
    <w:p>
      <w:pPr>
        <w:numPr>
          <w:ilvl w:val="0"/>
          <w:numId w:val="1100"/>
        </w:numPr>
        <w:pStyle w:val="Compact"/>
      </w:pPr>
      <w:r>
        <w:t xml:space="preserve">Table 6.14 (p.140) – DR va PD ni sinflar bo’yicha taqqoslash.</w:t>
      </w:r>
    </w:p>
    <w:p>
      <w:pPr>
        <w:numPr>
          <w:ilvl w:val="0"/>
          <w:numId w:val="1100"/>
        </w:numPr>
        <w:pStyle w:val="Compact"/>
      </w:pPr>
      <w:r>
        <w:t xml:space="preserve">Table 6.15 (p.143) – rating reversal.</w:t>
      </w:r>
    </w:p>
    <w:bookmarkEnd w:id="105"/>
    <w:bookmarkEnd w:id="106"/>
    <w:bookmarkStart w:id="113" w:name="X43126a93476e7a5cbecb5ae29a6375acf334530"/>
    <w:p>
      <w:pPr>
        <w:pStyle w:val="Heading2"/>
      </w:pPr>
      <w:r>
        <w:t xml:space="preserve">15. Langohr H., Langohr P. «The Rating Agencies and Their Credit Ratings» (Wiley, 2008)</w:t>
      </w:r>
    </w:p>
    <w:p>
      <w:pPr>
        <w:pStyle w:val="FirstParagraph"/>
      </w:pPr>
      <w:r>
        <w:rPr>
          <w:bCs/>
          <w:b/>
        </w:rPr>
        <w:t xml:space="preserve">Bibliografiya:</w:t>
      </w:r>
      <w:r>
        <w:t xml:space="preserve"> </w:t>
      </w:r>
      <w:r>
        <w:t xml:space="preserve">Langohr H., Langohr P.</w:t>
      </w:r>
      <w:r>
        <w:t xml:space="preserve"> </w:t>
      </w:r>
      <w:r>
        <w:rPr>
          <w:iCs/>
          <w:i/>
        </w:rPr>
        <w:t xml:space="preserve">The Rating Agencies and Their Credit Ratings: What They Are, How They Work and Why They Are Relevant.</w:t>
      </w:r>
      <w:r>
        <w:t xml:space="preserve"> </w:t>
      </w:r>
      <w:r>
        <w:t xml:space="preserve">– Chichester: John Wiley &amp; Sons (Wiley Finance), 2008. – xxx + 484 p.</w:t>
      </w:r>
    </w:p>
    <w:bookmarkStart w:id="107" w:name="kredit-reyting-shkalalari-p.4074"/>
    <w:p>
      <w:pPr>
        <w:pStyle w:val="Heading3"/>
      </w:pPr>
      <w:r>
        <w:t xml:space="preserve">2.2 Kredit reyting shkalalari (p.40–74)</w:t>
      </w:r>
    </w:p>
    <w:p>
      <w:pPr>
        <w:numPr>
          <w:ilvl w:val="0"/>
          <w:numId w:val="1101"/>
        </w:numPr>
        <w:pStyle w:val="Compact"/>
      </w:pPr>
      <w:r>
        <w:t xml:space="preserve">Issuer rating va instrument rating ajratiladi. Instrument reytingi PD va LGD ni birlashtiradi (p.42).</w:t>
      </w:r>
    </w:p>
    <w:p>
      <w:pPr>
        <w:numPr>
          <w:ilvl w:val="0"/>
          <w:numId w:val="1101"/>
        </w:numPr>
        <w:pStyle w:val="Compact"/>
      </w:pPr>
      <w:r>
        <w:t xml:space="preserve">Uch xil</w:t>
      </w:r>
      <w:r>
        <w:t xml:space="preserve"> </w:t>
      </w:r>
      <w:r>
        <w:t xml:space="preserve">“</w:t>
      </w:r>
      <w:r>
        <w:t xml:space="preserve">shkala</w:t>
      </w:r>
      <w:r>
        <w:t xml:space="preserve">”</w:t>
      </w:r>
      <w:r>
        <w:t xml:space="preserve"> </w:t>
      </w:r>
      <w:r>
        <w:t xml:space="preserve">mavjud: fundamental ordinal shkala, bozor kredit spredlari va bozordan kelib chiqqan (market-implied) kardinal shkala (p.43).</w:t>
      </w:r>
    </w:p>
    <w:p>
      <w:pPr>
        <w:numPr>
          <w:ilvl w:val="0"/>
          <w:numId w:val="1101"/>
        </w:numPr>
        <w:pStyle w:val="Compact"/>
      </w:pPr>
      <w:r>
        <w:t xml:space="preserve">Reyting ordinal xarakterga ega: BB ning A dan xavfliroq ekanini bildiradi, lekin qanchalik xavfliroq ekanini ko’rsatmaydi (p.44).</w:t>
      </w:r>
    </w:p>
    <w:p>
      <w:pPr>
        <w:numPr>
          <w:ilvl w:val="0"/>
          <w:numId w:val="1101"/>
        </w:numPr>
        <w:pStyle w:val="Compact"/>
      </w:pPr>
      <w:r>
        <w:t xml:space="preserve">Uzoq muddatli reyting gorizonti 3–5 yil (p.44).</w:t>
      </w:r>
    </w:p>
    <w:p>
      <w:pPr>
        <w:numPr>
          <w:ilvl w:val="0"/>
          <w:numId w:val="1101"/>
        </w:numPr>
        <w:pStyle w:val="Compact"/>
      </w:pPr>
      <w:r>
        <w:t xml:space="preserve">1980–2004 yillarda o’rtacha yillik defolt darajasi: investitsion daraja (BBB va yuqori) uchun 0,07% (maksimum 0,49%), spekulyativ daraja uchun 3,85% (maksimum 10,59%) (p.44–45).</w:t>
      </w:r>
    </w:p>
    <w:p>
      <w:pPr>
        <w:numPr>
          <w:ilvl w:val="0"/>
          <w:numId w:val="1101"/>
        </w:numPr>
        <w:pStyle w:val="Compact"/>
      </w:pPr>
      <w:r>
        <w:t xml:space="preserve">S&amp;P shkalasi tavsiflari AAA dan D gacha (Exhibit 2.2, p.45).</w:t>
      </w:r>
    </w:p>
    <w:p>
      <w:pPr>
        <w:numPr>
          <w:ilvl w:val="0"/>
          <w:numId w:val="1101"/>
        </w:numPr>
        <w:pStyle w:val="Compact"/>
      </w:pPr>
      <w:r>
        <w:t xml:space="preserve">S&amp;P, Fitch va Moody’s notch larining 1–21(24) raqamli ekvivalentlari va Moody’s KMV EDF bilan mosligi (Exhibit 2.3, p.47). Misollar: AAA 0,02%; A 0,32%; BBB 0,70%; BB 1,48%; B 4,14%; CCC 17%; CC/C 20%.</w:t>
      </w:r>
    </w:p>
    <w:p>
      <w:pPr>
        <w:numPr>
          <w:ilvl w:val="0"/>
          <w:numId w:val="1101"/>
        </w:numPr>
        <w:pStyle w:val="Compact"/>
      </w:pPr>
      <w:r>
        <w:t xml:space="preserve">Moody’s 5 yillik kumulyativ defolt darajalari (1983–2006): Aaa 0,18%; Aa2 0,28%; Baa2 2,11%; Ba2 8,82%; B2 31,24%. Defoltlar shkala bo’ylab pastga qarab eksponensial o’sadi (Fig. 2.8, p.48).</w:t>
      </w:r>
    </w:p>
    <w:p>
      <w:pPr>
        <w:numPr>
          <w:ilvl w:val="0"/>
          <w:numId w:val="1101"/>
        </w:numPr>
        <w:pStyle w:val="Compact"/>
      </w:pPr>
      <w:r>
        <w:t xml:space="preserve">Moody’s tadqiqoti: BB uchun PD BBB ga nisbatan 6 baravar yuqori (p.48, izoh 56).</w:t>
      </w:r>
    </w:p>
    <w:p>
      <w:pPr>
        <w:numPr>
          <w:ilvl w:val="0"/>
          <w:numId w:val="1101"/>
        </w:numPr>
        <w:pStyle w:val="Compact"/>
      </w:pPr>
      <w:r>
        <w:t xml:space="preserve">Qisqa muddatli shkalalar (A-1+/F1+/P-1 … D) va uzoq muddatli reyting bilan moslik (Exhibit 2.4–2.5, p.51–52).</w:t>
      </w:r>
    </w:p>
    <w:p>
      <w:pPr>
        <w:numPr>
          <w:ilvl w:val="0"/>
          <w:numId w:val="1101"/>
        </w:numPr>
        <w:pStyle w:val="Compact"/>
      </w:pPr>
      <w:r>
        <w:t xml:space="preserve">Split ratings (p.55): S&amp;P va Moody’s reytinglari korrelyatsiyasi 0,940, lekin 40% hollarda asosiy kategoriya darajasida farq qiladi.</w:t>
      </w:r>
    </w:p>
    <w:p>
      <w:pPr>
        <w:numPr>
          <w:ilvl w:val="0"/>
          <w:numId w:val="1101"/>
        </w:numPr>
        <w:pStyle w:val="Compact"/>
      </w:pPr>
      <w:r>
        <w:t xml:space="preserve">Spredlar va reyting (Table 2.4–2.6, p.66–70):</w:t>
      </w:r>
    </w:p>
    <w:p>
      <w:pPr>
        <w:numPr>
          <w:ilvl w:val="1"/>
          <w:numId w:val="1102"/>
        </w:numPr>
        <w:pStyle w:val="Compact"/>
      </w:pPr>
      <w:r>
        <w:t xml:space="preserve">bog’liqlik eksponensial;</w:t>
      </w:r>
    </w:p>
    <w:p>
      <w:pPr>
        <w:numPr>
          <w:ilvl w:val="1"/>
          <w:numId w:val="1102"/>
        </w:numPr>
        <w:pStyle w:val="Compact"/>
      </w:pPr>
      <w:r>
        <w:t xml:space="preserve">1–3 yillik muddatda AAA 49,5 bp, BBB 169 bp, B 761 bp;</w:t>
      </w:r>
    </w:p>
    <w:p>
      <w:pPr>
        <w:numPr>
          <w:ilvl w:val="1"/>
          <w:numId w:val="1102"/>
        </w:numPr>
        <w:pStyle w:val="Compact"/>
      </w:pPr>
      <w:r>
        <w:t xml:space="preserve">spekulyativ darajada spred egri chizig’i teskari.</w:t>
      </w:r>
    </w:p>
    <w:p>
      <w:pPr>
        <w:numPr>
          <w:ilvl w:val="0"/>
          <w:numId w:val="1101"/>
        </w:numPr>
        <w:pStyle w:val="Compact"/>
      </w:pPr>
      <w:r>
        <w:t xml:space="preserve">Expected loss misoli: PD 43% va qaytarish 51% bo’lsa, EL ≈ 22% (p.67).</w:t>
      </w:r>
    </w:p>
    <w:p>
      <w:pPr>
        <w:numPr>
          <w:ilvl w:val="0"/>
          <w:numId w:val="1101"/>
        </w:numPr>
        <w:pStyle w:val="Compact"/>
      </w:pPr>
      <w:r>
        <w:t xml:space="preserve">Ordinal reyting shkalasini EDF ga geometrik interpolyatsiya bilan bog’lash. Bunda monotonlik va qavariqlik talab qilinadi (p.73).</w:t>
      </w:r>
    </w:p>
    <w:bookmarkEnd w:id="107"/>
    <w:bookmarkStart w:id="108" w:name="X9e2745fe04c9f3f60c354d696440f831cb23c8a"/>
    <w:p>
      <w:pPr>
        <w:pStyle w:val="Heading3"/>
      </w:pPr>
      <w:r>
        <w:t xml:space="preserve">6.3.2 Moliyaviy barqarorlik reytinglari (p.291–296)</w:t>
      </w:r>
    </w:p>
    <w:p>
      <w:pPr>
        <w:numPr>
          <w:ilvl w:val="0"/>
          <w:numId w:val="1103"/>
        </w:numPr>
        <w:pStyle w:val="Compact"/>
      </w:pPr>
      <w:r>
        <w:t xml:space="preserve">Bank balansi o’ziga xos: kapital aktivlarning 4–8% i, mijozlar oldidagi majburiyatlar 85–95% (p.291).</w:t>
      </w:r>
    </w:p>
    <w:p>
      <w:pPr>
        <w:numPr>
          <w:ilvl w:val="0"/>
          <w:numId w:val="1103"/>
        </w:numPr>
        <w:pStyle w:val="Compact"/>
      </w:pPr>
      <w:r>
        <w:t xml:space="preserve">Bank FSR quyidagilarni baholaydi (p.291):</w:t>
      </w:r>
      <w:r>
        <w:t xml:space="preserve"> </w:t>
      </w:r>
      <w:r>
        <w:t xml:space="preserve">“</w:t>
      </w:r>
      <w:r>
        <w:t xml:space="preserve">xom ashyo</w:t>
      </w:r>
      <w:r>
        <w:t xml:space="preserve">”</w:t>
      </w:r>
      <w:r>
        <w:t xml:space="preserve"> </w:t>
      </w:r>
      <w:r>
        <w:t xml:space="preserve">(aktivlar) sifati; xarajatlardan keyingi marja; kapital buferining yetarliligi; regulyativ talablarga muvofiqlik va ulardan ortiq zaxira.</w:t>
      </w:r>
    </w:p>
    <w:p>
      <w:pPr>
        <w:numPr>
          <w:ilvl w:val="0"/>
          <w:numId w:val="1103"/>
        </w:numPr>
        <w:pStyle w:val="Compact"/>
      </w:pPr>
      <w:r>
        <w:t xml:space="preserve">Banklar boshqa sohalarga nisbatan shaffof emas. Agentliklar reytinglari banklar bo’yicha ko’proq farq qiladi, ayniqsa kapital past va kreditlar ulushi yuqori bo’lganda (Morgan, 2002; p.292).</w:t>
      </w:r>
    </w:p>
    <w:p>
      <w:pPr>
        <w:numPr>
          <w:ilvl w:val="0"/>
          <w:numId w:val="1103"/>
        </w:numPr>
        <w:pStyle w:val="Compact"/>
      </w:pPr>
      <w:r>
        <w:t xml:space="preserve">Fitch bo’yicha bank</w:t>
      </w:r>
      <w:r>
        <w:t xml:space="preserve"> </w:t>
      </w:r>
      <w:r>
        <w:t xml:space="preserve">“</w:t>
      </w:r>
      <w:r>
        <w:t xml:space="preserve">failure</w:t>
      </w:r>
      <w:r>
        <w:t xml:space="preserve">”</w:t>
      </w:r>
      <w:r>
        <w:t xml:space="preserve"> </w:t>
      </w:r>
      <w:r>
        <w:t xml:space="preserve">hisoblanadi, agar u (p.292–293): davlat yoki depozit sug’urta fondi qo’llovi bilan, boshqa subyektga qo’shilish orqali, aksiyadorlarning yangi in’ektsiyasi bilan saqlanib qolsa yoki defolt qilsa.</w:t>
      </w:r>
    </w:p>
    <w:p>
      <w:pPr>
        <w:numPr>
          <w:ilvl w:val="0"/>
          <w:numId w:val="1103"/>
        </w:numPr>
        <w:pStyle w:val="Compact"/>
      </w:pPr>
      <w:r>
        <w:t xml:space="preserve">Failure darajasi defolt darajasidan yuqori. Ular orasidagi farq qo’llov hisobiga yuzaga keladi (p.293).</w:t>
      </w:r>
    </w:p>
    <w:p>
      <w:pPr>
        <w:numPr>
          <w:ilvl w:val="0"/>
          <w:numId w:val="1103"/>
        </w:numPr>
        <w:pStyle w:val="Compact"/>
      </w:pPr>
      <w:r>
        <w:t xml:space="preserve">FSR ta’rifi: tashqi qo’llovsiz stand-alone kuch, ya’ni bankka qo’llov kerak bo’lish ehtimoli o’lchovi (p.293).</w:t>
      </w:r>
    </w:p>
    <w:p>
      <w:pPr>
        <w:numPr>
          <w:ilvl w:val="0"/>
          <w:numId w:val="1103"/>
        </w:numPr>
        <w:pStyle w:val="Compact"/>
      </w:pPr>
      <w:r>
        <w:t xml:space="preserve">Tahlil ikki qismdan iborat (p.293–294): biznes profili (mamlakat riski, nazorat sifati, bozor pozitsiyasi, diversifikatsiya) va moliyaviy profil (CAMEL). CAMEL ichida aktivlar sifati eng muhim qism hisoblanadi.</w:t>
      </w:r>
    </w:p>
    <w:p>
      <w:pPr>
        <w:numPr>
          <w:ilvl w:val="0"/>
          <w:numId w:val="1103"/>
        </w:numPr>
        <w:pStyle w:val="Compact"/>
      </w:pPr>
      <w:r>
        <w:t xml:space="preserve">FSR + qo’llov ehtimoli → defolt ehtimoli → emitent reytingi. Valyuta</w:t>
      </w:r>
      <w:r>
        <w:t xml:space="preserve"> </w:t>
      </w:r>
      <w:r>
        <w:t xml:space="preserve">“</w:t>
      </w:r>
      <w:r>
        <w:t xml:space="preserve">potolog</w:t>
      </w:r>
      <w:r>
        <w:t xml:space="preserve">”</w:t>
      </w:r>
      <w:r>
        <w:t xml:space="preserve">i (ceiling) qo’llanadi (p.294).</w:t>
      </w:r>
    </w:p>
    <w:p>
      <w:pPr>
        <w:numPr>
          <w:ilvl w:val="0"/>
          <w:numId w:val="1103"/>
        </w:numPr>
        <w:pStyle w:val="Compact"/>
      </w:pPr>
      <w:r>
        <w:t xml:space="preserve">Moody’s BFSR shkalasi A–E (+/− modifikatorlar bilan). Fitch individual reytingi A–E (A/B … D/E) va qo’shimcha</w:t>
      </w:r>
      <w:r>
        <w:t xml:space="preserve"> </w:t>
      </w:r>
      <w:r>
        <w:t xml:space="preserve">“</w:t>
      </w:r>
      <w:r>
        <w:t xml:space="preserve">F</w:t>
      </w:r>
      <w:r>
        <w:t xml:space="preserve">”</w:t>
      </w:r>
      <w:r>
        <w:t xml:space="preserve"> </w:t>
      </w:r>
      <w:r>
        <w:t xml:space="preserve">darajasi, ya’ni qo’llovsiz defolt qilgan bo’lardi (Exhibit 6.13, p.295).</w:t>
      </w:r>
    </w:p>
    <w:bookmarkEnd w:id="108"/>
    <w:bookmarkStart w:id="109" w:name="X8223318991f84134010b2f3c2cdb98d801afed7"/>
    <w:p>
      <w:pPr>
        <w:pStyle w:val="Heading3"/>
      </w:pPr>
      <w:r>
        <w:t xml:space="preserve">7.2 Reyting aniqligi va barqarorligi (p.332–356)</w:t>
      </w:r>
    </w:p>
    <w:p>
      <w:pPr>
        <w:numPr>
          <w:ilvl w:val="0"/>
          <w:numId w:val="1104"/>
        </w:numPr>
        <w:pStyle w:val="Compact"/>
      </w:pPr>
      <w:r>
        <w:t xml:space="preserve">Aniqlik va barqarorlik bir-biriga zid xususiyatlar. I tur xatosi – defoltni o’tkazib yuborish; II tur – yolg’on signal (p.333–334).</w:t>
      </w:r>
    </w:p>
    <w:p>
      <w:pPr>
        <w:numPr>
          <w:ilvl w:val="0"/>
          <w:numId w:val="1104"/>
        </w:numPr>
        <w:pStyle w:val="Compact"/>
      </w:pPr>
      <w:r>
        <w:t xml:space="preserve">Moody’s ko’rsatkichlari (Table 7.6, p.334):</w:t>
      </w:r>
    </w:p>
    <w:p>
      <w:pPr>
        <w:numPr>
          <w:ilvl w:val="1"/>
          <w:numId w:val="1105"/>
        </w:numPr>
        <w:pStyle w:val="Compact"/>
      </w:pPr>
      <w:r>
        <w:t xml:space="preserve">1 yillik AR: 2007-yil sentabrda 93,0%, tarixiy o’rtacha 84,5%;</w:t>
      </w:r>
    </w:p>
    <w:p>
      <w:pPr>
        <w:numPr>
          <w:ilvl w:val="1"/>
          <w:numId w:val="1105"/>
        </w:numPr>
        <w:pStyle w:val="Compact"/>
      </w:pPr>
      <w:r>
        <w:t xml:space="preserve">5 yillik AR: tarixiy o’rtacha 71,3%;</w:t>
      </w:r>
    </w:p>
    <w:p>
      <w:pPr>
        <w:numPr>
          <w:ilvl w:val="1"/>
          <w:numId w:val="1105"/>
        </w:numPr>
        <w:pStyle w:val="Compact"/>
      </w:pPr>
      <w:r>
        <w:t xml:space="preserve">defoltdan oldingi o’rtacha reyting B2;</w:t>
      </w:r>
    </w:p>
    <w:p>
      <w:pPr>
        <w:numPr>
          <w:ilvl w:val="1"/>
          <w:numId w:val="1105"/>
        </w:numPr>
        <w:pStyle w:val="Compact"/>
      </w:pPr>
      <w:r>
        <w:t xml:space="preserve">rating action rate 21,4%, large action 4,8%.</w:t>
      </w:r>
    </w:p>
    <w:p>
      <w:pPr>
        <w:numPr>
          <w:ilvl w:val="0"/>
          <w:numId w:val="1104"/>
        </w:numPr>
        <w:pStyle w:val="Compact"/>
      </w:pPr>
      <w:r>
        <w:t xml:space="preserve">Yillik defolt darajalari o’rtachasi, 1970–2006 (Table 7.7, p.335–336): barcha korporativ emitentlar 1,23%; Aaa 0; Baa 0,18%; Ba 1,15%; B 5,98%; Caa–C 23,83%. Variatsiya koeffitsienti taxminan 1.</w:t>
      </w:r>
    </w:p>
    <w:p>
      <w:pPr>
        <w:numPr>
          <w:ilvl w:val="0"/>
          <w:numId w:val="1104"/>
        </w:numPr>
        <w:pStyle w:val="Compact"/>
      </w:pPr>
      <w:r>
        <w:t xml:space="preserve">Kogorta usuli: marjinal defolt d_y^z(t) = x(t)/n(t). Kumulyativ defolt darajasi shu asosda hisoblanadi (p.337).</w:t>
      </w:r>
    </w:p>
    <w:p>
      <w:pPr>
        <w:numPr>
          <w:ilvl w:val="0"/>
          <w:numId w:val="1104"/>
        </w:numPr>
        <w:pStyle w:val="Compact"/>
      </w:pPr>
      <w:r>
        <w:t xml:space="preserve">Bir xil reytingdagi kogortalar sikl bo’yicha farq qiladi: Baa 5 yillik defolt 1977 yilda 0,57%, 1986 yilda 5,26% (p.338).</w:t>
      </w:r>
    </w:p>
    <w:p>
      <w:pPr>
        <w:numPr>
          <w:ilvl w:val="0"/>
          <w:numId w:val="1104"/>
        </w:numPr>
        <w:pStyle w:val="Compact"/>
      </w:pPr>
      <w:r>
        <w:t xml:space="preserve">Lorenz/CAP egri chizig’i, AR = (Lorenz va tasodifiy chiziq orasidagi yuza) / (ideal va tasodifiy chiziq orasidagi yuza) (p.339–340).</w:t>
      </w:r>
    </w:p>
    <w:p>
      <w:pPr>
        <w:numPr>
          <w:ilvl w:val="0"/>
          <w:numId w:val="1104"/>
        </w:numPr>
        <w:pStyle w:val="Compact"/>
      </w:pPr>
      <w:r>
        <w:t xml:space="preserve">S&amp;P Gini koeffitsientlari (Table 7.8, p.341): 1 yil – 83%, 3 yil – 77%, 5 yil – 74%, 7 yil – 71%.</w:t>
      </w:r>
    </w:p>
    <w:p>
      <w:pPr>
        <w:numPr>
          <w:ilvl w:val="0"/>
          <w:numId w:val="1104"/>
        </w:numPr>
        <w:pStyle w:val="Compact"/>
      </w:pPr>
      <w:r>
        <w:t xml:space="preserve">S&amp;P 1 yillik o’tish matritsasi (Table 7.9, p.342): AAA→AAA 88,34%; BBB→BBB 84,17%; BB→D 1,07%; B→D 4,99%; CCC/C→D 26,29%.</w:t>
      </w:r>
    </w:p>
    <w:p>
      <w:pPr>
        <w:numPr>
          <w:ilvl w:val="1"/>
          <w:numId w:val="1106"/>
        </w:numPr>
        <w:pStyle w:val="Compact"/>
      </w:pPr>
      <w:r>
        <w:t xml:space="preserve">Diagonal elementlar barqarorlik darajasini bildiradi;</w:t>
      </w:r>
    </w:p>
    <w:p>
      <w:pPr>
        <w:numPr>
          <w:ilvl w:val="1"/>
          <w:numId w:val="1106"/>
        </w:numPr>
        <w:pStyle w:val="Compact"/>
      </w:pPr>
      <w:r>
        <w:t xml:space="preserve">1 − diagonal = rating action rate;</w:t>
      </w:r>
    </w:p>
    <w:p>
      <w:pPr>
        <w:numPr>
          <w:ilvl w:val="1"/>
          <w:numId w:val="1106"/>
        </w:numPr>
        <w:pStyle w:val="Compact"/>
      </w:pPr>
      <w:r>
        <w:t xml:space="preserve">“</w:t>
      </w:r>
      <w:r>
        <w:t xml:space="preserve">D</w:t>
      </w:r>
      <w:r>
        <w:t xml:space="preserve">”</w:t>
      </w:r>
      <w:r>
        <w:t xml:space="preserve"> </w:t>
      </w:r>
      <w:r>
        <w:t xml:space="preserve">ustuni PD ni ko’rsatadi (p.342).</w:t>
      </w:r>
    </w:p>
    <w:p>
      <w:pPr>
        <w:numPr>
          <w:ilvl w:val="0"/>
          <w:numId w:val="1104"/>
        </w:numPr>
        <w:pStyle w:val="Compact"/>
      </w:pPr>
      <w:r>
        <w:t xml:space="preserve">Barqarorlik o’lchovlari ta’riflari (p.343, 351): large action rate; reversal rate; drift = weighted upgrade − weighted downgrade; volatility = upgrade + downgrade; stability rate = 1 − (down + up).</w:t>
      </w:r>
    </w:p>
    <w:p>
      <w:pPr>
        <w:numPr>
          <w:ilvl w:val="0"/>
          <w:numId w:val="1104"/>
        </w:numPr>
        <w:pStyle w:val="Compact"/>
      </w:pPr>
      <w:r>
        <w:t xml:space="preserve">Mortality rates (Altman): CCC uchun 10 yillik kumulyativ 59,36%, AAA uchun 0,09% (Table 7.12, p.348).</w:t>
      </w:r>
    </w:p>
    <w:p>
      <w:pPr>
        <w:numPr>
          <w:ilvl w:val="0"/>
          <w:numId w:val="1104"/>
        </w:numPr>
        <w:pStyle w:val="Compact"/>
      </w:pPr>
      <w:r>
        <w:t xml:space="preserve">Ogohlantiruvchi signal sifati (p.353): defoltdan 48 oy oldin mediana B1, 17 oy oldin B2, defolt paytida Caa2. Defolt yaqinlashgan sari pasayish tezlashadi.</w:t>
      </w:r>
    </w:p>
    <w:p>
      <w:pPr>
        <w:numPr>
          <w:ilvl w:val="0"/>
          <w:numId w:val="1104"/>
        </w:numPr>
        <w:pStyle w:val="Compact"/>
      </w:pPr>
      <w:r>
        <w:t xml:space="preserve">“</w:t>
      </w:r>
      <w:r>
        <w:t xml:space="preserve">Rating momentum</w:t>
      </w:r>
      <w:r>
        <w:t xml:space="preserve">”</w:t>
      </w:r>
      <w:r>
        <w:t xml:space="preserve">: downgrade dan keyin yana downgrade bo’lish ehtimoli upgrade dan 9 baravar yuqori (p.354).</w:t>
      </w:r>
    </w:p>
    <w:p>
      <w:pPr>
        <w:numPr>
          <w:ilvl w:val="0"/>
          <w:numId w:val="1104"/>
        </w:numPr>
        <w:pStyle w:val="Compact"/>
      </w:pPr>
      <w:r>
        <w:t xml:space="preserve">Siklga bog’liqlik (p.354–355): retsessiyada upgrade ulushi pasayadi (2000 yilda 48%, 2002 yilda 19%). Yangi reytinglar protsiklik. TTC barqarorroq, lekin aniqligi pastroq.</w:t>
      </w:r>
    </w:p>
    <w:bookmarkEnd w:id="109"/>
    <w:bookmarkStart w:id="110" w:name="dissertatsiyada-qollash-8"/>
    <w:p>
      <w:pPr>
        <w:pStyle w:val="Heading3"/>
      </w:pPr>
      <w:r>
        <w:t xml:space="preserve">Dissertatsiyada qo’llash</w:t>
      </w:r>
    </w:p>
    <w:p>
      <w:pPr>
        <w:numPr>
          <w:ilvl w:val="0"/>
          <w:numId w:val="1107"/>
        </w:numPr>
        <w:pStyle w:val="Compact"/>
      </w:pPr>
      <w:r>
        <w:t xml:space="preserve">§1.1/§1.3 – Fitch ning bank</w:t>
      </w:r>
      <w:r>
        <w:t xml:space="preserve"> </w:t>
      </w:r>
      <w:r>
        <w:t xml:space="preserve">“</w:t>
      </w:r>
      <w:r>
        <w:t xml:space="preserve">failure</w:t>
      </w:r>
      <w:r>
        <w:t xml:space="preserve">”</w:t>
      </w:r>
      <w:r>
        <w:t xml:space="preserve"> </w:t>
      </w:r>
      <w:r>
        <w:t xml:space="preserve">ta’rifi va</w:t>
      </w:r>
      <w:r>
        <w:t xml:space="preserve"> </w:t>
      </w:r>
      <w:r>
        <w:t xml:space="preserve">“</w:t>
      </w:r>
      <w:r>
        <w:t xml:space="preserve">failure ≠ default</w:t>
      </w:r>
      <w:r>
        <w:t xml:space="preserve">”</w:t>
      </w:r>
      <w:r>
        <w:t xml:space="preserve"> </w:t>
      </w:r>
      <w:r>
        <w:t xml:space="preserve">farqi bank moliyaviy barqarorligi kategoriyasini aniqlashda nazariy tayanch bo’ladi. Barqarorlik o’lchovi qo’llovsiz stand-alone kuch sifatida talqin qilinadi.</w:t>
      </w:r>
    </w:p>
    <w:p>
      <w:pPr>
        <w:numPr>
          <w:ilvl w:val="0"/>
          <w:numId w:val="1107"/>
        </w:numPr>
        <w:pStyle w:val="Compact"/>
      </w:pPr>
      <w:r>
        <w:t xml:space="preserve">§3.1 – MBII ning 4 darajasi (75/50/25) Moody’s BFSR A–E shkalasiga va CAMEL tuzilishiga mos keladi. Ekspert verbal tavsiflarni Exhibit 6.13 asosida yozish mumkin.</w:t>
      </w:r>
    </w:p>
    <w:p>
      <w:pPr>
        <w:numPr>
          <w:ilvl w:val="0"/>
          <w:numId w:val="1107"/>
        </w:numPr>
        <w:pStyle w:val="Compact"/>
      </w:pPr>
      <w:r>
        <w:t xml:space="preserve">§3.2 – SIB lar uchun MBII</w:t>
      </w:r>
      <w:r>
        <w:t xml:space="preserve"> </w:t>
      </w:r>
      <w:r>
        <w:t xml:space="preserve">“</w:t>
      </w:r>
      <w:r>
        <w:t xml:space="preserve">stand-alone</w:t>
      </w:r>
      <w:r>
        <w:t xml:space="preserve">”</w:t>
      </w:r>
      <w:r>
        <w:t xml:space="preserve"> </w:t>
      </w:r>
      <w:r>
        <w:t xml:space="preserve">ko’rsatkich sifatida, davlat qo’llovi esa alohida (FSR → issuer rating mantig’i bilan).</w:t>
      </w:r>
    </w:p>
    <w:p>
      <w:pPr>
        <w:numPr>
          <w:ilvl w:val="0"/>
          <w:numId w:val="1107"/>
        </w:numPr>
        <w:pStyle w:val="Compact"/>
      </w:pPr>
      <w:r>
        <w:t xml:space="preserve">§4.2 – Gini/AR, CAP, 1 yillik o’tish matritsasi, stability rate va drift ni MBII darajalari uchun hisoblash. Gorizont uzaygan sari AR pasayishini kutish kerak (83→71%).</w:t>
      </w:r>
    </w:p>
    <w:p>
      <w:pPr>
        <w:numPr>
          <w:ilvl w:val="0"/>
          <w:numId w:val="1107"/>
        </w:numPr>
        <w:pStyle w:val="Compact"/>
      </w:pPr>
      <w:r>
        <w:t xml:space="preserve">§4.3 – Barqarorlik va aniqlik o’rtasidagi kelishuv hamda TTC/PIT farqi MBII prognozini talqin qilishda; protsiklik ta’sir stress-ssenariyda.</w:t>
      </w:r>
    </w:p>
    <w:p>
      <w:pPr>
        <w:numPr>
          <w:ilvl w:val="0"/>
          <w:numId w:val="1107"/>
        </w:numPr>
        <w:pStyle w:val="Compact"/>
      </w:pPr>
      <w:r>
        <w:t xml:space="preserve">§1.3 – Exhibit 2.3 reytingni PD ga o’tkazish jadvali sifatida (MBII ni ordinal shkala sifatida tushuntirishda).</w:t>
      </w:r>
    </w:p>
    <w:bookmarkEnd w:id="110"/>
    <w:bookmarkStart w:id="111" w:name="iqtiboslar-4"/>
    <w:p>
      <w:pPr>
        <w:pStyle w:val="Heading3"/>
      </w:pPr>
      <w:r>
        <w:t xml:space="preserve">Iqtiboslar</w:t>
      </w:r>
    </w:p>
    <w:p>
      <w:pPr>
        <w:numPr>
          <w:ilvl w:val="0"/>
          <w:numId w:val="1108"/>
        </w:numPr>
        <w:pStyle w:val="Compact"/>
      </w:pPr>
      <w:r>
        <w:t xml:space="preserve">“</w:t>
      </w:r>
      <w:r>
        <w:t xml:space="preserve">The financial strength rating can be understood as a measure of the likelihood that a bank will require support.</w:t>
      </w:r>
      <w:r>
        <w:t xml:space="preserve">”</w:t>
      </w:r>
      <w:r>
        <w:t xml:space="preserve"> </w:t>
      </w:r>
      <w:r>
        <w:t xml:space="preserve">(p.293)</w:t>
      </w:r>
    </w:p>
    <w:p>
      <w:pPr>
        <w:numPr>
          <w:ilvl w:val="0"/>
          <w:numId w:val="1108"/>
        </w:numPr>
        <w:pStyle w:val="Compact"/>
      </w:pPr>
      <w:r>
        <w:t xml:space="preserve">“</w:t>
      </w:r>
      <w:r>
        <w:t xml:space="preserve">The failure rate of banks is substantially higher than their default rate, and this difference is support, typically provided by governments.</w:t>
      </w:r>
      <w:r>
        <w:t xml:space="preserve">”</w:t>
      </w:r>
      <w:r>
        <w:t xml:space="preserve"> </w:t>
      </w:r>
      <w:r>
        <w:t xml:space="preserve">(p.293)</w:t>
      </w:r>
    </w:p>
    <w:p>
      <w:pPr>
        <w:numPr>
          <w:ilvl w:val="0"/>
          <w:numId w:val="1108"/>
        </w:numPr>
        <w:pStyle w:val="Compact"/>
      </w:pPr>
      <w:r>
        <w:t xml:space="preserve">“</w:t>
      </w:r>
      <w:r>
        <w:t xml:space="preserve">Asset quality – This is the most important part of bank analysis as it is the main driver of future earnings.</w:t>
      </w:r>
      <w:r>
        <w:t xml:space="preserve">”</w:t>
      </w:r>
      <w:r>
        <w:t xml:space="preserve"> </w:t>
      </w:r>
      <w:r>
        <w:t xml:space="preserve">(p.294)</w:t>
      </w:r>
    </w:p>
    <w:p>
      <w:pPr>
        <w:numPr>
          <w:ilvl w:val="0"/>
          <w:numId w:val="1108"/>
        </w:numPr>
        <w:pStyle w:val="Compact"/>
      </w:pPr>
      <w:r>
        <w:t xml:space="preserve">“</w:t>
      </w:r>
      <w:r>
        <w:t xml:space="preserve">It is an index, not an absolute measure.</w:t>
      </w:r>
      <w:r>
        <w:t xml:space="preserve">”</w:t>
      </w:r>
      <w:r>
        <w:t xml:space="preserve"> </w:t>
      </w:r>
      <w:r>
        <w:t xml:space="preserve">(p.44)</w:t>
      </w:r>
    </w:p>
    <w:p>
      <w:pPr>
        <w:numPr>
          <w:ilvl w:val="0"/>
          <w:numId w:val="1108"/>
        </w:numPr>
        <w:pStyle w:val="Compact"/>
      </w:pPr>
      <w:r>
        <w:t xml:space="preserve">“</w:t>
      </w:r>
      <w:r>
        <w:t xml:space="preserve">Accuracy and stability are two inherently conflicting characteristics of ratings.</w:t>
      </w:r>
      <w:r>
        <w:t xml:space="preserve">”</w:t>
      </w:r>
      <w:r>
        <w:t xml:space="preserve"> </w:t>
      </w:r>
      <w:r>
        <w:t xml:space="preserve">(p.334)</w:t>
      </w:r>
    </w:p>
    <w:p>
      <w:pPr>
        <w:numPr>
          <w:ilvl w:val="0"/>
          <w:numId w:val="1108"/>
        </w:numPr>
        <w:pStyle w:val="Compact"/>
      </w:pPr>
      <w:r>
        <w:t xml:space="preserve">“</w:t>
      </w:r>
      <w:r>
        <w:t xml:space="preserve">Diagonal elements are a direct measure of stability</w:t>
      </w:r>
      <w:r>
        <w:t xml:space="preserve">”</w:t>
      </w:r>
      <w:r>
        <w:t xml:space="preserve"> </w:t>
      </w:r>
      <w:r>
        <w:t xml:space="preserve">(p.342)</w:t>
      </w:r>
    </w:p>
    <w:p>
      <w:pPr>
        <w:numPr>
          <w:ilvl w:val="0"/>
          <w:numId w:val="1108"/>
        </w:numPr>
        <w:pStyle w:val="Compact"/>
      </w:pPr>
      <w:r>
        <w:t xml:space="preserve">“</w:t>
      </w:r>
      <w:r>
        <w:t xml:space="preserve">ratings need to be sufficiently cycle neutral to bring stability, but also sufficiently timely to bring enough accuracy</w:t>
      </w:r>
      <w:r>
        <w:t xml:space="preserve">”</w:t>
      </w:r>
      <w:r>
        <w:t xml:space="preserve"> </w:t>
      </w:r>
      <w:r>
        <w:t xml:space="preserve">(p.355)</w:t>
      </w:r>
    </w:p>
    <w:bookmarkEnd w:id="111"/>
    <w:bookmarkStart w:id="112" w:name="moslashtiriladigan-jadvalformulalar-7"/>
    <w:p>
      <w:pPr>
        <w:pStyle w:val="Heading3"/>
      </w:pPr>
      <w:r>
        <w:t xml:space="preserve">Moslashtiriladigan jadval/formulalar</w:t>
      </w:r>
    </w:p>
    <w:p>
      <w:pPr>
        <w:numPr>
          <w:ilvl w:val="0"/>
          <w:numId w:val="1109"/>
        </w:numPr>
        <w:pStyle w:val="Compact"/>
      </w:pPr>
      <w:r>
        <w:t xml:space="preserve">Exhibit 2.2 (p.45) – S&amp;P shkalasi tavsiflari.</w:t>
      </w:r>
    </w:p>
    <w:p>
      <w:pPr>
        <w:numPr>
          <w:ilvl w:val="0"/>
          <w:numId w:val="1109"/>
        </w:numPr>
        <w:pStyle w:val="Compact"/>
      </w:pPr>
      <w:r>
        <w:t xml:space="preserve">Exhibit 2.3 (p.47) – notch ↔ raqam ↔ EDF mosligi.</w:t>
      </w:r>
    </w:p>
    <w:p>
      <w:pPr>
        <w:numPr>
          <w:ilvl w:val="0"/>
          <w:numId w:val="1109"/>
        </w:numPr>
        <w:pStyle w:val="Compact"/>
      </w:pPr>
      <w:r>
        <w:t xml:space="preserve">Fig. 2.8 (p.48) – reyting bo’yicha kumulyativ defolt darajalari.</w:t>
      </w:r>
    </w:p>
    <w:p>
      <w:pPr>
        <w:numPr>
          <w:ilvl w:val="0"/>
          <w:numId w:val="1109"/>
        </w:numPr>
        <w:pStyle w:val="Compact"/>
      </w:pPr>
      <w:r>
        <w:t xml:space="preserve">Exhibit 6.13 (p.295) – BFSR A–E shkalasi.</w:t>
      </w:r>
    </w:p>
    <w:p>
      <w:pPr>
        <w:numPr>
          <w:ilvl w:val="0"/>
          <w:numId w:val="1109"/>
        </w:numPr>
        <w:pStyle w:val="Compact"/>
      </w:pPr>
      <w:r>
        <w:t xml:space="preserve">Table 7.6 (p.334) – aniqlik va barqarorlik bo’yicha</w:t>
      </w:r>
      <w:r>
        <w:t xml:space="preserve"> </w:t>
      </w:r>
      <w:r>
        <w:t xml:space="preserve">“</w:t>
      </w:r>
      <w:r>
        <w:t xml:space="preserve">dashboard</w:t>
      </w:r>
      <w:r>
        <w:t xml:space="preserve">”</w:t>
      </w:r>
      <w:r>
        <w:t xml:space="preserve">.</w:t>
      </w:r>
    </w:p>
    <w:p>
      <w:pPr>
        <w:numPr>
          <w:ilvl w:val="0"/>
          <w:numId w:val="1109"/>
        </w:numPr>
        <w:pStyle w:val="Compact"/>
      </w:pPr>
      <w:r>
        <w:t xml:space="preserve">Table 7.8 (p.341) – gorizont bo’yicha Gini.</w:t>
      </w:r>
    </w:p>
    <w:p>
      <w:pPr>
        <w:numPr>
          <w:ilvl w:val="0"/>
          <w:numId w:val="1109"/>
        </w:numPr>
        <w:pStyle w:val="Compact"/>
      </w:pPr>
      <w:r>
        <w:t xml:space="preserve">Table 7.9 (p.342) – o’tish matritsasi.</w:t>
      </w:r>
    </w:p>
    <w:p>
      <w:pPr>
        <w:numPr>
          <w:ilvl w:val="0"/>
          <w:numId w:val="1109"/>
        </w:numPr>
        <w:pStyle w:val="Compact"/>
      </w:pPr>
      <w:r>
        <w:t xml:space="preserve">Table 7.15 izohlari (p.351) – drift, volatility va stability rate formulalari.</w:t>
      </w:r>
    </w:p>
    <w:p>
      <w:pPr>
        <w:numPr>
          <w:ilvl w:val="0"/>
          <w:numId w:val="1109"/>
        </w:numPr>
        <w:pStyle w:val="Compact"/>
      </w:pPr>
      <w:r>
        <w:t xml:space="preserve">Marjinal defolt formulasi (p.337).</w:t>
      </w:r>
    </w:p>
    <w:p>
      <w:pPr>
        <w:numPr>
          <w:ilvl w:val="0"/>
          <w:numId w:val="1109"/>
        </w:numPr>
        <w:pStyle w:val="Compact"/>
      </w:pPr>
      <w:r>
        <w:t xml:space="preserve">Table 7.16 va Fig. 7.16 (p.353–354) – defoltdan oldingi reyting traektoriyasi.</w:t>
      </w:r>
    </w:p>
    <w:bookmarkEnd w:id="112"/>
    <w:bookmarkEnd w:id="113"/>
    <w:bookmarkStart w:id="114" w:name="X0f35c7e534410d4cc71b3f5c2581385063f581d"/>
    <w:p>
      <w:pPr>
        <w:pStyle w:val="Heading2"/>
      </w:pPr>
      <w:r>
        <w:t xml:space="preserve">16. Chesini G., Giaretta E., Paltrinieri A. (eds.) «The Business of Banking» (Palgrave, 2017)</w:t>
      </w:r>
    </w:p>
    <w:p>
      <w:pPr>
        <w:pStyle w:val="FirstParagraph"/>
      </w:pPr>
      <w:r>
        <w:rPr>
          <w:bCs/>
          <w:b/>
        </w:rPr>
        <w:t xml:space="preserve">1. Bibliografiya:</w:t>
      </w:r>
      <w:r>
        <w:t xml:space="preserve"> </w:t>
      </w:r>
      <w:r>
        <w:t xml:space="preserve">Chesini G., Giaretta E., Paltrinieri A. (eds.). The Business of Banking: Models, Risk and Regulation. – Cham: Palgrave Macmillan, 2017 (Palgrave Macmillan Studies in Banking and Financial Institutions). Boblar:</w:t>
      </w:r>
      <w:r>
        <w:t xml:space="preserve"> </w:t>
      </w:r>
      <w:r>
        <w:t xml:space="preserve">- Cruz-García P., Fernández de Guevara J., Maudos J. Interest Rates and Net Interest Margins: The Impact of Monetary Policy. – pp. 5–34.</w:t>
      </w:r>
      <w:r>
        <w:t xml:space="preserve"> </w:t>
      </w:r>
      <w:r>
        <w:t xml:space="preserve">- Crespi F., Aliano M. Incapability or Bad Luck? Testing the</w:t>
      </w:r>
      <w:r>
        <w:t xml:space="preserve"> </w:t>
      </w:r>
      <w:r>
        <w:t xml:space="preserve">“</w:t>
      </w:r>
      <w:r>
        <w:t xml:space="preserve">Bad Management</w:t>
      </w:r>
      <w:r>
        <w:t xml:space="preserve">”</w:t>
      </w:r>
      <w:r>
        <w:t xml:space="preserve"> </w:t>
      </w:r>
      <w:r>
        <w:t xml:space="preserve">Hypothesis in the Italian Banking System. – pp. 55–78.</w:t>
      </w:r>
      <w:r>
        <w:t xml:space="preserve"> </w:t>
      </w:r>
      <w:r>
        <w:t xml:space="preserve">- Cosma S., Ferretti R., Gualandri E., Landi A., Venturelli V. The Business Model of Banks: A Review of the Theoretical and Empirical Literature. – pp. 131–168.</w:t>
      </w:r>
    </w:p>
    <w:p>
      <w:pPr>
        <w:pStyle w:val="BodyText"/>
      </w:pPr>
      <w:r>
        <w:rPr>
          <w:bCs/>
          <w:b/>
        </w:rPr>
        <w:t xml:space="preserve">2. Mazmun</w:t>
      </w:r>
    </w:p>
    <w:p>
      <w:pPr>
        <w:pStyle w:val="BodyText"/>
      </w:pPr>
      <w:r>
        <w:rPr>
          <w:iCs/>
          <w:i/>
        </w:rPr>
        <w:t xml:space="preserve">4-bob. Crespi va Aliano (to‘liq)</w:t>
      </w:r>
      <w:r>
        <w:t xml:space="preserve"> </w:t>
      </w:r>
      <w:r>
        <w:t xml:space="preserve">- Berger–DeYoung (1997) to‘rt gipotezasi (p.59–61):</w:t>
      </w:r>
      <w:r>
        <w:t xml:space="preserve"> </w:t>
      </w:r>
      <w:r>
        <w:t xml:space="preserve">-</w:t>
      </w:r>
      <w:r>
        <w:t xml:space="preserve"> </w:t>
      </w:r>
      <w:r>
        <w:rPr>
          <w:bCs/>
          <w:b/>
        </w:rPr>
        <w:t xml:space="preserve">bad luck</w:t>
      </w:r>
      <w:r>
        <w:t xml:space="preserve">: NPL o‘sishi samaradorlik pasayishidan oldin keladi;</w:t>
      </w:r>
      <w:r>
        <w:t xml:space="preserve"> </w:t>
      </w:r>
      <w:r>
        <w:t xml:space="preserve">-</w:t>
      </w:r>
      <w:r>
        <w:t xml:space="preserve"> </w:t>
      </w:r>
      <w:r>
        <w:rPr>
          <w:bCs/>
          <w:b/>
        </w:rPr>
        <w:t xml:space="preserve">bad management</w:t>
      </w:r>
      <w:r>
        <w:t xml:space="preserve">: past xarajat samaradorligi lag bilan NPL o‘sishiga olib keladi;</w:t>
      </w:r>
      <w:r>
        <w:t xml:space="preserve"> </w:t>
      </w:r>
      <w:r>
        <w:t xml:space="preserve">-</w:t>
      </w:r>
      <w:r>
        <w:t xml:space="preserve"> </w:t>
      </w:r>
      <w:r>
        <w:rPr>
          <w:bCs/>
          <w:b/>
        </w:rPr>
        <w:t xml:space="preserve">skimping</w:t>
      </w:r>
      <w:r>
        <w:t xml:space="preserve">: monitoringga tejash avval samaradorlikni oshiradi, keyin NPLni oshiradi (ishora teskari);</w:t>
      </w:r>
      <w:r>
        <w:t xml:space="preserve"> </w:t>
      </w:r>
      <w:r>
        <w:t xml:space="preserve">-</w:t>
      </w:r>
      <w:r>
        <w:t xml:space="preserve"> </w:t>
      </w:r>
      <w:r>
        <w:rPr>
          <w:bCs/>
          <w:b/>
        </w:rPr>
        <w:t xml:space="preserve">moral hazard</w:t>
      </w:r>
      <w:r>
        <w:t xml:space="preserve">: past kapital NPLni oshiradi.</w:t>
      </w:r>
      <w:r>
        <w:t xml:space="preserve"> </w:t>
      </w:r>
      <w:r>
        <w:t xml:space="preserve">- Podpiera–Weill (p.61):</w:t>
      </w:r>
      <w:r>
        <w:t xml:space="preserve"> </w:t>
      </w:r>
      <w:r>
        <w:t xml:space="preserve">“</w:t>
      </w:r>
      <w:r>
        <w:t xml:space="preserve">kompensatsiyalangan risk</w:t>
      </w:r>
      <w:r>
        <w:t xml:space="preserve">”</w:t>
      </w:r>
      <w:r>
        <w:t xml:space="preserve"> </w:t>
      </w:r>
      <w:r>
        <w:t xml:space="preserve">= NPL/kreditlar − foiz daromadi/kreditlar.</w:t>
      </w:r>
      <w:r>
        <w:t xml:space="preserve"> </w:t>
      </w:r>
      <w:r>
        <w:t xml:space="preserve">- Ma’lumotlar (p.63–67): Italiyaning 48 ta banki, 2010–2013. Ular sektor aktivlarining 82%, NPLning 66% i.</w:t>
      </w:r>
      <w:r>
        <w:t xml:space="preserve"> </w:t>
      </w:r>
      <w:r>
        <w:t xml:space="preserve">- Bank of Italy 272/2008 qoidasi bo‘yicha to‘rt toifa (p.64):</w:t>
      </w:r>
      <w:r>
        <w:t xml:space="preserve"> </w:t>
      </w:r>
      <w:r>
        <w:t xml:space="preserve">- substandard (vaqtincha qiyinchilikdagi qarzdor);</w:t>
      </w:r>
      <w:r>
        <w:t xml:space="preserve"> </w:t>
      </w:r>
      <w:r>
        <w:t xml:space="preserve">- &gt;90 kun muddati o‘tgan;</w:t>
      </w:r>
      <w:r>
        <w:t xml:space="preserve"> </w:t>
      </w:r>
      <w:r>
        <w:t xml:space="preserve">- bad loans (to‘lovga qodir emas);</w:t>
      </w:r>
      <w:r>
        <w:t xml:space="preserve"> </w:t>
      </w:r>
      <w:r>
        <w:t xml:space="preserve">- restrukturizatsiya qilingan.</w:t>
      </w:r>
      <w:r>
        <w:t xml:space="preserve"> </w:t>
      </w:r>
      <w:r>
        <w:t xml:space="preserve">- Muammoli kreditlar/mijozlarga kreditlar: 8.49% dan 15.46% gacha. Kooperativ banklarda markaziy hududda 37.45% ga yetgan (Table 4.2, p.67).</w:t>
      </w:r>
      <w:r>
        <w:t xml:space="preserve"> </w:t>
      </w:r>
      <w:r>
        <w:t xml:space="preserve">- Model:</w:t>
      </w:r>
      <w:r>
        <w:t xml:space="preserve"> </w:t>
      </w:r>
      <w:r>
        <w:t xml:space="preserve">- bog‘liq o‘zgaruvchi cq = umidsiz kreditlar/mijozlarga kreditlar (4.1), p.67;</w:t>
      </w:r>
      <w:r>
        <w:t xml:space="preserve"> </w:t>
      </w:r>
      <w:r>
        <w:t xml:space="preserve">- pooled OLS, o‘zgaruvchilar t−1 da (4.2), p.68;</w:t>
      </w:r>
      <w:r>
        <w:t xml:space="preserve"> </w:t>
      </w:r>
      <w:r>
        <w:t xml:space="preserve">- Arc = kreditlar/TA; Exp = muddati o‘tgan/kreditlar; Ris = restrukturizatsiya/kreditlar; Netinc = SFD/TA; Equity; Regional dummy; Efficiency = operatsion daromad/xarajat; Struct = foizsiz xarajatlar/(SFD + komissiya); IRB dummy (p.70–71).</w:t>
      </w:r>
      <w:r>
        <w:t xml:space="preserve"> </w:t>
      </w:r>
      <w:r>
        <w:t xml:space="preserve">- Natijalar (Table 4.4, p.72; R² 0.91, 138 kuzatuv):</w:t>
      </w:r>
      <w:r>
        <w:t xml:space="preserve"> </w:t>
      </w:r>
      <w:r>
        <w:t xml:space="preserve">- Arc −12.2</w:t>
      </w:r>
      <w:r>
        <w:rPr>
          <w:bCs/>
          <w:b/>
        </w:rPr>
        <w:t xml:space="preserve">; Exp +0.75</w:t>
      </w:r>
      <w:r>
        <w:rPr>
          <w:iCs/>
          <w:i/>
        </w:rPr>
        <w:t xml:space="preserve">; Ris +0.42…0.51; Netinc −0.39</w:t>
      </w:r>
      <w:r>
        <w:rPr>
          <w:bCs/>
          <w:b/>
          <w:iCs/>
          <w:i/>
        </w:rPr>
        <w:t xml:space="preserve">;</w:t>
      </w:r>
      <w:r>
        <w:rPr>
          <w:bCs/>
          <w:b/>
          <w:iCs/>
          <w:i/>
        </w:rPr>
        <w:t xml:space="preserve"> </w:t>
      </w:r>
      <w:r>
        <w:rPr>
          <w:bCs/>
          <w:b/>
          <w:iCs/>
          <w:i/>
        </w:rPr>
        <w:t xml:space="preserve">- bad loans(−1) +1.12</w:t>
      </w:r>
      <w:r>
        <w:t xml:space="preserve">: o‘zini o‘zi kuchaytiradi;</w:t>
      </w:r>
      <w:r>
        <w:t xml:space="preserve"> </w:t>
      </w:r>
      <w:r>
        <w:t xml:space="preserve">- Regional +0.008**; Efficiency −0.0018…−0.0021</w:t>
      </w:r>
      <w:r>
        <w:rPr>
          <w:iCs/>
          <w:i/>
        </w:rPr>
        <w:t xml:space="preserve">; Size −0.019</w:t>
      </w:r>
      <w:r>
        <w:t xml:space="preserve">;</w:t>
      </w:r>
      <w:r>
        <w:t xml:space="preserve"> </w:t>
      </w:r>
      <w:r>
        <w:t xml:space="preserve">- Equity va IRB ahamiyatsiz.</w:t>
      </w:r>
      <w:r>
        <w:t xml:space="preserve"> </w:t>
      </w:r>
      <w:r>
        <w:t xml:space="preserve">- VIF &lt; 10 (Table 4.5, p.74). Sistemaviy GMM Exp va Ris natijalarini tasdiqlaydi (Table 4.7, p.74).</w:t>
      </w:r>
      <w:r>
        <w:t xml:space="preserve"> </w:t>
      </w:r>
      <w:r>
        <w:t xml:space="preserve">- Xulosa (p.75–76):</w:t>
      </w:r>
      <w:r>
        <w:t xml:space="preserve"> </w:t>
      </w:r>
      <w:r>
        <w:t xml:space="preserve">- bad management gipotezasi tasdiqlandi: muddati o‘tgan va restrukturizatsiya qilingan kreditlar umidsiz kreditlarga aylanadi;</w:t>
      </w:r>
      <w:r>
        <w:t xml:space="preserve"> </w:t>
      </w:r>
      <w:r>
        <w:t xml:space="preserve">- IRB bunga yordam bermagan;</w:t>
      </w:r>
      <w:r>
        <w:t xml:space="preserve"> </w:t>
      </w:r>
      <w:r>
        <w:t xml:space="preserve">- Italiya 2015: umidsiz kreditlar 200 mlrd, jami NPL 338 mlrd yevro.</w:t>
      </w:r>
    </w:p>
    <w:p>
      <w:pPr>
        <w:pStyle w:val="BodyText"/>
      </w:pPr>
      <w:r>
        <w:rPr>
          <w:iCs/>
          <w:i/>
        </w:rPr>
        <w:t xml:space="preserve">2-bob (qisman). Cruz-García va boshq. (NIM)</w:t>
      </w:r>
      <w:r>
        <w:t xml:space="preserve"> </w:t>
      </w:r>
      <w:r>
        <w:t xml:space="preserve">- Tanlanma va usul (p.11–21): 32 ta OECD mamlakati, 2003–2014, 54 540 kuzatuv. Ho–Saunders modeli kengaytirilgan va unga stavka hamda stavka kvadrati qo‘shilgan. System GMM (Arellano–Bond, Blundell–Bond).</w:t>
      </w:r>
      <w:r>
        <w:t xml:space="preserve"> </w:t>
      </w:r>
      <w:r>
        <w:t xml:space="preserve">- Natijalar (Table 2.2, p.25–26, [2]-ustun):</w:t>
      </w:r>
      <w:r>
        <w:t xml:space="preserve"> </w:t>
      </w:r>
      <w:r>
        <w:t xml:space="preserve">- NIM(−1) 0.295; stavka 0.451</w:t>
      </w:r>
      <w:r>
        <w:rPr>
          <w:bCs/>
          <w:b/>
        </w:rPr>
        <w:t xml:space="preserve">; stavka² −2.663</w:t>
      </w:r>
      <w:r>
        <w:t xml:space="preserve">: munosabat konkav, maksimum 8.5% stavkada (p.24);</w:t>
      </w:r>
      <w:r>
        <w:t xml:space="preserve"> </w:t>
      </w:r>
      <w:r>
        <w:t xml:space="preserve">- samaradorlik −0.008; ln(kreditlar) 0.278; risk aversiyasi 0.091; YaIM o‘sishi 0.204.</w:t>
      </w:r>
      <w:r>
        <w:t xml:space="preserve"> </w:t>
      </w:r>
      <w:r>
        <w:t xml:space="preserve">- Iqtisodiy ta’sir, 25-dan 75-persentilgacha o‘zgarish (Fig. 2.4, p.26–27): stavka +119 bp, hajm +83, risk aversiyasi +56, YaIM +51, samaradorlik −15 bp.</w:t>
      </w:r>
      <w:r>
        <w:t xml:space="preserve"> </w:t>
      </w:r>
      <w:r>
        <w:t xml:space="preserve">- 2008–2014 yillarda stavka pasayishi NIMni kamaytirgan (Table 2.3, p.28): yevro hududi −147 bp, AQSh −107, UK −158.</w:t>
      </w:r>
      <w:r>
        <w:t xml:space="preserve"> </w:t>
      </w:r>
      <w:r>
        <w:t xml:space="preserve">- Xulosa (p.29–30): past stavkalarda o‘sish va barqarorlik o‘rtasida trade-off bor. Stavkaning yanada pasayishi rentabellikni yemiradi.</w:t>
      </w:r>
    </w:p>
    <w:p>
      <w:pPr>
        <w:pStyle w:val="BodyText"/>
      </w:pPr>
      <w:r>
        <w:rPr>
          <w:iCs/>
          <w:i/>
        </w:rPr>
        <w:t xml:space="preserve">7-bob (qisman). Cosma va boshq. (biznes-model tasnifi)</w:t>
      </w:r>
      <w:r>
        <w:t xml:space="preserve"> </w:t>
      </w:r>
      <w:r>
        <w:t xml:space="preserve">- Biznes-model ta’riflari, menejment adabiyotidagi uch oqim (p.133–139, Fig. 7.1): IKT va e-biznes; strategiya (korporativ</w:t>
      </w:r>
      <w:r>
        <w:t xml:space="preserve"> </w:t>
      </w:r>
      <w:r>
        <w:t xml:space="preserve">“</w:t>
      </w:r>
      <w:r>
        <w:t xml:space="preserve">nima</w:t>
      </w:r>
      <w:r>
        <w:t xml:space="preserve">”</w:t>
      </w:r>
      <w:r>
        <w:t xml:space="preserve"> </w:t>
      </w:r>
      <w:r>
        <w:t xml:space="preserve">va biznes</w:t>
      </w:r>
      <w:r>
        <w:t xml:space="preserve"> </w:t>
      </w:r>
      <w:r>
        <w:t xml:space="preserve">“</w:t>
      </w:r>
      <w:r>
        <w:t xml:space="preserve">qanday</w:t>
      </w:r>
      <w:r>
        <w:t xml:space="preserve">”</w:t>
      </w:r>
      <w:r>
        <w:t xml:space="preserve">); strategik guruhlar (klaster).</w:t>
      </w:r>
      <w:r>
        <w:t xml:space="preserve"> </w:t>
      </w:r>
      <w:r>
        <w:t xml:space="preserve">- Bank biznes-modeli sxemasi (Fig. 7.2, p.140–141):</w:t>
      </w:r>
      <w:r>
        <w:t xml:space="preserve"> </w:t>
      </w:r>
      <w:r>
        <w:t xml:space="preserve">- 1-daraja: korporativ strategiyalar – o‘sish, diversifikatsiya, xalqarolashuv, riskka munosabat;</w:t>
      </w:r>
      <w:r>
        <w:t xml:space="preserve"> </w:t>
      </w:r>
      <w:r>
        <w:t xml:space="preserve">- SBA tarkibi va biznes-miks: aktiv/passiv va daromad tuzilmasi;</w:t>
      </w:r>
      <w:r>
        <w:t xml:space="preserve"> </w:t>
      </w:r>
      <w:r>
        <w:t xml:space="preserve">- 2-daraja: biznes strategiyalar – daromad, samaradorlik, risk;</w:t>
      </w:r>
      <w:r>
        <w:t xml:space="preserve"> </w:t>
      </w:r>
      <w:r>
        <w:t xml:space="preserve">- kontekst: makro, raqobat, regulyatsiya;</w:t>
      </w:r>
      <w:r>
        <w:t xml:space="preserve"> </w:t>
      </w:r>
      <w:r>
        <w:t xml:space="preserve">- natija: rentabellik, risk, bozor qiymati.</w:t>
      </w:r>
      <w:r>
        <w:t xml:space="preserve"> </w:t>
      </w:r>
      <w:r>
        <w:t xml:space="preserve">- Adabiyotning birinchi oqimi – klaster yondashuvi (p.141–144):</w:t>
      </w:r>
      <w:r>
        <w:t xml:space="preserve"> </w:t>
      </w:r>
      <w:r>
        <w:t xml:space="preserve">- Ayadi–de Groen: 6 indikator, 4 guruh;</w:t>
      </w:r>
      <w:r>
        <w:t xml:space="preserve"> </w:t>
      </w:r>
      <w:r>
        <w:t xml:space="preserve">- Roengpitya (BIS): retail-funded, wholesale-funded, trading. 2007-yildagi wholesale va trading banklarning 2/5 qismi 2013-yilga kelib retailga o‘tgan;</w:t>
      </w:r>
      <w:r>
        <w:t xml:space="preserve"> </w:t>
      </w:r>
      <w:r>
        <w:t xml:space="preserve">- ECB 2016: biznes-modellar</w:t>
      </w:r>
      <w:r>
        <w:t xml:space="preserve"> </w:t>
      </w:r>
      <w:r>
        <w:t xml:space="preserve">“</w:t>
      </w:r>
      <w:r>
        <w:t xml:space="preserve">yopishqoq</w:t>
      </w:r>
      <w:r>
        <w:t xml:space="preserve">”</w:t>
      </w:r>
      <w:r>
        <w:t xml:space="preserve">, kam o‘zgaradi;</w:t>
      </w:r>
      <w:r>
        <w:t xml:space="preserve"> </w:t>
      </w:r>
      <w:r>
        <w:t xml:space="preserve">- De Meo: retail, diversified, investment, EBA mezonlari bilan 8 guruh;</w:t>
      </w:r>
      <w:r>
        <w:t xml:space="preserve"> </w:t>
      </w:r>
      <w:r>
        <w:t xml:space="preserve">- Mergaert–Vennet: retail banklar rentabelroq va barqarorroq;</w:t>
      </w:r>
      <w:r>
        <w:t xml:space="preserve"> </w:t>
      </w:r>
      <w:r>
        <w:t xml:space="preserve">- Bonaccorsi: risk zichligi = RWA/ekspozitsiya.</w:t>
      </w:r>
      <w:r>
        <w:t xml:space="preserve"> </w:t>
      </w:r>
      <w:r>
        <w:t xml:space="preserve">- Ikkinchi oqim – keng ta’rif, risk determinantlari (p.144–147): Altunbas 2011; Köhler (Z-score, foizsiz daromad, nodepozit funding); ECB 2016 (143 bank, Z-score); Van Oordt–Zhou (tizimli risk).</w:t>
      </w:r>
      <w:r>
        <w:t xml:space="preserve"> </w:t>
      </w:r>
      <w:r>
        <w:t xml:space="preserve">- Nazoratda biznes-model tahlili (BMA), SREPning 1-elementi, EBA 2014 (p.153–154):</w:t>
      </w:r>
      <w:r>
        <w:t xml:space="preserve"> </w:t>
      </w:r>
      <w:r>
        <w:t xml:space="preserve">- faoliyatni identifikatsiya qilish;</w:t>
      </w:r>
      <w:r>
        <w:t xml:space="preserve"> </w:t>
      </w:r>
      <w:r>
        <w:t xml:space="preserve">- biznes muhit;</w:t>
      </w:r>
      <w:r>
        <w:t xml:space="preserve"> </w:t>
      </w:r>
      <w:r>
        <w:t xml:space="preserve">- kelajakka qaratilgan strategiya;</w:t>
      </w:r>
      <w:r>
        <w:t xml:space="preserve"> </w:t>
      </w:r>
      <w:r>
        <w:t xml:space="preserve">- hayotiylik (1 yil), barqarorlik (3 yil), sikl bo‘yicha barqarorlik (&gt;3 yil);</w:t>
      </w:r>
      <w:r>
        <w:t xml:space="preserve"> </w:t>
      </w:r>
      <w:r>
        <w:t xml:space="preserve">- zaif nuqtalar.</w:t>
      </w:r>
      <w:r>
        <w:t xml:space="preserve"> </w:t>
      </w:r>
      <w:r>
        <w:t xml:space="preserve">- Natijada banklar 4 sinfga va</w:t>
      </w:r>
      <w:r>
        <w:t xml:space="preserve"> </w:t>
      </w:r>
      <w:r>
        <w:t xml:space="preserve">“</w:t>
      </w:r>
      <w:r>
        <w:t xml:space="preserve">FOLTF</w:t>
      </w:r>
      <w:r>
        <w:t xml:space="preserve">”</w:t>
      </w:r>
      <w:r>
        <w:t xml:space="preserve"> </w:t>
      </w:r>
      <w:r>
        <w:t xml:space="preserve">toifasiga ajratiladi (p.155).</w:t>
      </w:r>
      <w:r>
        <w:t xml:space="preserve"> </w:t>
      </w:r>
      <w:r>
        <w:t xml:space="preserve">- Asosiy xulosalar (p.159–161): chakana funding eng muhim biznes-miks omili. Inqirozning birinchi to‘lqinida eng bardoshli bo‘lgan model (SME retail) keyingi davrda eng yomon natija ko‘rsatgan.</w:t>
      </w:r>
    </w:p>
    <w:p>
      <w:pPr>
        <w:pStyle w:val="BodyText"/>
      </w:pPr>
      <w:r>
        <w:rPr>
          <w:bCs/>
          <w:b/>
        </w:rPr>
        <w:t xml:space="preserve">3. Dissertatsiyada qo‘llash</w:t>
      </w:r>
      <w:r>
        <w:t xml:space="preserve"> </w:t>
      </w:r>
      <w:r>
        <w:t xml:space="preserve">- §4.1 – Crespi–Aliano spetsifikatsiyasi NPL sun’iy yo‘ldosh modeli uchun:</w:t>
      </w:r>
      <w:r>
        <w:t xml:space="preserve"> </w:t>
      </w:r>
      <w:r>
        <w:t xml:space="preserve">- O‘zbekistonda MB tasnifidagi</w:t>
      </w:r>
      <w:r>
        <w:t xml:space="preserve"> </w:t>
      </w:r>
      <w:r>
        <w:t xml:space="preserve">“</w:t>
      </w:r>
      <w:r>
        <w:t xml:space="preserve">substandart</w:t>
      </w:r>
      <w:r>
        <w:t xml:space="preserve">”</w:t>
      </w:r>
      <w:r>
        <w:t xml:space="preserve">,</w:t>
      </w:r>
      <w:r>
        <w:t xml:space="preserve"> </w:t>
      </w:r>
      <w:r>
        <w:t xml:space="preserve">“</w:t>
      </w:r>
      <w:r>
        <w:t xml:space="preserve">shubhali</w:t>
      </w:r>
      <w:r>
        <w:t xml:space="preserve">”</w:t>
      </w:r>
      <w:r>
        <w:t xml:space="preserve"> </w:t>
      </w:r>
      <w:r>
        <w:t xml:space="preserve">va</w:t>
      </w:r>
      <w:r>
        <w:t xml:space="preserve"> </w:t>
      </w:r>
      <w:r>
        <w:t xml:space="preserve">“</w:t>
      </w:r>
      <w:r>
        <w:t xml:space="preserve">umidsiz</w:t>
      </w:r>
      <w:r>
        <w:t xml:space="preserve">”</w:t>
      </w:r>
      <w:r>
        <w:t xml:space="preserve"> </w:t>
      </w:r>
      <w:r>
        <w:t xml:space="preserve">toifalar bilan lagli o‘tish (Exp, Ris → bad);</w:t>
      </w:r>
      <w:r>
        <w:t xml:space="preserve"> </w:t>
      </w:r>
      <w:r>
        <w:t xml:space="preserve">- Efficiency va Struct indikatorlari bad management proksisi;</w:t>
      </w:r>
      <w:r>
        <w:t xml:space="preserve"> </w:t>
      </w:r>
      <w:r>
        <w:t xml:space="preserve">- bad loans(t−1) autoregressiyasi GMM uchun asos.</w:t>
      </w:r>
      <w:r>
        <w:t xml:space="preserve"> </w:t>
      </w:r>
      <w:r>
        <w:t xml:space="preserve">- §4.3 – NPL o‘tish koeffitsiyenti (~0.75) ssenariy prognozida NPL migratsiyasi uchun analog bo‘ladi: stress ssenariyda substandart kreditlarning umidsizga o‘tishi.</w:t>
      </w:r>
      <w:r>
        <w:t xml:space="preserve"> </w:t>
      </w:r>
      <w:r>
        <w:t xml:space="preserve">- §3.1 va §4.3 – Cruz-Garcíaning konkav</w:t>
      </w:r>
      <w:r>
        <w:t xml:space="preserve"> </w:t>
      </w:r>
      <w:r>
        <w:t xml:space="preserve">“</w:t>
      </w:r>
      <w:r>
        <w:t xml:space="preserve">stavka → NIM</w:t>
      </w:r>
      <w:r>
        <w:t xml:space="preserve">”</w:t>
      </w:r>
      <w:r>
        <w:t xml:space="preserve"> </w:t>
      </w:r>
      <w:r>
        <w:t xml:space="preserve">bog‘liqligi rentabellik blokini (NIM) MB asosiy stavkasi ssenariylariga bog‘lash va optimistik ssenariyda stavka pasayishi NIMni yemirishini ko‘rsatish uchun.</w:t>
      </w:r>
      <w:r>
        <w:t xml:space="preserve"> </w:t>
      </w:r>
      <w:r>
        <w:t xml:space="preserve">- §3.2 va §2.2 – EBA BMA (1, 3 va &gt;3 yil) va peer-tahlil tizimli muhim davlat banklari (SQB, Mikrokreditbank) uchun MBII-Basel qoidalarida biznes-model hayotiyligi bo‘yicha qo‘shimcha signal.</w:t>
      </w:r>
      <w:r>
        <w:t xml:space="preserve"> </w:t>
      </w:r>
      <w:r>
        <w:t xml:space="preserve">- §1.3 – biznes-modellar tipologiyasi (retail, wholesale, trading) MBII bo‘yicha reytingda peer guruhlarni ajratish uchun.</w:t>
      </w:r>
    </w:p>
    <w:p>
      <w:pPr>
        <w:pStyle w:val="BodyText"/>
      </w:pPr>
      <w:r>
        <w:rPr>
          <w:bCs/>
          <w:b/>
        </w:rPr>
        <w:t xml:space="preserve">4. Iqtiboslar</w:t>
      </w:r>
      <w:r>
        <w:t xml:space="preserve"> </w:t>
      </w:r>
      <w:r>
        <w:t xml:space="preserve">-</w:t>
      </w:r>
      <w:r>
        <w:t xml:space="preserve"> </w:t>
      </w:r>
      <w:r>
        <w:t xml:space="preserve">“</w:t>
      </w:r>
      <w:r>
        <w:t xml:space="preserve">problematic loans (past due and restructured) tend to transform into bad loans, demonstrating that credit managers were not able to implement recovery strategies</w:t>
      </w:r>
      <w:r>
        <w:t xml:space="preserve">”</w:t>
      </w:r>
      <w:r>
        <w:t xml:space="preserve"> </w:t>
      </w:r>
      <w:r>
        <w:t xml:space="preserve">(p.75).</w:t>
      </w:r>
      <w:r>
        <w:t xml:space="preserve"> </w:t>
      </w:r>
      <w:r>
        <w:t xml:space="preserve">-</w:t>
      </w:r>
      <w:r>
        <w:t xml:space="preserve"> </w:t>
      </w:r>
      <w:r>
        <w:t xml:space="preserve">“</w:t>
      </w:r>
      <w:r>
        <w:t xml:space="preserve">under the</w:t>
      </w:r>
      <w:r>
        <w:t xml:space="preserve"> </w:t>
      </w:r>
      <w:r>
        <w:t xml:space="preserve">‘</w:t>
      </w:r>
      <w:r>
        <w:t xml:space="preserve">bad management</w:t>
      </w:r>
      <w:r>
        <w:t xml:space="preserve">’</w:t>
      </w:r>
      <w:r>
        <w:t xml:space="preserve"> </w:t>
      </w:r>
      <w:r>
        <w:t xml:space="preserve">hypothesis, low cost efficiency Granger-causes larger amounts of problem loans</w:t>
      </w:r>
      <w:r>
        <w:t xml:space="preserve">”</w:t>
      </w:r>
      <w:r>
        <w:t xml:space="preserve"> </w:t>
      </w:r>
      <w:r>
        <w:t xml:space="preserve">(p.59–60).</w:t>
      </w:r>
      <w:r>
        <w:t xml:space="preserve"> </w:t>
      </w:r>
      <w:r>
        <w:t xml:space="preserve">-</w:t>
      </w:r>
      <w:r>
        <w:t xml:space="preserve"> </w:t>
      </w:r>
      <w:r>
        <w:t xml:space="preserve">“</w:t>
      </w:r>
      <w:r>
        <w:t xml:space="preserve">it is rather surprising that the use of IRB models is not significant in reducing NPLs during time</w:t>
      </w:r>
      <w:r>
        <w:t xml:space="preserve">”</w:t>
      </w:r>
      <w:r>
        <w:t xml:space="preserve"> </w:t>
      </w:r>
      <w:r>
        <w:t xml:space="preserve">(p.75).</w:t>
      </w:r>
      <w:r>
        <w:t xml:space="preserve"> </w:t>
      </w:r>
      <w:r>
        <w:t xml:space="preserve">-</w:t>
      </w:r>
      <w:r>
        <w:t xml:space="preserve"> </w:t>
      </w:r>
      <w:r>
        <w:t xml:space="preserve">“</w:t>
      </w:r>
      <w:r>
        <w:t xml:space="preserve">a change in interest rates has a greater impact on the net interest margin the lower the level of interest rates</w:t>
      </w:r>
      <w:r>
        <w:t xml:space="preserve">”</w:t>
      </w:r>
      <w:r>
        <w:t xml:space="preserve"> </w:t>
      </w:r>
      <w:r>
        <w:t xml:space="preserve">(p.24).</w:t>
      </w:r>
      <w:r>
        <w:t xml:space="preserve"> </w:t>
      </w:r>
      <w:r>
        <w:t xml:space="preserve">-</w:t>
      </w:r>
      <w:r>
        <w:t xml:space="preserve"> </w:t>
      </w:r>
      <w:r>
        <w:t xml:space="preserve">“</w:t>
      </w:r>
      <w:r>
        <w:t xml:space="preserve">there is a trade-off between economic growth and financial stability associated with the impact of expansionary monetary policy when the level of interest rates is very low</w:t>
      </w:r>
      <w:r>
        <w:t xml:space="preserve">”</w:t>
      </w:r>
      <w:r>
        <w:t xml:space="preserve"> </w:t>
      </w:r>
      <w:r>
        <w:t xml:space="preserve">(p.30).</w:t>
      </w:r>
      <w:r>
        <w:t xml:space="preserve"> </w:t>
      </w:r>
      <w:r>
        <w:t xml:space="preserve">-</w:t>
      </w:r>
      <w:r>
        <w:t xml:space="preserve"> </w:t>
      </w:r>
      <w:r>
        <w:t xml:space="preserve">“</w:t>
      </w:r>
      <w:r>
        <w:t xml:space="preserve">The BM most resilient in the first wave of the financial crisis (retail banks with loans oriented to SMEs) has been the worst performer in the subsequent economic slowdown</w:t>
      </w:r>
      <w:r>
        <w:t xml:space="preserve">”</w:t>
      </w:r>
      <w:r>
        <w:t xml:space="preserve"> </w:t>
      </w:r>
      <w:r>
        <w:t xml:space="preserve">(p.160).</w:t>
      </w:r>
      <w:r>
        <w:t xml:space="preserve"> </w:t>
      </w:r>
      <w:r>
        <w:t xml:space="preserve">-</w:t>
      </w:r>
      <w:r>
        <w:t xml:space="preserve"> </w:t>
      </w:r>
      <w:r>
        <w:t xml:space="preserve">“</w:t>
      </w:r>
      <w:r>
        <w:t xml:space="preserve">assessment of the BM’s viability (within one year), sustainability (within three years) and sustainability over the cycle (more than three years)</w:t>
      </w:r>
      <w:r>
        <w:t xml:space="preserve">”</w:t>
      </w:r>
      <w:r>
        <w:t xml:space="preserve"> </w:t>
      </w:r>
      <w:r>
        <w:t xml:space="preserve">(p.154).</w:t>
      </w:r>
    </w:p>
    <w:p>
      <w:pPr>
        <w:pStyle w:val="BodyText"/>
      </w:pPr>
      <w:r>
        <w:rPr>
          <w:bCs/>
          <w:b/>
        </w:rPr>
        <w:t xml:space="preserve">5. Moslashtiriladigan jadval/formulalar</w:t>
      </w:r>
      <w:r>
        <w:t xml:space="preserve"> </w:t>
      </w:r>
      <w:r>
        <w:t xml:space="preserve">1. cq formulasi (4.1) va regressiya (4.2), p.67–68.</w:t>
      </w:r>
      <w:r>
        <w:t xml:space="preserve"> </w:t>
      </w:r>
      <w:r>
        <w:t xml:space="preserve">2. Crespi–Aliano jadvallari: Table 4.2 (p.67), Table 4.4 (p.72), Table 4.7 (p.74).</w:t>
      </w:r>
      <w:r>
        <w:t xml:space="preserve"> </w:t>
      </w:r>
      <w:r>
        <w:t xml:space="preserve">3. NIM tenglamasi (p.21), Table 2.2 (p.25–26), Fig. 2.4 (p.27), Table 2.3 (p.28).</w:t>
      </w:r>
      <w:r>
        <w:t xml:space="preserve"> </w:t>
      </w:r>
      <w:r>
        <w:t xml:space="preserve">4. Bank biznes-modeli strategik komponentlari, Fig. 7.2 (p.141).</w:t>
      </w:r>
      <w:r>
        <w:t xml:space="preserve"> </w:t>
      </w:r>
      <w:r>
        <w:t xml:space="preserve">5. EBA BMA bosqichlari (p.153–155).</w:t>
      </w:r>
    </w:p>
    <w:bookmarkEnd w:id="114"/>
    <w:bookmarkStart w:id="121" w:name="X48c74baf68c98c26f801d5a39d176dabf209554"/>
    <w:p>
      <w:pPr>
        <w:pStyle w:val="Heading2"/>
      </w:pPr>
      <w:r>
        <w:t xml:space="preserve">17. Modina M. «Credit Rating and Bank–Firm Relationships» (Palgrave, 2015)</w:t>
      </w:r>
    </w:p>
    <w:p>
      <w:pPr>
        <w:pStyle w:val="FirstParagraph"/>
      </w:pPr>
      <w:r>
        <w:rPr>
          <w:bCs/>
          <w:b/>
        </w:rPr>
        <w:t xml:space="preserve">Bibliografiya:</w:t>
      </w:r>
      <w:r>
        <w:t xml:space="preserve"> </w:t>
      </w:r>
      <w:r>
        <w:t xml:space="preserve">Modina M.</w:t>
      </w:r>
      <w:r>
        <w:t xml:space="preserve"> </w:t>
      </w:r>
      <w:r>
        <w:rPr>
          <w:iCs/>
          <w:i/>
        </w:rPr>
        <w:t xml:space="preserve">Credit Rating and Bank–Firm Relationships: New Models to Better Evaluate SMEs.</w:t>
      </w:r>
      <w:r>
        <w:t xml:space="preserve"> </w:t>
      </w:r>
      <w:r>
        <w:t xml:space="preserve">– Basingstoke: Palgrave Macmillan, 2015. – xvi + 176 p.</w:t>
      </w:r>
    </w:p>
    <w:bookmarkStart w:id="115" w:name="statistik-va-ekspert-yondashuvlar-p.2434"/>
    <w:p>
      <w:pPr>
        <w:pStyle w:val="Heading3"/>
      </w:pPr>
      <w:r>
        <w:t xml:space="preserve">2.2 Statistik va ekspert yondashuvlar (p.24–34)</w:t>
      </w:r>
    </w:p>
    <w:p>
      <w:pPr>
        <w:numPr>
          <w:ilvl w:val="0"/>
          <w:numId w:val="1110"/>
        </w:numPr>
        <w:pStyle w:val="Compact"/>
      </w:pPr>
      <w:r>
        <w:t xml:space="preserve">Univariat yondashuv (Beaver, 1966): 79 ta bankrot va 79 ta sog’lom firma o’rganilgan; eng kuchli ko’rsatkich cash-flow/debts (p.24).</w:t>
      </w:r>
    </w:p>
    <w:p>
      <w:pPr>
        <w:numPr>
          <w:ilvl w:val="0"/>
          <w:numId w:val="1110"/>
        </w:numPr>
        <w:pStyle w:val="Compact"/>
      </w:pPr>
      <w:r>
        <w:t xml:space="preserve">Diskriminant analiz (MDA) uchun ikki shart (p.24–25): o’zgaruvchilar normal taqsimlangan bo’lishi va guruhlar kovariatsiya matritsalari teng bo’lishi kerak.</w:t>
      </w:r>
    </w:p>
    <w:p>
      <w:pPr>
        <w:numPr>
          <w:ilvl w:val="0"/>
          <w:numId w:val="1110"/>
        </w:numPr>
        <w:pStyle w:val="Compact"/>
      </w:pPr>
      <w:r>
        <w:t xml:space="preserve">Logit regressiya PD ni ehtimol sifatida beradi va firmalarni reyting bo’yicha tartiblaydi (p.25).</w:t>
      </w:r>
    </w:p>
    <w:p>
      <w:pPr>
        <w:numPr>
          <w:ilvl w:val="0"/>
          <w:numId w:val="1110"/>
        </w:numPr>
        <w:pStyle w:val="Compact"/>
      </w:pPr>
      <w:r>
        <w:t xml:space="preserve">Sohaviy modellar umumiy modellardan aniqroq (p.25).</w:t>
      </w:r>
    </w:p>
    <w:p>
      <w:pPr>
        <w:numPr>
          <w:ilvl w:val="0"/>
          <w:numId w:val="1110"/>
        </w:numPr>
        <w:pStyle w:val="Compact"/>
      </w:pPr>
      <w:r>
        <w:t xml:space="preserve">Scoring modellari uch xil (p.28): LDA, logit/probit va neyron tarmoqlar. LDA da diskriminant funksiyalar soni k−1 ga teng.</w:t>
      </w:r>
    </w:p>
    <w:p>
      <w:pPr>
        <w:numPr>
          <w:ilvl w:val="0"/>
          <w:numId w:val="1110"/>
        </w:numPr>
        <w:pStyle w:val="Compact"/>
      </w:pPr>
      <w:r>
        <w:t xml:space="preserve">Altman Z-Score (p.29–30): Z = 1,2X1 + 1,4X2 + 3,3X3 + 0,6X4 + 1,0X5.</w:t>
      </w:r>
    </w:p>
    <w:p>
      <w:pPr>
        <w:numPr>
          <w:ilvl w:val="1"/>
          <w:numId w:val="1111"/>
        </w:numPr>
        <w:pStyle w:val="Compact"/>
      </w:pPr>
      <w:r>
        <w:t xml:space="preserve">X1 = NWC/TA; X2 = RE/TA; X3 = EBIT/TA; X4 = MVE/TL; X5 = Sales/TA;</w:t>
      </w:r>
    </w:p>
    <w:p>
      <w:pPr>
        <w:numPr>
          <w:ilvl w:val="1"/>
          <w:numId w:val="1111"/>
        </w:numPr>
        <w:pStyle w:val="Compact"/>
      </w:pPr>
      <w:r>
        <w:t xml:space="preserve">zonalar: &lt;1,79 yuqori PD; 1,8–2,69 o’rtacha-yuqori; 2,7–2,99 o’rtacha; &gt;3 sog’lom;</w:t>
      </w:r>
    </w:p>
    <w:p>
      <w:pPr>
        <w:numPr>
          <w:ilvl w:val="1"/>
          <w:numId w:val="1111"/>
        </w:numPr>
        <w:pStyle w:val="Compact"/>
      </w:pPr>
      <w:r>
        <w:t xml:space="preserve">bashorat xatosi: bankrotlikdan 1 yil oldin 15%, 2 yil oldin 17%.</w:t>
      </w:r>
    </w:p>
    <w:p>
      <w:pPr>
        <w:numPr>
          <w:ilvl w:val="0"/>
          <w:numId w:val="1110"/>
        </w:numPr>
        <w:pStyle w:val="Compact"/>
      </w:pPr>
      <w:r>
        <w:t xml:space="preserve">Zeta modeli (1977): 53 bankrot va 58 sog’lom firma, 7 ta o’zgaruvchi (ROA, daromad barqarorligi, qarzga xizmat ko’rsatish, RE/TA, joriy likvidlik, kapitallashuv, hajm) (p.30).</w:t>
      </w:r>
    </w:p>
    <w:p>
      <w:pPr>
        <w:numPr>
          <w:ilvl w:val="0"/>
          <w:numId w:val="1110"/>
        </w:numPr>
        <w:pStyle w:val="Compact"/>
      </w:pPr>
      <w:r>
        <w:t xml:space="preserve">Neyron tarmoqlar (Coats &amp; Fant, 1993): to’g’ri tasniflash 91% (qiyin ahvoldagi firmalar) va 96% (sog’lom firmalar); MDA da mos ravishda 72% va 89% (p.31–32).</w:t>
      </w:r>
    </w:p>
    <w:p>
      <w:pPr>
        <w:numPr>
          <w:ilvl w:val="0"/>
          <w:numId w:val="1110"/>
        </w:numPr>
        <w:pStyle w:val="Compact"/>
      </w:pPr>
      <w:r>
        <w:t xml:space="preserve">Ekspert (judgmental) yondashuv: sifat omillari ro’yxati (p.32). Bu yondashuv qimmat, shuning uchun asosan yirik korporatsiyalar uchun qo’llanadi (p.33).</w:t>
      </w:r>
    </w:p>
    <w:p>
      <w:pPr>
        <w:numPr>
          <w:ilvl w:val="0"/>
          <w:numId w:val="1110"/>
        </w:numPr>
        <w:pStyle w:val="Compact"/>
      </w:pPr>
      <w:r>
        <w:t xml:space="preserve">Statistik, ekspert va</w:t>
      </w:r>
      <w:r>
        <w:t xml:space="preserve"> </w:t>
      </w:r>
      <w:r>
        <w:t xml:space="preserve">“</w:t>
      </w:r>
      <w:r>
        <w:t xml:space="preserve">constrained expert judgment</w:t>
      </w:r>
      <w:r>
        <w:t xml:space="preserve">”</w:t>
      </w:r>
      <w:r>
        <w:t xml:space="preserve"> </w:t>
      </w:r>
      <w:r>
        <w:t xml:space="preserve">(gibrid) modellari solishtiruvi (Table 2.1, Fig. 2.1, p.33–34).</w:t>
      </w:r>
    </w:p>
    <w:bookmarkEnd w:id="115"/>
    <w:bookmarkStart w:id="116" w:name="irb-va-basel-iii-yangiliklari-p.3447"/>
    <w:p>
      <w:pPr>
        <w:pStyle w:val="Heading3"/>
      </w:pPr>
      <w:r>
        <w:t xml:space="preserve">2.3–2.4 IRB va Basel III yangiliklari (p.34–47)</w:t>
      </w:r>
    </w:p>
    <w:p>
      <w:pPr>
        <w:numPr>
          <w:ilvl w:val="0"/>
          <w:numId w:val="1112"/>
        </w:numPr>
        <w:pStyle w:val="Compact"/>
      </w:pPr>
      <w:r>
        <w:t xml:space="preserve">Rating tizimi ta’rifi: usullar, jarayonlar, nazorat va axborot tizimlari majmuasi (p.34).</w:t>
      </w:r>
    </w:p>
    <w:p>
      <w:pPr>
        <w:numPr>
          <w:ilvl w:val="0"/>
          <w:numId w:val="1112"/>
        </w:numPr>
        <w:pStyle w:val="Compact"/>
      </w:pPr>
      <w:r>
        <w:t xml:space="preserve">Foundation IRB da bank faqat PD ni baholaydi; Advanced IRB da PD, LGD, EAD va M ning barchasini (Table 2.2, p.36).</w:t>
      </w:r>
    </w:p>
    <w:p>
      <w:pPr>
        <w:numPr>
          <w:ilvl w:val="0"/>
          <w:numId w:val="1112"/>
        </w:numPr>
        <w:pStyle w:val="Compact"/>
      </w:pPr>
      <w:r>
        <w:t xml:space="preserve">Ekspozitsiyalarning 7 sinfi (p.36).</w:t>
      </w:r>
    </w:p>
    <w:p>
      <w:pPr>
        <w:numPr>
          <w:ilvl w:val="0"/>
          <w:numId w:val="1112"/>
        </w:numPr>
        <w:pStyle w:val="Compact"/>
      </w:pPr>
      <w:r>
        <w:t xml:space="preserve">K misollari, PD = 1%, LGD = 45%, M = 2,5 da (Table 2.3, p.38): korporativ 7,83%; KOB (&lt;50 mln €) 6,88%; ipoteka 4,78%; QRRE 1,46%; boshqa retail 3,88%.</w:t>
      </w:r>
    </w:p>
    <w:p>
      <w:pPr>
        <w:numPr>
          <w:ilvl w:val="0"/>
          <w:numId w:val="1112"/>
        </w:numPr>
        <w:pStyle w:val="Compact"/>
      </w:pPr>
      <w:r>
        <w:t xml:space="preserve">Maxsus kreditlar (slotting): risk vaznlari 50/70/115/250% (&lt;2,5 yil) va 70/90/115/250% (≥2,5 yil) (Table 2.4, p.39).</w:t>
      </w:r>
    </w:p>
    <w:p>
      <w:pPr>
        <w:numPr>
          <w:ilvl w:val="0"/>
          <w:numId w:val="1112"/>
        </w:numPr>
        <w:pStyle w:val="Compact"/>
      </w:pPr>
      <w:r>
        <w:t xml:space="preserve">RWA va K formulasi (Box 2.1, p.39–40):</w:t>
      </w:r>
    </w:p>
    <w:p>
      <w:pPr>
        <w:numPr>
          <w:ilvl w:val="1"/>
          <w:numId w:val="1113"/>
        </w:numPr>
        <w:pStyle w:val="Compact"/>
      </w:pPr>
      <w:r>
        <w:t xml:space="preserve">RWA = K·12,5·EAD;</w:t>
      </w:r>
    </w:p>
    <w:p>
      <w:pPr>
        <w:numPr>
          <w:ilvl w:val="1"/>
          <w:numId w:val="1113"/>
        </w:numPr>
        <w:pStyle w:val="Compact"/>
      </w:pPr>
      <w:r>
        <w:t xml:space="preserve">K = LGD·{N[(1−R)^−0,5·G(PD) + (R/(1−R))^0,5·G(0,999)] − PD}·[1+(M−2,5)b]/(1−1,5b);</w:t>
      </w:r>
    </w:p>
    <w:p>
      <w:pPr>
        <w:numPr>
          <w:ilvl w:val="1"/>
          <w:numId w:val="1113"/>
        </w:numPr>
        <w:pStyle w:val="Compact"/>
      </w:pPr>
      <w:r>
        <w:t xml:space="preserve">KOB uchun korrelyatsiyaga tuzatish: −0,04·[1−(S−5)/45].</w:t>
      </w:r>
    </w:p>
    <w:p>
      <w:pPr>
        <w:numPr>
          <w:ilvl w:val="1"/>
          <w:numId w:val="1113"/>
        </w:numPr>
        <w:pStyle w:val="Compact"/>
      </w:pPr>
      <w:r>
        <w:t xml:space="preserve">Diqqat: kitobda R formulasi soddalashtirilgan va xatoli yozilgan (</w:t>
      </w:r>
      <w:r>
        <w:t xml:space="preserve">“</w:t>
      </w:r>
      <w:r>
        <w:t xml:space="preserve">0,12·[1+EXP(−50PD)]</w:t>
      </w:r>
      <w:r>
        <w:t xml:space="preserve">”</w:t>
      </w:r>
      <w:r>
        <w:t xml:space="preserve">), oldiga 1,06 koeffitsienti qo’yilgan. Iqtibos keltirishdan oldin BCBS asl matni bilan tekshirish kerak.</w:t>
      </w:r>
    </w:p>
    <w:p>
      <w:pPr>
        <w:numPr>
          <w:ilvl w:val="0"/>
          <w:numId w:val="1112"/>
        </w:numPr>
        <w:pStyle w:val="Compact"/>
      </w:pPr>
      <w:r>
        <w:t xml:space="preserve">PD pastki chegarasi 0,03%; defoltdagi qarzdor uchun PD = 100% (p.40).</w:t>
      </w:r>
    </w:p>
    <w:p>
      <w:pPr>
        <w:numPr>
          <w:ilvl w:val="0"/>
          <w:numId w:val="1112"/>
        </w:numPr>
        <w:pStyle w:val="Compact"/>
      </w:pPr>
      <w:r>
        <w:t xml:space="preserve">PD ikki bosqichda hisoblanadi: avval qarzdor sinfga ajratiladi, so’ng sinf PD si belgilanadi. Sinf PD si 1 yillik defolt darajalarining uzoq muddatli o’rtachasi sifatida olinadi (p.40).</w:t>
      </w:r>
    </w:p>
    <w:p>
      <w:pPr>
        <w:numPr>
          <w:ilvl w:val="0"/>
          <w:numId w:val="1112"/>
        </w:numPr>
        <w:pStyle w:val="Compact"/>
      </w:pPr>
      <w:r>
        <w:t xml:space="preserve">Ma’lumot tarixi: PD uchun kamida 2→5 yil (FIRB) va 5 yil (AIRB) (p.40–41).</w:t>
      </w:r>
    </w:p>
    <w:p>
      <w:pPr>
        <w:numPr>
          <w:ilvl w:val="0"/>
          <w:numId w:val="1112"/>
        </w:numPr>
        <w:pStyle w:val="Compact"/>
      </w:pPr>
      <w:r>
        <w:t xml:space="preserve">PD ni baholashning 3 usuli: ichki tajriba, tashqi shkalaga mapping, statistik model (p.41).</w:t>
      </w:r>
    </w:p>
    <w:p>
      <w:pPr>
        <w:numPr>
          <w:ilvl w:val="0"/>
          <w:numId w:val="1112"/>
        </w:numPr>
        <w:pStyle w:val="Compact"/>
      </w:pPr>
      <w:r>
        <w:t xml:space="preserve">LGD (FIRB): ta’minlanmagan kreditlar 45%, subordinatsiyalangan 75%. Downturn LGD qo’llanadi. Ma’lumot tarixi 5→7 yil (p.41–42).</w:t>
      </w:r>
    </w:p>
    <w:p>
      <w:pPr>
        <w:numPr>
          <w:ilvl w:val="0"/>
          <w:numId w:val="1112"/>
        </w:numPr>
        <w:pStyle w:val="Compact"/>
      </w:pPr>
      <w:r>
        <w:t xml:space="preserve">CCF 75%; bekor qilinadigan liniyalar uchun 0%. M = 2,5 yil (AIRB da 1–5 yil oralig’ida) (p.42).</w:t>
      </w:r>
    </w:p>
    <w:p>
      <w:pPr>
        <w:numPr>
          <w:ilvl w:val="0"/>
          <w:numId w:val="1112"/>
        </w:numPr>
        <w:pStyle w:val="Compact"/>
      </w:pPr>
      <w:r>
        <w:t xml:space="preserve">Tashkiliy talablar (p.43–44): takrorlanuvchanlik, yaxlitlik (kredit berish va reyting tayinlash funksiyalari ajratilgan), bir xillik va yagonalik, hujjatlashtirish. Reyting kamida yiliga bir marta yangilanadi.</w:t>
      </w:r>
    </w:p>
    <w:p>
      <w:pPr>
        <w:numPr>
          <w:ilvl w:val="0"/>
          <w:numId w:val="1112"/>
        </w:numPr>
        <w:pStyle w:val="Compact"/>
      </w:pPr>
      <w:r>
        <w:t xml:space="preserve">Basel III maqsadlari (p.45): mikroprudensial (stressga chidamlilik) va makroprudensial (protsikliklikni cheklash).</w:t>
      </w:r>
    </w:p>
    <w:p>
      <w:pPr>
        <w:numPr>
          <w:ilvl w:val="0"/>
          <w:numId w:val="1112"/>
        </w:numPr>
        <w:pStyle w:val="Compact"/>
      </w:pPr>
      <w:r>
        <w:t xml:space="preserve">Kapital tarkibi (p.45–46): CET1 va AT1 uchun 14 tadan mezon; CET1 dan chegirmalar – goodwill, DTA, IRB da EL va zaxiralar farqi va boshqalar.</w:t>
      </w:r>
    </w:p>
    <w:p>
      <w:pPr>
        <w:numPr>
          <w:ilvl w:val="0"/>
          <w:numId w:val="1112"/>
        </w:numPr>
        <w:pStyle w:val="Compact"/>
      </w:pPr>
      <w:r>
        <w:t xml:space="preserve">Kapital me’yorlari (p.46–47): CET1 4,5% (oldin 2%); Tier 1 6% (oldin 4%); umumiy kapital 8%; konservatsiya buferi +2,5%; kontrsiklik bufer +2,5% (kitobda 0–2,5% diapazon emas, aniq qiymat sifatida berilgan). Jami 10,5% / 13%. Tuzatishlar 2014–2018 yillarda bosqichma-bosqich, nomuvofiq instrumentlar yiliga 10% dan chiqariladi.</w:t>
      </w:r>
    </w:p>
    <w:bookmarkEnd w:id="116"/>
    <w:bookmarkStart w:id="117" w:name="reyting-va-iqtisodiy-sikl-p.5062"/>
    <w:p>
      <w:pPr>
        <w:pStyle w:val="Heading3"/>
      </w:pPr>
      <w:r>
        <w:t xml:space="preserve">3.2 Reyting va iqtisodiy sikl (p.50–62)</w:t>
      </w:r>
    </w:p>
    <w:p>
      <w:pPr>
        <w:numPr>
          <w:ilvl w:val="0"/>
          <w:numId w:val="1114"/>
        </w:numPr>
        <w:pStyle w:val="Compact"/>
      </w:pPr>
      <w:r>
        <w:t xml:space="preserve">Reytingning siklga bog’liqligi manbalari (p.50–51):</w:t>
      </w:r>
    </w:p>
    <w:p>
      <w:pPr>
        <w:numPr>
          <w:ilvl w:val="1"/>
          <w:numId w:val="1115"/>
        </w:numPr>
        <w:pStyle w:val="Compact"/>
      </w:pPr>
      <w:r>
        <w:t xml:space="preserve">reyting tayinlash: rentabellik va qarzga xizmat ko’rsatish ko’rsatkichlari tuzilma ko’rsatkichlaridan ko’ra siklikroq;</w:t>
      </w:r>
    </w:p>
    <w:p>
      <w:pPr>
        <w:numPr>
          <w:ilvl w:val="1"/>
          <w:numId w:val="1115"/>
        </w:numPr>
        <w:pStyle w:val="Compact"/>
      </w:pPr>
      <w:r>
        <w:t xml:space="preserve">kalibrlash: uzunroq tarix barqarorlik beradi, lekin retsessiyada PD past baholanadi;</w:t>
      </w:r>
    </w:p>
    <w:p>
      <w:pPr>
        <w:numPr>
          <w:ilvl w:val="1"/>
          <w:numId w:val="1115"/>
        </w:numPr>
        <w:pStyle w:val="Compact"/>
      </w:pPr>
      <w:r>
        <w:t xml:space="preserve">qayta ko’rib chiqish chastotasi: tez-tez qayta ko’rish volatillikni oshiradi.</w:t>
      </w:r>
    </w:p>
    <w:p>
      <w:pPr>
        <w:numPr>
          <w:ilvl w:val="0"/>
          <w:numId w:val="1114"/>
        </w:numPr>
        <w:pStyle w:val="Compact"/>
      </w:pPr>
      <w:r>
        <w:t xml:space="preserve">Reyting funksiyalari va har biriga kerakli sezgirlik (Table 3.1, p.52): masalan, early warning uchun yuqori sezgirlik va qisqa nigoh; Pillar 2 (kapital yetarliligi) uchun past sezgirlik va uzoq muddatli nigoh.</w:t>
      </w:r>
    </w:p>
    <w:p>
      <w:pPr>
        <w:numPr>
          <w:ilvl w:val="0"/>
          <w:numId w:val="1114"/>
        </w:numPr>
        <w:pStyle w:val="Compact"/>
      </w:pPr>
      <w:r>
        <w:t xml:space="preserve">Protsiklik mexanizm (p.52–53): shok → downgrade → zaxiralar va kapital talablari oshadi → kredit qisqaradi → retsessiya. PIT tizimlari bu jarayonni kuchaytiradi.</w:t>
      </w:r>
    </w:p>
    <w:p>
      <w:pPr>
        <w:numPr>
          <w:ilvl w:val="0"/>
          <w:numId w:val="1114"/>
        </w:numPr>
        <w:pStyle w:val="Compact"/>
      </w:pPr>
      <w:r>
        <w:t xml:space="preserve">Stressed PD (TTC) (p.54–56):</w:t>
      </w:r>
      <w:r>
        <w:t xml:space="preserve"> </w:t>
      </w:r>
      <w:r>
        <w:t xml:space="preserve">“</w:t>
      </w:r>
      <w:r>
        <w:t xml:space="preserve">mild recession</w:t>
      </w:r>
      <w:r>
        <w:t xml:space="preserve">”</w:t>
      </w:r>
      <w:r>
        <w:t xml:space="preserve"> </w:t>
      </w:r>
      <w:r>
        <w:t xml:space="preserve">ga moslangan, uzoq muddatli o’rtacha. Faqat doimiy shoklarga javob beradi.</w:t>
      </w:r>
    </w:p>
    <w:p>
      <w:pPr>
        <w:numPr>
          <w:ilvl w:val="1"/>
          <w:numId w:val="1116"/>
        </w:numPr>
        <w:pStyle w:val="Compact"/>
      </w:pPr>
      <w:r>
        <w:t xml:space="preserve">Ikki usul: stress holatidagi PD ni qotirish yoki konservativ ishonch darajasini tanlash.</w:t>
      </w:r>
    </w:p>
    <w:p>
      <w:pPr>
        <w:numPr>
          <w:ilvl w:val="1"/>
          <w:numId w:val="1116"/>
        </w:numPr>
        <w:pStyle w:val="Compact"/>
      </w:pPr>
      <w:r>
        <w:t xml:space="preserve">Cheklovlari: tashqi berilgan stressga bog’liq; IAS bilan mos emas; reytingni tushunarsiz qiladi.</w:t>
      </w:r>
    </w:p>
    <w:p>
      <w:pPr>
        <w:numPr>
          <w:ilvl w:val="0"/>
          <w:numId w:val="1114"/>
        </w:numPr>
        <w:pStyle w:val="Compact"/>
      </w:pPr>
      <w:r>
        <w:t xml:space="preserve">Unstressed PD (PIT) (p.56–57): keyingi yil uchun joriy sikl nuqtasidagi PD; volatilligi yuqori. Statistik tuzatish usullari: joriy PD ni pasaytirish, tarixiy PD bilan o’rtachalash, makromodel bilan tuzatish (yirik portfellar uchun mos).</w:t>
      </w:r>
    </w:p>
    <w:p>
      <w:pPr>
        <w:numPr>
          <w:ilvl w:val="0"/>
          <w:numId w:val="1114"/>
        </w:numPr>
        <w:pStyle w:val="Compact"/>
      </w:pPr>
      <w:r>
        <w:t xml:space="preserve">Gibrid (strukturaviy) yondashuv (p.57–60): PIT va TTC oralig’ida; uzoq muddatli strategik va raqobat omillari model ichidagi og’irliklar bilan birlashtiriladi. IASB talablariga mos keladi. Reyting funksiyasi bo’yicha gorizont, avtomatlashtirish darajasi va boshqaruv turi taqsimoti Table 3.2 da (p.59).</w:t>
      </w:r>
    </w:p>
    <w:p>
      <w:pPr>
        <w:numPr>
          <w:ilvl w:val="0"/>
          <w:numId w:val="1114"/>
        </w:numPr>
        <w:pStyle w:val="Compact"/>
      </w:pPr>
      <w:r>
        <w:t xml:space="preserve">Gibridni joriy etish (p.60–62): statistik ballga sifat override qo’shiladi (Basel: mexanik baho faqat birlamchi yoki qisman asos bo’la oladi). KOB lar uchun forward-looking, idiosinkratik yondashuv kerak.</w:t>
      </w:r>
    </w:p>
    <w:bookmarkEnd w:id="117"/>
    <w:bookmarkStart w:id="118" w:name="dissertatsiyada-qollash-9"/>
    <w:p>
      <w:pPr>
        <w:pStyle w:val="Heading3"/>
      </w:pPr>
      <w:r>
        <w:t xml:space="preserve">Dissertatsiyada qo’llash</w:t>
      </w:r>
    </w:p>
    <w:p>
      <w:pPr>
        <w:numPr>
          <w:ilvl w:val="0"/>
          <w:numId w:val="1117"/>
        </w:numPr>
        <w:pStyle w:val="Compact"/>
      </w:pPr>
      <w:r>
        <w:t xml:space="preserve">§1.3 – Statistik, ekspert va gibrid yondashuvlar tipologiyasi (Table 2.1). MBII ni</w:t>
      </w:r>
      <w:r>
        <w:t xml:space="preserve"> </w:t>
      </w:r>
      <w:r>
        <w:t xml:space="preserve">“</w:t>
      </w:r>
      <w:r>
        <w:t xml:space="preserve">constrained expert judgment</w:t>
      </w:r>
      <w:r>
        <w:t xml:space="preserve">”</w:t>
      </w:r>
      <w:r>
        <w:t xml:space="preserve"> </w:t>
      </w:r>
      <w:r>
        <w:t xml:space="preserve">turidagi skoring sifatida joylashtirish mumkin: regulyativ chegaralarga tayangan ballar va ekspert og’irliklar.</w:t>
      </w:r>
    </w:p>
    <w:p>
      <w:pPr>
        <w:numPr>
          <w:ilvl w:val="0"/>
          <w:numId w:val="1117"/>
        </w:numPr>
        <w:pStyle w:val="Compact"/>
      </w:pPr>
      <w:r>
        <w:t xml:space="preserve">§1.2 – Basel III kapital tarkibi va me’yorlari (4,5/6/8 + 2,5 + 0–2,5), IRB parametrlari, RWA formulasi (asl BCBS formulasi bilan tekshirilgan holda).</w:t>
      </w:r>
    </w:p>
    <w:p>
      <w:pPr>
        <w:numPr>
          <w:ilvl w:val="0"/>
          <w:numId w:val="1117"/>
        </w:numPr>
        <w:pStyle w:val="Compact"/>
      </w:pPr>
      <w:r>
        <w:t xml:space="preserve">§3.1 – MBII ko’rsatkichlarini siklik (rentabellik, qarzga xizmat) va strukturaviy (kapital, tuzilma) turlarga ajratish va shu asosda blok og’irliklarini asoslash (p.50).</w:t>
      </w:r>
    </w:p>
    <w:p>
      <w:pPr>
        <w:numPr>
          <w:ilvl w:val="0"/>
          <w:numId w:val="1117"/>
        </w:numPr>
        <w:pStyle w:val="Compact"/>
      </w:pPr>
      <w:r>
        <w:t xml:space="preserve">§4.3 – Stressed (TTC) va unstressed (PIT) farqidan stress va baza ssenariylarida foydalanish. MBII-prognozni</w:t>
      </w:r>
      <w:r>
        <w:t xml:space="preserve"> </w:t>
      </w:r>
      <w:r>
        <w:t xml:space="preserve">“</w:t>
      </w:r>
      <w:r>
        <w:t xml:space="preserve">gibrid</w:t>
      </w:r>
      <w:r>
        <w:t xml:space="preserve">”</w:t>
      </w:r>
      <w:r>
        <w:t xml:space="preserve"> </w:t>
      </w:r>
      <w:r>
        <w:t xml:space="preserve">sifatida talqin qilish: makro sun’iy yo’ldosh modeli PIT tuzatish beradi, strukturaviy bloklar esa TTC langarini.</w:t>
      </w:r>
    </w:p>
    <w:p>
      <w:pPr>
        <w:numPr>
          <w:ilvl w:val="0"/>
          <w:numId w:val="1117"/>
        </w:numPr>
        <w:pStyle w:val="Compact"/>
      </w:pPr>
      <w:r>
        <w:t xml:space="preserve">§4.2 – Altman Z-score zonalari</w:t>
      </w:r>
      <w:r>
        <w:t xml:space="preserve"> </w:t>
      </w:r>
      <w:r>
        <w:t xml:space="preserve">“</w:t>
      </w:r>
      <w:r>
        <w:t xml:space="preserve">kesish nuqtalari</w:t>
      </w:r>
      <w:r>
        <w:t xml:space="preserve">”</w:t>
      </w:r>
      <w:r>
        <w:t xml:space="preserve"> </w:t>
      </w:r>
      <w:r>
        <w:t xml:space="preserve">(cut-off) bilan tasniflash namunasi bo’lib, MBII 25/50/75 darajalarini asoslashga mos keladi.</w:t>
      </w:r>
    </w:p>
    <w:bookmarkEnd w:id="118"/>
    <w:bookmarkStart w:id="119" w:name="iqtiboslar-5"/>
    <w:p>
      <w:pPr>
        <w:pStyle w:val="Heading3"/>
      </w:pPr>
      <w:r>
        <w:t xml:space="preserve">Iqtiboslar</w:t>
      </w:r>
    </w:p>
    <w:p>
      <w:pPr>
        <w:numPr>
          <w:ilvl w:val="0"/>
          <w:numId w:val="1118"/>
        </w:numPr>
        <w:pStyle w:val="Compact"/>
      </w:pPr>
      <w:r>
        <w:t xml:space="preserve">“</w:t>
      </w:r>
      <w:r>
        <w:t xml:space="preserve">The economic-statistical and judgmental approaches … represent the two extremes of a hypothetical continuum of approaches for measuring credit risk.</w:t>
      </w:r>
      <w:r>
        <w:t xml:space="preserve">”</w:t>
      </w:r>
      <w:r>
        <w:t xml:space="preserve"> </w:t>
      </w:r>
      <w:r>
        <w:t xml:space="preserve">(p.33)</w:t>
      </w:r>
    </w:p>
    <w:p>
      <w:pPr>
        <w:numPr>
          <w:ilvl w:val="0"/>
          <w:numId w:val="1118"/>
        </w:numPr>
        <w:pStyle w:val="Compact"/>
      </w:pPr>
      <w:r>
        <w:t xml:space="preserve">“</w:t>
      </w:r>
      <w:r>
        <w:t xml:space="preserve">In the probability of default (PD) estimation, the longer duration of the observation period gives more stability to the rating assessment. However, in times of recession PDs are systematically underestimated.</w:t>
      </w:r>
      <w:r>
        <w:t xml:space="preserve">”</w:t>
      </w:r>
      <w:r>
        <w:t xml:space="preserve"> </w:t>
      </w:r>
      <w:r>
        <w:t xml:space="preserve">(p.51)</w:t>
      </w:r>
    </w:p>
    <w:p>
      <w:pPr>
        <w:numPr>
          <w:ilvl w:val="0"/>
          <w:numId w:val="1118"/>
        </w:numPr>
        <w:pStyle w:val="Compact"/>
      </w:pPr>
      <w:r>
        <w:t xml:space="preserve">“</w:t>
      </w:r>
      <w:r>
        <w:t xml:space="preserve">the rating should express a judgment on the tendency which reduces the effect from the economic cycles</w:t>
      </w:r>
      <w:r>
        <w:t xml:space="preserve">”</w:t>
      </w:r>
      <w:r>
        <w:t xml:space="preserve"> </w:t>
      </w:r>
      <w:r>
        <w:t xml:space="preserve">(p.54)</w:t>
      </w:r>
    </w:p>
    <w:p>
      <w:pPr>
        <w:numPr>
          <w:ilvl w:val="0"/>
          <w:numId w:val="1118"/>
        </w:numPr>
        <w:pStyle w:val="Compact"/>
      </w:pPr>
      <w:r>
        <w:t xml:space="preserve">“</w:t>
      </w:r>
      <w:r>
        <w:t xml:space="preserve">The TTC rating systems only respond to permanent shocks for the company, while transitory shocks are ignored</w:t>
      </w:r>
      <w:r>
        <w:t xml:space="preserve">”</w:t>
      </w:r>
      <w:r>
        <w:t xml:space="preserve"> </w:t>
      </w:r>
      <w:r>
        <w:t xml:space="preserve">(p.55)</w:t>
      </w:r>
    </w:p>
    <w:p>
      <w:pPr>
        <w:numPr>
          <w:ilvl w:val="0"/>
          <w:numId w:val="1118"/>
        </w:numPr>
        <w:pStyle w:val="Compact"/>
      </w:pPr>
      <w:r>
        <w:t xml:space="preserve">“</w:t>
      </w:r>
      <w:r>
        <w:t xml:space="preserve">A Point in Time default probability (PIT) is unstressed and shows the default probability for the following year, given the current point in the economic cycle.</w:t>
      </w:r>
      <w:r>
        <w:t xml:space="preserve">”</w:t>
      </w:r>
      <w:r>
        <w:t xml:space="preserve"> </w:t>
      </w:r>
      <w:r>
        <w:t xml:space="preserve">(p.56–57)</w:t>
      </w:r>
    </w:p>
    <w:p>
      <w:pPr>
        <w:numPr>
          <w:ilvl w:val="0"/>
          <w:numId w:val="1118"/>
        </w:numPr>
        <w:pStyle w:val="Compact"/>
      </w:pPr>
      <w:r>
        <w:t xml:space="preserve">“</w:t>
      </w:r>
      <w:r>
        <w:t xml:space="preserve">the Basel Committee also affirmed that said mechanistic measures could only be admitted as a primary or partial basis for the rating assignment.</w:t>
      </w:r>
      <w:r>
        <w:t xml:space="preserve">”</w:t>
      </w:r>
      <w:r>
        <w:t xml:space="preserve"> </w:t>
      </w:r>
      <w:r>
        <w:t xml:space="preserve">(p.60)</w:t>
      </w:r>
    </w:p>
    <w:bookmarkEnd w:id="119"/>
    <w:bookmarkStart w:id="120" w:name="moslashtiriladigan-jadvalformulalar-8"/>
    <w:p>
      <w:pPr>
        <w:pStyle w:val="Heading3"/>
      </w:pPr>
      <w:r>
        <w:t xml:space="preserve">Moslashtiriladigan jadval/formulalar</w:t>
      </w:r>
    </w:p>
    <w:p>
      <w:pPr>
        <w:numPr>
          <w:ilvl w:val="0"/>
          <w:numId w:val="1119"/>
        </w:numPr>
        <w:pStyle w:val="Compact"/>
      </w:pPr>
      <w:r>
        <w:t xml:space="preserve">Table 2.1 va Fig. 2.1 (p.33–34) – modellar tipologiyasi.</w:t>
      </w:r>
    </w:p>
    <w:p>
      <w:pPr>
        <w:numPr>
          <w:ilvl w:val="0"/>
          <w:numId w:val="1119"/>
        </w:numPr>
        <w:pStyle w:val="Compact"/>
      </w:pPr>
      <w:r>
        <w:t xml:space="preserve">Z-Score formulasi va zonalari (p.29–30).</w:t>
      </w:r>
    </w:p>
    <w:p>
      <w:pPr>
        <w:numPr>
          <w:ilvl w:val="0"/>
          <w:numId w:val="1119"/>
        </w:numPr>
        <w:pStyle w:val="Compact"/>
      </w:pPr>
      <w:r>
        <w:t xml:space="preserve">Table 2.2 (p.36) – FIRB va AIRB parametrlari.</w:t>
      </w:r>
    </w:p>
    <w:p>
      <w:pPr>
        <w:numPr>
          <w:ilvl w:val="0"/>
          <w:numId w:val="1119"/>
        </w:numPr>
        <w:pStyle w:val="Compact"/>
      </w:pPr>
      <w:r>
        <w:t xml:space="preserve">Table 2.3 (p.38) – sinflar bo’yicha K.</w:t>
      </w:r>
    </w:p>
    <w:p>
      <w:pPr>
        <w:numPr>
          <w:ilvl w:val="0"/>
          <w:numId w:val="1119"/>
        </w:numPr>
        <w:pStyle w:val="Compact"/>
      </w:pPr>
      <w:r>
        <w:t xml:space="preserve">Box 2.1 (p.39–40) – RWA va K formulasi (tuzatish bilan).</w:t>
      </w:r>
    </w:p>
    <w:p>
      <w:pPr>
        <w:numPr>
          <w:ilvl w:val="0"/>
          <w:numId w:val="1119"/>
        </w:numPr>
        <w:pStyle w:val="Compact"/>
      </w:pPr>
      <w:r>
        <w:t xml:space="preserve">Table 3.1 (p.52) – reyting funksiyalari va siklga sezgirlik.</w:t>
      </w:r>
    </w:p>
    <w:p>
      <w:pPr>
        <w:numPr>
          <w:ilvl w:val="0"/>
          <w:numId w:val="1119"/>
        </w:numPr>
        <w:pStyle w:val="Compact"/>
      </w:pPr>
      <w:r>
        <w:t xml:space="preserve">Fig. 3.2 (p.55) – stressed PD va sikl bo’yicha yo’qotishlar.</w:t>
      </w:r>
    </w:p>
    <w:p>
      <w:pPr>
        <w:numPr>
          <w:ilvl w:val="0"/>
          <w:numId w:val="1119"/>
        </w:numPr>
        <w:pStyle w:val="Compact"/>
      </w:pPr>
      <w:r>
        <w:t xml:space="preserve">Table 3.2 (p.59) – reyting funksiyalari, gorizont va avtomatlashtirish.</w:t>
      </w:r>
    </w:p>
    <w:bookmarkEnd w:id="120"/>
    <w:bookmarkEnd w:id="121"/>
    <w:bookmarkStart w:id="122" w:name="Xba09bc4b0c48f555f41fa08287d5cf28c7903ba"/>
    <w:p>
      <w:pPr>
        <w:pStyle w:val="Heading2"/>
      </w:pPr>
      <w:r>
        <w:t xml:space="preserve">18. Peláez C.M., Peláez C.A. «Regulation of Banks and Finance» (Palgrave, 2009)</w:t>
      </w:r>
    </w:p>
    <w:p>
      <w:pPr>
        <w:pStyle w:val="FirstParagraph"/>
      </w:pPr>
      <w:r>
        <w:rPr>
          <w:bCs/>
          <w:b/>
        </w:rPr>
        <w:t xml:space="preserve">1-bob. Jamoat va xususiy manfaat nazariyalari (pp. 4–18)</w:t>
      </w:r>
      <w:r>
        <w:t xml:space="preserve"> </w:t>
      </w:r>
      <w:r>
        <w:t xml:space="preserve">- Ikki asosiy yondashuv bor. Jamoat manfaati (public interest) nazariyasi farovonlikni oshirish uchun davlat aralashuvini oqlaydi. Xususiy manfaat (private interest) nazariyasi esa regulyatsiya samaradorligiga shubha bildiradi (p. 4).</w:t>
      </w:r>
      <w:r>
        <w:t xml:space="preserve"> </w:t>
      </w:r>
      <w:r>
        <w:t xml:space="preserve">- Nazariy asos sifatida farovonlikning ikki fundamental teoremasi (Walras, Arrow–Debreu) va Pareto optimallik shartlari (MRS = MRT = narxlar nisbati) keltiriladi. Mukammal raqobat samaradorlik va farovonlik jihatidan</w:t>
      </w:r>
      <w:r>
        <w:t xml:space="preserve"> </w:t>
      </w:r>
      <w:r>
        <w:t xml:space="preserve">“</w:t>
      </w:r>
      <w:r>
        <w:t xml:space="preserve">first best</w:t>
      </w:r>
      <w:r>
        <w:t xml:space="preserve">”</w:t>
      </w:r>
      <w:r>
        <w:t xml:space="preserve"> </w:t>
      </w:r>
      <w:r>
        <w:t xml:space="preserve">hisoblanadi (pp. 5–9, (1.1)–(1.3)).</w:t>
      </w:r>
      <w:r>
        <w:t xml:space="preserve"> </w:t>
      </w:r>
      <w:r>
        <w:t xml:space="preserve">- Davlat aralashuvini taqozo etadigan klassik</w:t>
      </w:r>
      <w:r>
        <w:t xml:space="preserve"> </w:t>
      </w:r>
      <w:r>
        <w:t xml:space="preserve">“</w:t>
      </w:r>
      <w:r>
        <w:t xml:space="preserve">friksiyalar</w:t>
      </w:r>
      <w:r>
        <w:t xml:space="preserve">”</w:t>
      </w:r>
      <w:r>
        <w:t xml:space="preserve"> </w:t>
      </w:r>
      <w:r>
        <w:t xml:space="preserve">monopoliya va eksternaliyalardir. Iste’molchi va ishlab chiqaruvchi ortiqchaligi,</w:t>
      </w:r>
      <w:r>
        <w:t xml:space="preserve"> </w:t>
      </w:r>
      <w:r>
        <w:t xml:space="preserve">“</w:t>
      </w:r>
      <w:r>
        <w:t xml:space="preserve">deadweight loss</w:t>
      </w:r>
      <w:r>
        <w:t xml:space="preserve">”</w:t>
      </w:r>
      <w:r>
        <w:t xml:space="preserve"> </w:t>
      </w:r>
      <w:r>
        <w:t xml:space="preserve">va Tullock to‘rtburchagi tahlil qilinadi (pp. 9–12, (1.4)–(1.5)).</w:t>
      </w:r>
      <w:r>
        <w:t xml:space="preserve"> </w:t>
      </w:r>
      <w:r>
        <w:t xml:space="preserve">- Tabiiy monopoliya xarajatlarning subadditivligi bilan aniqlanadi: C(Q) &lt; ΣC(q_i). Masshtab va ko‘lam (scope) samarasi ham shu yerda ko‘riladi (pp. 12–14, (1.6)–(1.12)).</w:t>
      </w:r>
      <w:r>
        <w:t xml:space="preserve"> </w:t>
      </w:r>
      <w:r>
        <w:t xml:space="preserve">- Eksternaliyalar Bator/Meade modeli (</w:t>
      </w:r>
      <w:r>
        <w:t xml:space="preserve">“</w:t>
      </w:r>
      <w:r>
        <w:t xml:space="preserve">asalarilar</w:t>
      </w:r>
      <w:r>
        <w:t xml:space="preserve">”</w:t>
      </w:r>
      <w:r>
        <w:t xml:space="preserve">) orqali ko‘rsatiladi. Bunga Pigu soliqlari va subsidiyalari yechim sifatida taklif qilinadi, ammo Cheung eksternaliya shartnomalar orqali ichkilashtirilishi mumkinligini ko‘rsatgan (pp. 14–15).</w:t>
      </w:r>
      <w:r>
        <w:t xml:space="preserve"> </w:t>
      </w:r>
      <w:r>
        <w:t xml:space="preserve">- Regulyatsiya ta’rifi (Hertog 1999): huquqiy vositalar orqali ijtimoiy-iqtisodiy maqsadlarni amalga oshirish. Turlari: strukturaviy (kirish/chiqish, litsenziyalash), xulq-atvor (narx nazorati, sifat standartlari) va ijtimoiy regulyatsiya. Bundan tashqari pozitiv va normativ nazariyalar farqlanadi (pp. 15–16).</w:t>
      </w:r>
      <w:r>
        <w:t xml:space="preserve"> </w:t>
      </w:r>
      <w:r>
        <w:t xml:space="preserve">-</w:t>
      </w:r>
      <w:r>
        <w:t xml:space="preserve"> </w:t>
      </w:r>
      <w:r>
        <w:rPr>
          <w:bCs/>
          <w:b/>
        </w:rPr>
        <w:t xml:space="preserve">Table 1.1</w:t>
      </w:r>
      <w:r>
        <w:t xml:space="preserve"> </w:t>
      </w:r>
      <w:r>
        <w:t xml:space="preserve">(p. 17) bozor nosozliklarini tasniflaydi: nomukammal raqobat, muvozanatsiz bozor, axborot (asimmetriya, adverse selection, moral hazard), eksternaliyalar, jamoat ne’matlari, nomaqbul natijalar. Axborot nosozligi uchun ko‘rsatilgan siyosat vositalari</w:t>
      </w:r>
      <w:r>
        <w:t xml:space="preserve"> </w:t>
      </w:r>
      <w:r>
        <w:t xml:space="preserve">“</w:t>
      </w:r>
      <w:r>
        <w:t xml:space="preserve">prudential supervision/regulation</w:t>
      </w:r>
      <w:r>
        <w:t xml:space="preserve">”</w:t>
      </w:r>
      <w:r>
        <w:t xml:space="preserve"> </w:t>
      </w:r>
      <w:r>
        <w:t xml:space="preserve">bo‘lib, ularning maqsadi</w:t>
      </w:r>
      <w:r>
        <w:t xml:space="preserve"> </w:t>
      </w:r>
      <w:r>
        <w:t xml:space="preserve">“</w:t>
      </w:r>
      <w:r>
        <w:t xml:space="preserve">financial/economic stability</w:t>
      </w:r>
      <w:r>
        <w:t xml:space="preserve">”</w:t>
      </w:r>
      <w:r>
        <w:t xml:space="preserve"> </w:t>
      </w:r>
      <w:r>
        <w:t xml:space="preserve">hamda omonatchi va aksiyadorlarni himoya qilishdir.</w:t>
      </w:r>
      <w:r>
        <w:t xml:space="preserve"> </w:t>
      </w:r>
      <w:r>
        <w:t xml:space="preserve">- Jamoat manfaati nazariyasining tanqidi: nosozliklarni sanab chiqish oson, lekin ularni ustuvorlik bo‘yicha tartiblash qiyin. Nazariya davlat regulyatsiyasining tranzaksiya xarajati nolga teng deb faraz qiladi. Ikkinchi eng yaxshi (second best) nazariyasi esa bitta nosozlikni tuzatish farovonlikni albatta oshirmasligini ko‘rsatadi (p. 16).</w:t>
      </w:r>
      <w:r>
        <w:t xml:space="preserve"> </w:t>
      </w:r>
      <w:r>
        <w:t xml:space="preserve">- Nazariyaning</w:t>
      </w:r>
      <w:r>
        <w:t xml:space="preserve"> </w:t>
      </w:r>
      <w:r>
        <w:t xml:space="preserve">“</w:t>
      </w:r>
      <w:r>
        <w:t xml:space="preserve">takomillashgan</w:t>
      </w:r>
      <w:r>
        <w:t xml:space="preserve">”</w:t>
      </w:r>
      <w:r>
        <w:t xml:space="preserve"> </w:t>
      </w:r>
      <w:r>
        <w:t xml:space="preserve">varianti: davlat axborotni majburlov orqali arzonroq olishi mumkin, masalan bank nazorati misolida (p. 17).</w:t>
      </w:r>
      <w:r>
        <w:t xml:space="preserve"> </w:t>
      </w:r>
      <w:r>
        <w:t xml:space="preserve">- Hukumat nosozligi:</w:t>
      </w:r>
      <w:r>
        <w:t xml:space="preserve"> </w:t>
      </w:r>
      <w:r>
        <w:t xml:space="preserve">“</w:t>
      </w:r>
      <w:r>
        <w:t xml:space="preserve">Nirvana Fallacy</w:t>
      </w:r>
      <w:r>
        <w:t xml:space="preserve">”</w:t>
      </w:r>
      <w:r>
        <w:t xml:space="preserve"> </w:t>
      </w:r>
      <w:r>
        <w:t xml:space="preserve">(Demsetz 1969) tushunchasi va</w:t>
      </w:r>
      <w:r>
        <w:t xml:space="preserve"> </w:t>
      </w:r>
      <w:r>
        <w:t xml:space="preserve">“</w:t>
      </w:r>
      <w:r>
        <w:t xml:space="preserve">double market failure test</w:t>
      </w:r>
      <w:r>
        <w:t xml:space="preserve">”</w:t>
      </w:r>
      <w:r>
        <w:t xml:space="preserve"> </w:t>
      </w:r>
      <w:r>
        <w:t xml:space="preserve">(Zerbe–McCurdy). Mualliflar davlat banklari defolt qiluvchi kompaniyalarga xususiy banklardan kamroq kredit beradi deyishga asos yo‘qligini ta’kidlaydi (p. 18).</w:t>
      </w:r>
    </w:p>
    <w:p>
      <w:pPr>
        <w:pStyle w:val="BodyText"/>
      </w:pPr>
      <w:r>
        <w:rPr>
          <w:bCs/>
          <w:b/>
        </w:rPr>
        <w:t xml:space="preserve">2-bob. Kapital talablari, bank zaifligi, empirik tahlil, xalqaro kapital talablari (pp. 60–71)</w:t>
      </w:r>
      <w:r>
        <w:t xml:space="preserve"> </w:t>
      </w:r>
      <w:r>
        <w:t xml:space="preserve">- Bank tahlilining asosi talab qilib olinguncha depozitlarning zaifligi (run xavfi). Regulyatsiyaning javobi minimal kapital talablari bo‘lgan. Basel II global standart deb ko‘rsatiladi (pp. 60–61).</w:t>
      </w:r>
      <w:r>
        <w:t xml:space="preserve"> </w:t>
      </w:r>
      <w:r>
        <w:t xml:space="preserve">- Diamond–Rajan modelida to‘rt ishtirokchi bor: tadbirkor, bankir, omonatchi va kapital egasi. Bank depozitlar orqali</w:t>
      </w:r>
      <w:r>
        <w:t xml:space="preserve"> </w:t>
      </w:r>
      <w:r>
        <w:t xml:space="preserve">“</w:t>
      </w:r>
      <w:r>
        <w:t xml:space="preserve">inson kapitalini aktivga bog‘lab</w:t>
      </w:r>
      <w:r>
        <w:t xml:space="preserve">”</w:t>
      </w:r>
      <w:r>
        <w:t xml:space="preserve"> </w:t>
      </w:r>
      <w:r>
        <w:t xml:space="preserve">likvidlik yaratadi. Ketma-ket to‘lash xususiyati o‘z-o‘zini amalga oshiruvchi run’ni keltirib chiqarishi mumkin (pp. 61–62).</w:t>
      </w:r>
      <w:r>
        <w:t xml:space="preserve"> </w:t>
      </w:r>
      <w:r>
        <w:t xml:space="preserve">- Kapital</w:t>
      </w:r>
      <w:r>
        <w:t xml:space="preserve"> </w:t>
      </w:r>
      <w:r>
        <w:t xml:space="preserve">“</w:t>
      </w:r>
      <w:r>
        <w:t xml:space="preserve">yumshoqroq</w:t>
      </w:r>
      <w:r>
        <w:t xml:space="preserve">”</w:t>
      </w:r>
      <w:r>
        <w:t xml:space="preserve"> </w:t>
      </w:r>
      <w:r>
        <w:t xml:space="preserve">da’vo hisoblanadi va aktiv qiymatidagi shoklarga qarshi bufer vazifasini bajaradi. Ko‘proq kapitalning uch oqibati bor: bankir rentasi oshadi, bufer kuchayadi, qarz oluvchilardan ko‘proq undiriladi (p. 62).</w:t>
      </w:r>
      <w:r>
        <w:t xml:space="preserve"> </w:t>
      </w:r>
      <w:r>
        <w:t xml:space="preserve">- Run sharti: Min[P2, Ys] &lt; d bo‘lsa run yuz beradi; ≥ d bo‘lsa yuz bermaydi. D_Safe va D_Risky formulalari va ularni taqqoslash shartlari keltirilgan (pp. 62–63, (2.13)–(2.22)).</w:t>
      </w:r>
      <w:r>
        <w:t xml:space="preserve"> </w:t>
      </w:r>
      <w:r>
        <w:t xml:space="preserve">- Kapital nisbatlari 1840-yillardagi 55% dan hozirgi taxminan 10% gacha pasaygan (p. 64).</w:t>
      </w:r>
      <w:r>
        <w:t xml:space="preserve"> </w:t>
      </w:r>
      <w:r>
        <w:t xml:space="preserve">- 2007–09 inqirozi: SIV/CDO, ABCP va repo (SRP) bozorlaridagi likvidlik shoki</w:t>
      </w:r>
      <w:r>
        <w:t xml:space="preserve"> </w:t>
      </w:r>
      <w:r>
        <w:t xml:space="preserve">“</w:t>
      </w:r>
      <w:r>
        <w:t xml:space="preserve">bank run</w:t>
      </w:r>
      <w:r>
        <w:t xml:space="preserve">”</w:t>
      </w:r>
      <w:r>
        <w:t xml:space="preserve"> </w:t>
      </w:r>
      <w:r>
        <w:t xml:space="preserve">ekvivalenti bo‘ldi (pp. 64–65).</w:t>
      </w:r>
      <w:r>
        <w:t xml:space="preserve"> </w:t>
      </w:r>
      <w:r>
        <w:t xml:space="preserve">- Kapital talablari bankni xavfsizroq qiladi, lekin bank kapitalining samarali narxini oshiradi va naqd pulga muhtoj qarz oluvchilar uchun kredit qisqarishiga (credit squeeze) olib keladi. Keskin oshirilgan talab run’ni ham keltirib chiqarishi mumkin (pp. 65–66).</w:t>
      </w:r>
      <w:r>
        <w:t xml:space="preserve"> </w:t>
      </w:r>
      <w:r>
        <w:t xml:space="preserve">- Peltzman (1970) tenglamasi (2.24): %ΔC = b0 + b1·pe + b2·pa + b3·RD + b4·C/D + b5·%ΔDe + b6·%ΔCR + u. Natija: banklar depozit sug‘urtasini kapital o‘rnida ishlatadi va regulyatsiya bank xulqini o‘zgartirmagan (pp. 66–67).</w:t>
      </w:r>
      <w:r>
        <w:t xml:space="preserve"> </w:t>
      </w:r>
      <w:r>
        <w:t xml:space="preserve">- Mingo (1975) tenglamasi (2.25): 323 bank ma’lumotlari asosida. Haqiqiy kapitalning regulyator xohlagan darajaga nisbati 10% pasaysa, keyingi davrda kapital qo‘yilmasi 11% oshadi (p. 67).</w:t>
      </w:r>
      <w:r>
        <w:t xml:space="preserve"> </w:t>
      </w:r>
      <w:r>
        <w:t xml:space="preserve">- Dwyer (1981) uch bosqichli eng kichik kvadratlar (3SLS) usulini qo‘llagan. Berger (1995) 80 000 bank-yil kuzatuvida (1983–89) CAR↔ROE o‘rtasida ikki tomonlama ijobiy Granger bog‘liqlikni aniqlagan (p. 68).</w:t>
      </w:r>
      <w:r>
        <w:t xml:space="preserve"> </w:t>
      </w:r>
      <w:r>
        <w:t xml:space="preserve">- TPS (trust preferred securities) tier 1 kapitalda 25% limitgacha hisobga olinadi (pp. 68–69).</w:t>
      </w:r>
      <w:r>
        <w:t xml:space="preserve"> </w:t>
      </w:r>
      <w:r>
        <w:t xml:space="preserve">- Basel II IRB yondashuvi: PD, LGD, EAD, M parametrlari; EL va UL; Merton–Vasicek–Gordy asoslari.</w:t>
      </w:r>
      <w:r>
        <w:t xml:space="preserve"> </w:t>
      </w:r>
      <w:r>
        <w:rPr>
          <w:bCs/>
          <w:b/>
        </w:rPr>
        <w:t xml:space="preserve">Table 2.3</w:t>
      </w:r>
      <w:r>
        <w:t xml:space="preserve"> </w:t>
      </w:r>
      <w:r>
        <w:t xml:space="preserve">(p. 70): LGD = 45%, M = 2,5 yil sharti bilan PD 0,03% / 5% / 10% / 20% bo‘lganda risk vaznlari: korporativ 11,30 / 112,27 / 146,51 / 188,42%; ipoteka 4,15 / 82,35 / 113,58 / 140,62%; boshqa chakana 4,45 / 125,45 / 142,69 / 189,41%; aylanma chakana 0,98 / 103,41 / 158,47 / 222,88%.</w:t>
      </w:r>
      <w:r>
        <w:t xml:space="preserve"> </w:t>
      </w:r>
      <w:r>
        <w:t xml:space="preserve">- Elizalde–Repullo: regulyativ va iqtisodiy kapital o‘rtasida bevosita bog‘liqlik yo‘q. Kapital qimmat bo‘lsa, iqtisodiy kapital regulyativ kapitaldan past bo‘ladi (p. 70).</w:t>
      </w:r>
    </w:p>
    <w:p>
      <w:pPr>
        <w:pStyle w:val="BodyText"/>
      </w:pPr>
      <w:r>
        <w:rPr>
          <w:bCs/>
          <w:b/>
        </w:rPr>
        <w:t xml:space="preserve">3-bob. Konsentratsiya va barqarorlik (pp. 98–99)</w:t>
      </w:r>
      <w:r>
        <w:t xml:space="preserve"> </w:t>
      </w:r>
      <w:r>
        <w:t xml:space="preserve">- Boyd–De Nicoló–Smith (2004): inflyatsiya ma’lum chegaradan past bo‘lganda monopoliyada inqiroz ehtimoli yuqoriroq, chegaradan yuqori bo‘lganda raqobatda yuqoriroq. Inflyatsiya oshishi har ikki tuzilmada ham inqiroz ehtimolini oshiradi.</w:t>
      </w:r>
      <w:r>
        <w:t xml:space="preserve"> </w:t>
      </w:r>
      <w:r>
        <w:t xml:space="preserve">- Beck–Demirgüç-Kunt–Levine (2003), 79 mamlakat va 50 inqiroz ma’lumotlari: konsentratsiyalashgan tizimlarda sistemli inqiroz ehtimoli pastroq. Kirish to‘siqlari va faoliyat cheklovlari esa tizimni beqarorlashtiradi.</w:t>
      </w:r>
      <w:r>
        <w:t xml:space="preserve"> </w:t>
      </w:r>
      <w:r>
        <w:t xml:space="preserve">- Berger–Hannan (1998): bozor kuchi tufayli operatsion xarajatlar oshadi va bu yo‘qotish</w:t>
      </w:r>
      <w:r>
        <w:t xml:space="preserve"> </w:t>
      </w:r>
      <w:r>
        <w:t xml:space="preserve">“</w:t>
      </w:r>
      <w:r>
        <w:t xml:space="preserve">uchburchak</w:t>
      </w:r>
      <w:r>
        <w:t xml:space="preserve">”</w:t>
      </w:r>
      <w:r>
        <w:t xml:space="preserve"> </w:t>
      </w:r>
      <w:r>
        <w:t xml:space="preserve">yo‘qotishidan taxminan 20 baravar katta bo‘lishi mumkin (p. 98).</w:t>
      </w:r>
    </w:p>
    <w:p>
      <w:pPr>
        <w:pStyle w:val="BodyText"/>
      </w:pPr>
      <w:r>
        <w:rPr>
          <w:bCs/>
          <w:b/>
        </w:rPr>
        <w:t xml:space="preserve">6-bob. Banklarga davlat egaligi (pp. 227–229)</w:t>
      </w:r>
      <w:r>
        <w:t xml:space="preserve"> </w:t>
      </w:r>
      <w:r>
        <w:t xml:space="preserve">- Ikki qarash bor.</w:t>
      </w:r>
      <w:r>
        <w:t xml:space="preserve"> </w:t>
      </w:r>
      <w:r>
        <w:t xml:space="preserve">“</w:t>
      </w:r>
      <w:r>
        <w:t xml:space="preserve">Rivojlanish</w:t>
      </w:r>
      <w:r>
        <w:t xml:space="preserve">”</w:t>
      </w:r>
      <w:r>
        <w:t xml:space="preserve"> </w:t>
      </w:r>
      <w:r>
        <w:t xml:space="preserve">qarashida davlat banklari bozor nosozligini tuzatadi.</w:t>
      </w:r>
      <w:r>
        <w:t xml:space="preserve"> </w:t>
      </w:r>
      <w:r>
        <w:t xml:space="preserve">“</w:t>
      </w:r>
      <w:r>
        <w:t xml:space="preserve">Siyosiy</w:t>
      </w:r>
      <w:r>
        <w:t xml:space="preserve">”</w:t>
      </w:r>
      <w:r>
        <w:t xml:space="preserve"> </w:t>
      </w:r>
      <w:r>
        <w:t xml:space="preserve">qarashda ular ish o‘rinlari va subsidiyalar orqali saylov ovozi va pora</w:t>
      </w:r>
      <w:r>
        <w:t xml:space="preserve"> </w:t>
      </w:r>
      <w:r>
        <w:t xml:space="preserve">“</w:t>
      </w:r>
      <w:r>
        <w:t xml:space="preserve">sotib oladi</w:t>
      </w:r>
      <w:r>
        <w:t xml:space="preserve">”</w:t>
      </w:r>
      <w:r>
        <w:t xml:space="preserve"> </w:t>
      </w:r>
      <w:r>
        <w:t xml:space="preserve">(La Porta va boshq., 2002).</w:t>
      </w:r>
      <w:r>
        <w:t xml:space="preserve"> </w:t>
      </w:r>
      <w:r>
        <w:t xml:space="preserve">- 92 mamlakat bo‘yicha: davlat 10 eng yirik bank kapitalining 1970-yilda 59%, 1995-yilda 42% iga egalik qilgan. Davlat egaligidan keyin moliyaviy rivojlanish va mahsuldorlik o‘sishi sekinlashgan, ya’ni ma’lumotlar siyosiy qarashni tasdiqlaydi (p. 228).</w:t>
      </w:r>
      <w:r>
        <w:t xml:space="preserve"> </w:t>
      </w:r>
      <w:r>
        <w:t xml:space="preserve">- Bog‘langan shaxslarga kredit (Meksika misolida): ularning defolti 33–35% ga ko‘proq; defolt darajasi 77,4% (bog‘lanmaganlarda 31,2%); undirish har dollar uchun 0,30 dollarga past (p. 229).</w:t>
      </w:r>
    </w:p>
    <w:p>
      <w:pPr>
        <w:pStyle w:val="BodyText"/>
      </w:pPr>
      <w:r>
        <w:rPr>
          <w:bCs/>
          <w:b/>
        </w:rPr>
        <w:t xml:space="preserve">Dissertatsiyada qo‘llash</w:t>
      </w:r>
      <w:r>
        <w:t xml:space="preserve"> </w:t>
      </w:r>
      <w:r>
        <w:t xml:space="preserve">- §1.1: Table 1.1 (bozor nosozligi → prudensial regulyatsiya →</w:t>
      </w:r>
      <w:r>
        <w:t xml:space="preserve"> </w:t>
      </w:r>
      <w:r>
        <w:t xml:space="preserve">“</w:t>
      </w:r>
      <w:r>
        <w:t xml:space="preserve">financial stability</w:t>
      </w:r>
      <w:r>
        <w:t xml:space="preserve">”</w:t>
      </w:r>
      <w:r>
        <w:t xml:space="preserve">) asosida moliyaviy barqarorlik maqsadini nazariy jihatdan asoslash mumkin. Jamoat va xususiy manfaat nazariyalarini qarama-qarshi qo‘yib ko‘rsatish ham shu yerga mos.</w:t>
      </w:r>
      <w:r>
        <w:t xml:space="preserve"> </w:t>
      </w:r>
      <w:r>
        <w:t xml:space="preserve">- §1.2: Diamond–Rajan modeli kapitalni</w:t>
      </w:r>
      <w:r>
        <w:t xml:space="preserve"> </w:t>
      </w:r>
      <w:r>
        <w:t xml:space="preserve">“</w:t>
      </w:r>
      <w:r>
        <w:t xml:space="preserve">bufer</w:t>
      </w:r>
      <w:r>
        <w:t xml:space="preserve">”</w:t>
      </w:r>
      <w:r>
        <w:t xml:space="preserve"> </w:t>
      </w:r>
      <w:r>
        <w:t xml:space="preserve">sifatida ko‘rsatadi, shu bilan birga uning narxini (credit squeeze) ham ochib beradi. Bu MBII’dagi Kapital blokiga 0,2 vazn berishning nazariy asosi bo‘ladi. Table 2.3 IRB risk vaznlarining PD’ga sezgirligini ko‘rsatish uchun ishlatiladi.</w:t>
      </w:r>
      <w:r>
        <w:t xml:space="preserve"> </w:t>
      </w:r>
      <w:r>
        <w:t xml:space="preserve">- §1.3/§4.1: Peltzman/Mingo tenglamalari (%ΔC determinantlari) kapital o‘zgarishining panel modeli spetsifikatsiyasi uchun namuna. Berger (1995) CAR↔ROE Granger natijasini GMM modelida tekshirish mumkin.</w:t>
      </w:r>
      <w:r>
        <w:t xml:space="preserve"> </w:t>
      </w:r>
      <w:r>
        <w:t xml:space="preserve">- §2.2: La Porta natijalari (59% → 42%, sekin rivojlanish) va bog‘langan kreditlar bo‘yicha raqamlar SQB va Mikrokreditbank kabi davlat banklari uchun MBII’ga qo‘shimcha jarima yoki ogohlantirish qoidasi kiritishni asoslaydi (§3.2).</w:t>
      </w:r>
      <w:r>
        <w:t xml:space="preserve"> </w:t>
      </w:r>
      <w:r>
        <w:t xml:space="preserve">- §4.2: Beck va boshq. (2003) natijasi asosida konsentratsiyani (HHI) bank reytingida nazorat o‘zgaruvchisi sifatida qo‘shish mumkin.</w:t>
      </w:r>
    </w:p>
    <w:p>
      <w:pPr>
        <w:pStyle w:val="BodyText"/>
      </w:pPr>
      <w:r>
        <w:rPr>
          <w:bCs/>
          <w:b/>
        </w:rPr>
        <w:t xml:space="preserve">Iqtiboslar</w:t>
      </w:r>
      <w:r>
        <w:t xml:space="preserve"> </w:t>
      </w:r>
      <w:r>
        <w:t xml:space="preserve">-</w:t>
      </w:r>
      <w:r>
        <w:t xml:space="preserve"> </w:t>
      </w:r>
      <w:r>
        <w:t xml:space="preserve">“</w:t>
      </w:r>
      <w:r>
        <w:t xml:space="preserve">Capital provides a buffer against shocks of asset values.</w:t>
      </w:r>
      <w:r>
        <w:t xml:space="preserve">”</w:t>
      </w:r>
      <w:r>
        <w:t xml:space="preserve"> </w:t>
      </w:r>
      <w:r>
        <w:t xml:space="preserve">(p. 62)</w:t>
      </w:r>
      <w:r>
        <w:t xml:space="preserve"> </w:t>
      </w:r>
      <w:r>
        <w:t xml:space="preserve">-</w:t>
      </w:r>
      <w:r>
        <w:t xml:space="preserve"> </w:t>
      </w:r>
      <w:r>
        <w:t xml:space="preserve">“</w:t>
      </w:r>
      <w:r>
        <w:t xml:space="preserve">This is the “Nirvana Fallacy,</w:t>
      </w:r>
      <w:r>
        <w:t xml:space="preserve">”</w:t>
      </w:r>
      <w:r>
        <w:t xml:space="preserve"> </w:t>
      </w:r>
      <w:r>
        <w:t xml:space="preserve">comparing theoretical markets that have imperfections with flawless government intervention (Demsetz 1969).” (p. 18)</w:t>
      </w:r>
      <w:r>
        <w:t xml:space="preserve"> </w:t>
      </w:r>
      <w:r>
        <w:t xml:space="preserve">-</w:t>
      </w:r>
      <w:r>
        <w:t xml:space="preserve"> </w:t>
      </w:r>
      <w:r>
        <w:t xml:space="preserve">“</w:t>
      </w:r>
      <w:r>
        <w:t xml:space="preserve">In practice, regulatory capital is the charges stipulated in the IRB of Basel II. An objective of Basel II is to align regulatory and economic capital.</w:t>
      </w:r>
      <w:r>
        <w:t xml:space="preserve">”</w:t>
      </w:r>
      <w:r>
        <w:t xml:space="preserve"> </w:t>
      </w:r>
      <w:r>
        <w:t xml:space="preserve">(p. 70)</w:t>
      </w:r>
      <w:r>
        <w:t xml:space="preserve"> </w:t>
      </w:r>
      <w:r>
        <w:t xml:space="preserve">-</w:t>
      </w:r>
      <w:r>
        <w:t xml:space="preserve"> </w:t>
      </w:r>
      <w:r>
        <w:t xml:space="preserve">“</w:t>
      </w:r>
      <w:r>
        <w:t xml:space="preserve">systemic banking crises are less likely to occur in concentrated banking systems, even when controlling for multiple macroeconomic, regulatory, and institutional factors.</w:t>
      </w:r>
      <w:r>
        <w:t xml:space="preserve">”</w:t>
      </w:r>
      <w:r>
        <w:t xml:space="preserve"> </w:t>
      </w:r>
      <w:r>
        <w:t xml:space="preserve">(p. 99)</w:t>
      </w:r>
      <w:r>
        <w:t xml:space="preserve"> </w:t>
      </w:r>
      <w:r>
        <w:t xml:space="preserve">-</w:t>
      </w:r>
      <w:r>
        <w:t xml:space="preserve"> </w:t>
      </w:r>
      <w:r>
        <w:t xml:space="preserve">“</w:t>
      </w:r>
      <w:r>
        <w:t xml:space="preserve">The ownership of banks by the state was followed by slower pace of development of the financial sector and lower productivity and economic growth.</w:t>
      </w:r>
      <w:r>
        <w:t xml:space="preserve">”</w:t>
      </w:r>
      <w:r>
        <w:t xml:space="preserve"> </w:t>
      </w:r>
      <w:r>
        <w:t xml:space="preserve">(p. 228)</w:t>
      </w:r>
      <w:r>
        <w:t xml:space="preserve"> </w:t>
      </w:r>
      <w:r>
        <w:t xml:space="preserve">-</w:t>
      </w:r>
      <w:r>
        <w:t xml:space="preserve"> </w:t>
      </w:r>
      <w:r>
        <w:t xml:space="preserve">“</w:t>
      </w:r>
      <w:r>
        <w:t xml:space="preserve">Increasing the required capital of banks can make them safer. However, the increase in capital requirements increases the banker’s rents…</w:t>
      </w:r>
      <w:r>
        <w:t xml:space="preserve">”</w:t>
      </w:r>
      <w:r>
        <w:t xml:space="preserve"> </w:t>
      </w:r>
      <w:r>
        <w:t xml:space="preserve">(p. 65)</w:t>
      </w:r>
    </w:p>
    <w:p>
      <w:pPr>
        <w:pStyle w:val="BodyText"/>
      </w:pPr>
      <w:r>
        <w:rPr>
          <w:bCs/>
          <w:b/>
        </w:rPr>
        <w:t xml:space="preserve">Moslashtiriladigan jadval/formulalar</w:t>
      </w:r>
      <w:r>
        <w:t xml:space="preserve"> </w:t>
      </w:r>
      <w:r>
        <w:t xml:space="preserve">- Table 1.1: bozor nosozliklari, siyosat va maqsadlar (p. 17).</w:t>
      </w:r>
      <w:r>
        <w:t xml:space="preserve"> </w:t>
      </w:r>
      <w:r>
        <w:t xml:space="preserve">- Table 2.3: IRB UL risk vaznlari (p. 70).</w:t>
      </w:r>
      <w:r>
        <w:t xml:space="preserve"> </w:t>
      </w:r>
      <w:r>
        <w:t xml:space="preserve">- Formulalar: (2.14)–(2.15) run sharti (p. 62); (2.24) Peltzman (p. 66); (2.25) Mingo (p. 67); (1.8) subadditivlik (p. 13).</w:t>
      </w:r>
    </w:p>
    <w:bookmarkEnd w:id="122"/>
    <w:bookmarkStart w:id="123" w:name="Xf0333de2ac5c678b2a3d4dfbda1b7b460c0b294"/>
    <w:p>
      <w:pPr>
        <w:pStyle w:val="Heading2"/>
      </w:pPr>
      <w:r>
        <w:t xml:space="preserve">19. He Wei Ping «Banking Regulation in China» (Palgrave, 2014)</w:t>
      </w:r>
    </w:p>
    <w:p>
      <w:pPr>
        <w:pStyle w:val="FirstParagraph"/>
      </w:pPr>
      <w:r>
        <w:rPr>
          <w:bCs/>
          <w:b/>
        </w:rPr>
        <w:t xml:space="preserve">2-bob (qisqa ko‘rib chiqildi, pp. 27–50)</w:t>
      </w:r>
      <w:r>
        <w:t xml:space="preserve"> </w:t>
      </w:r>
      <w:r>
        <w:t xml:space="preserve">- Jamoat manfaatining ikki komponenti bor:</w:t>
      </w:r>
      <w:r>
        <w:t xml:space="preserve"> </w:t>
      </w:r>
      <w:r>
        <w:t xml:space="preserve">“</w:t>
      </w:r>
      <w:r>
        <w:t xml:space="preserve">maqsad va natijalar</w:t>
      </w:r>
      <w:r>
        <w:t xml:space="preserve">”</w:t>
      </w:r>
      <w:r>
        <w:t xml:space="preserve"> </w:t>
      </w:r>
      <w:r>
        <w:t xml:space="preserve">hamda</w:t>
      </w:r>
      <w:r>
        <w:t xml:space="preserve"> </w:t>
      </w:r>
      <w:r>
        <w:t xml:space="preserve">“</w:t>
      </w:r>
      <w:r>
        <w:t xml:space="preserve">jarayon va protsedura</w:t>
      </w:r>
      <w:r>
        <w:t xml:space="preserve">”</w:t>
      </w:r>
      <w:r>
        <w:t xml:space="preserve">. Global moliyaviy inqirozdan keyin (GFC) likvidlik jamoat ne’mati sifatida qaralmoqda (p. 29).</w:t>
      </w:r>
      <w:r>
        <w:t xml:space="preserve"> </w:t>
      </w:r>
      <w:r>
        <w:t xml:space="preserve">- Xususiy manfaat nazariyasining ikki tarmog‘i bor: siyosatchilar manfaati va tarmoq tomonidan</w:t>
      </w:r>
      <w:r>
        <w:t xml:space="preserve"> </w:t>
      </w:r>
      <w:r>
        <w:t xml:space="preserve">“</w:t>
      </w:r>
      <w:r>
        <w:t xml:space="preserve">egallab olish</w:t>
      </w:r>
      <w:r>
        <w:t xml:space="preserve">”</w:t>
      </w:r>
      <w:r>
        <w:t xml:space="preserve"> </w:t>
      </w:r>
      <w:r>
        <w:t xml:space="preserve">(capture) (p. 34).</w:t>
      </w:r>
      <w:r>
        <w:t xml:space="preserve"> </w:t>
      </w:r>
      <w:r>
        <w:t xml:space="preserve">- Regulyatsiya uch turga bo‘linadi: sistemli (</w:t>
      </w:r>
      <w:r>
        <w:t xml:space="preserve">“</w:t>
      </w:r>
      <w:r>
        <w:t xml:space="preserve">low-probability-high-impact risk</w:t>
      </w:r>
      <w:r>
        <w:t xml:space="preserve">”</w:t>
      </w:r>
      <w:r>
        <w:t xml:space="preserve">, p. 37), prudensial va xulq-atvor (business conduct) regulyatsiyasi. Prudensial regulyatsiya kapital yetarliligi va risk-based yondashuvga asoslanadi. Uning asosiy xususiyati</w:t>
      </w:r>
      <w:r>
        <w:t xml:space="preserve"> </w:t>
      </w:r>
      <w:r>
        <w:t xml:space="preserve">“</w:t>
      </w:r>
      <w:r>
        <w:t xml:space="preserve">to identify early warnings of risk</w:t>
      </w:r>
      <w:r>
        <w:t xml:space="preserve">”</w:t>
      </w:r>
      <w:r>
        <w:t xml:space="preserve"> </w:t>
      </w:r>
      <w:r>
        <w:t xml:space="preserve">(p. 40).</w:t>
      </w:r>
    </w:p>
    <w:p>
      <w:pPr>
        <w:pStyle w:val="BodyText"/>
      </w:pPr>
      <w:r>
        <w:rPr>
          <w:bCs/>
          <w:b/>
        </w:rPr>
        <w:t xml:space="preserve">3-bob. Xitoyda bank regulyatsiyasi: nima, nega, qanday? (pp. 51–69)</w:t>
      </w:r>
      <w:r>
        <w:t xml:space="preserve"> </w:t>
      </w:r>
      <w:r>
        <w:t xml:space="preserve">- 2003-yilda CBRC tashkil etilib, nazorat PBoC’dan ajratildi. Sabab: mikro (regulyativ) va makro (monetar) siyosat o‘rtasidagi manfaatlar to‘qnashuvi (p. 52).</w:t>
      </w:r>
      <w:r>
        <w:t xml:space="preserve"> </w:t>
      </w:r>
      <w:r>
        <w:t xml:space="preserve">- PBoC tizimli xavfsizlik uchun javobgar. Unda banklararo bozor, to‘lov tizimlari va kredit axboroti tizimi bor. Rasmiy depozit sug‘urtasi yo‘q, davlat yashirin kafolat beradi (p. 53).</w:t>
      </w:r>
      <w:r>
        <w:t xml:space="preserve"> </w:t>
      </w:r>
      <w:r>
        <w:t xml:space="preserve">- Prudensial sohalar (2003-yilgi Qonunning 21-moddasi): kapital yetarliligi, aktiv sifati, zaxira ajratish, risk konsentratsiyasi, bog‘liq tomonlar bilan bitimlar va likvidlik. Kredit/depozit nisbati ≤ 75%, 2011-yil iyundan boshlab har kuni monitoring qilinadi (p. 55).</w:t>
      </w:r>
      <w:r>
        <w:t xml:space="preserve"> </w:t>
      </w:r>
      <w:r>
        <w:t xml:space="preserve">- GFC’dan keyin makroprudensial choralar kiritildi: yuqoriroq kapital nisbati, leverage nisbati va kutilgan zarar bo‘yicha zaxira nisbati 2,5% (provisioning ratio) (p. 55).</w:t>
      </w:r>
      <w:r>
        <w:t xml:space="preserve"> </w:t>
      </w:r>
      <w:r>
        <w:t xml:space="preserve">-</w:t>
      </w:r>
      <w:r>
        <w:t xml:space="preserve"> </w:t>
      </w:r>
      <w:r>
        <w:t xml:space="preserve">“</w:t>
      </w:r>
      <w:r>
        <w:t xml:space="preserve">Heavy touch</w:t>
      </w:r>
      <w:r>
        <w:t xml:space="preserve">”</w:t>
      </w:r>
      <w:r>
        <w:t xml:space="preserve"> </w:t>
      </w:r>
      <w:r>
        <w:t xml:space="preserve">va</w:t>
      </w:r>
      <w:r>
        <w:t xml:space="preserve"> </w:t>
      </w:r>
      <w:r>
        <w:t xml:space="preserve">“</w:t>
      </w:r>
      <w:r>
        <w:t xml:space="preserve">paternalistik</w:t>
      </w:r>
      <w:r>
        <w:t xml:space="preserve">”</w:t>
      </w:r>
      <w:r>
        <w:t xml:space="preserve"> </w:t>
      </w:r>
      <w:r>
        <w:t xml:space="preserve">regulyatsiya. Masalan, direktor 11 holatda nomuvofiq deb topiladi, jumladan kengash yig‘ilishlarining ≥ 2/3 qismiga qatnashmasa (p. 56).</w:t>
      </w:r>
      <w:r>
        <w:t xml:space="preserve"> </w:t>
      </w:r>
      <w:r>
        <w:t xml:space="preserve">- Ob’ektga asoslangan yondashuv: PBoC tizimli regulyatsiyani, CBRC mikro va makro prudensial hamda xulq-atvor regulyatsiyasini olib boradi (p. 57).</w:t>
      </w:r>
      <w:r>
        <w:t xml:space="preserve"> </w:t>
      </w:r>
      <w:r>
        <w:t xml:space="preserve">- Jamoat manfaati maqsadlari: adolatli raqobat, xavfsizlik va mustahkamlik (safety and soundness), jamoatchilik ishonchi, omonatchilarni himoya qilish (p. 58). Xususiy manfaat ko‘rinishi: 4 trln yuanlik rag‘batlantirish paketining 2,82 trln yuanini mahalliy hokimiyatlar to‘plagan, bunda LGFP kreditlarining 80% i banklardan olingan (p. 59).</w:t>
      </w:r>
      <w:r>
        <w:t xml:space="preserve"> </w:t>
      </w:r>
      <w:r>
        <w:t xml:space="preserve">- Davlat yo‘naltirgan kreditlash uzoq muddatda barqarorlikka zarar yetkazadi (pp. 60–61). Uy-joy uchun minimal boshlang‘ich to‘lov: 90 m² gacha 20%, undan katta uylar uchun 30%, ikkinchi uy uchun 40%. 2013-yil iyunda repo stavkasi 25% gacha ko‘tarildi: regulyator barqarorlikni o‘sish uchun qurbon qilmaslik signalini bergan (pp. 61–62).</w:t>
      </w:r>
      <w:r>
        <w:t xml:space="preserve"> </w:t>
      </w:r>
      <w:r>
        <w:t xml:space="preserve">- To‘rt bosqichli huquqiy tizim: qonunlar → CBRC siyosati → yo‘riqnoma va qoidalar →</w:t>
      </w:r>
      <w:r>
        <w:t xml:space="preserve"> </w:t>
      </w:r>
      <w:r>
        <w:t xml:space="preserve">“</w:t>
      </w:r>
      <w:r>
        <w:t xml:space="preserve">Window Guidance</w:t>
      </w:r>
      <w:r>
        <w:t xml:space="preserve">”</w:t>
      </w:r>
      <w:r>
        <w:t xml:space="preserve"> </w:t>
      </w:r>
      <w:r>
        <w:t xml:space="preserve">(og‘zaki, yozma emas). Window Guidance CBRC’ning skoring tizimida katta vaznga ega (pp. 62–66).</w:t>
      </w:r>
      <w:r>
        <w:t xml:space="preserve"> </w:t>
      </w:r>
      <w:r>
        <w:t xml:space="preserve">- IRB 2007-yildan joriy qilingan. Bozor riski uchun standart yoki ichki model, operatsion risk uchun yondashuvni bank o‘zi tanlaydi (p. 64).</w:t>
      </w:r>
      <w:r>
        <w:t xml:space="preserve"> </w:t>
      </w:r>
      <w:r>
        <w:t xml:space="preserve">- Xulosa:</w:t>
      </w:r>
      <w:r>
        <w:t xml:space="preserve"> </w:t>
      </w:r>
      <w:r>
        <w:t xml:space="preserve">“</w:t>
      </w:r>
      <w:r>
        <w:t xml:space="preserve">regulatory objectives are subordinated to the government’s economic and social policies</w:t>
      </w:r>
      <w:r>
        <w:t xml:space="preserve">”</w:t>
      </w:r>
      <w:r>
        <w:t xml:space="preserve"> </w:t>
      </w:r>
      <w:r>
        <w:t xml:space="preserve">(p. 68).</w:t>
      </w:r>
    </w:p>
    <w:p>
      <w:pPr>
        <w:pStyle w:val="BodyText"/>
      </w:pPr>
      <w:r>
        <w:rPr>
          <w:bCs/>
          <w:b/>
        </w:rPr>
        <w:t xml:space="preserve">7-bob. Regulyatorni egallab olish – Regulatory Capture (pp. 131–147)</w:t>
      </w:r>
      <w:r>
        <w:t xml:space="preserve"> </w:t>
      </w:r>
      <w:r>
        <w:t xml:space="preserve">- Capture ikki ko‘rinishda: hukumatlar tomonidan (milliy darajada siyosiy qaramlik, mahalliy darajada o‘zaro qaramlik) va regulyatsiya qilinuvchi banklar tomonidan (pp. 131–132).</w:t>
      </w:r>
      <w:r>
        <w:t xml:space="preserve"> </w:t>
      </w:r>
      <w:r>
        <w:t xml:space="preserve">- CBRC Davlat kengashiga hisobdor. Kadrlar va byudjet markazlashgan, natijada u</w:t>
      </w:r>
      <w:r>
        <w:t xml:space="preserve"> </w:t>
      </w:r>
      <w:r>
        <w:t xml:space="preserve">“</w:t>
      </w:r>
      <w:r>
        <w:t xml:space="preserve">politicized banking regulator</w:t>
      </w:r>
      <w:r>
        <w:t xml:space="preserve">”</w:t>
      </w:r>
      <w:r>
        <w:t xml:space="preserve"> </w:t>
      </w:r>
      <w:r>
        <w:t xml:space="preserve">hisoblanadi (pp. 133–134).</w:t>
      </w:r>
      <w:r>
        <w:t xml:space="preserve"> </w:t>
      </w:r>
      <w:r>
        <w:t xml:space="preserve">- Yashirin davlat kafolati bor (</w:t>
      </w:r>
      <w:r>
        <w:t xml:space="preserve">“</w:t>
      </w:r>
      <w:r>
        <w:t xml:space="preserve">banks are rescued before they fail</w:t>
      </w:r>
      <w:r>
        <w:t xml:space="preserve">”</w:t>
      </w:r>
      <w:r>
        <w:t xml:space="preserve">), shu sababli bozor intizomi zaif (p. 135).</w:t>
      </w:r>
      <w:r>
        <w:t xml:space="preserve"> </w:t>
      </w:r>
      <w:r>
        <w:t xml:space="preserve">- LGFP: ayrim kompaniyalarning qarzi mahalliy YaIMning taxminan 400% iga yetgan. 2009-yilda mahalliy hokimiyatlarning LGFP qarzi milliy YaIMning 23% ini tashkil etgan.</w:t>
      </w:r>
      <w:r>
        <w:t xml:space="preserve"> </w:t>
      </w:r>
      <w:r>
        <w:t xml:space="preserve">“</w:t>
      </w:r>
      <w:r>
        <w:t xml:space="preserve">Entrusted loans</w:t>
      </w:r>
      <w:r>
        <w:t xml:space="preserve">”</w:t>
      </w:r>
      <w:r>
        <w:t xml:space="preserve"> </w:t>
      </w:r>
      <w:r>
        <w:t xml:space="preserve">jami moliyalashning 10% dan ortig‘i, Shanxayda 15% ga teng va balansdan tashqari sistemli risk manbai (pp. 136–138).</w:t>
      </w:r>
      <w:r>
        <w:t xml:space="preserve"> </w:t>
      </w:r>
      <w:r>
        <w:t xml:space="preserve">- CBRC tuzilmasi: 36 viloyat byurosi, 300 kichik byuro, 1735 vakolatxona (p. 138).</w:t>
      </w:r>
      <w:r>
        <w:t xml:space="preserve"> </w:t>
      </w:r>
      <w:r>
        <w:t xml:space="preserve">- Xitoy banklari tomonidan capture: davlat egaligi, SASAC orqali kadrlar boshqaruvi va</w:t>
      </w:r>
      <w:r>
        <w:t xml:space="preserve"> </w:t>
      </w:r>
      <w:r>
        <w:t xml:space="preserve">“</w:t>
      </w:r>
      <w:r>
        <w:t xml:space="preserve">revolving door</w:t>
      </w:r>
      <w:r>
        <w:t xml:space="preserve">”</w:t>
      </w:r>
      <w:r>
        <w:t xml:space="preserve"> </w:t>
      </w:r>
      <w:r>
        <w:t xml:space="preserve">amaliyoti. CBRC paternalistik regulyator sifatida bank manfaatlarini ko‘zlaydi (pp. 140–141).</w:t>
      </w:r>
      <w:r>
        <w:t xml:space="preserve"> </w:t>
      </w:r>
      <w:r>
        <w:t xml:space="preserve">- Xorijiy banklar tomonidan capture: maslahat kengashi, so‘rovnomalar va ichki audit yo‘riqnomasi (2006) orqali amalga oshadi, natijada bilim mahalliy banklarga o‘tkaziladi (pp. 141–143).</w:t>
      </w:r>
      <w:r>
        <w:t xml:space="preserve"> </w:t>
      </w:r>
      <w:r>
        <w:t xml:space="preserve">- Xususiy sektor uchun oqibatlar: 2009-yilda korporativ kreditlarning faqat 22,2% i kichik biznesga berilgan. Chjeszyanda norasmiy moliyalash asosiy kapitalga investitsiyalarning 58% ini tashkil etgan. Mikrokredit kompaniyalarida bitta qarzdorga limit sof kapitalning ≤ 5% i (pp. 145–146).</w:t>
      </w:r>
    </w:p>
    <w:p>
      <w:pPr>
        <w:pStyle w:val="BodyText"/>
      </w:pPr>
      <w:r>
        <w:rPr>
          <w:bCs/>
          <w:b/>
        </w:rPr>
        <w:t xml:space="preserve">Dissertatsiyada qo‘llash</w:t>
      </w:r>
      <w:r>
        <w:t xml:space="preserve"> </w:t>
      </w:r>
      <w:r>
        <w:t xml:space="preserve">- §1.1: Prudensial, sistemli va xulq-atvor regulyatsiyasi tasnifi (pp. 36–40) va</w:t>
      </w:r>
      <w:r>
        <w:t xml:space="preserve"> </w:t>
      </w:r>
      <w:r>
        <w:t xml:space="preserve">“</w:t>
      </w:r>
      <w:r>
        <w:t xml:space="preserve">early warnings</w:t>
      </w:r>
      <w:r>
        <w:t xml:space="preserve">”</w:t>
      </w:r>
      <w:r>
        <w:t xml:space="preserve"> </w:t>
      </w:r>
      <w:r>
        <w:t xml:space="preserve">tushunchasi barqarorlik turlarini ajratishda ishlatiladi.</w:t>
      </w:r>
      <w:r>
        <w:t xml:space="preserve"> </w:t>
      </w:r>
      <w:r>
        <w:t xml:space="preserve">- §2.2: Davlat banklari</w:t>
      </w:r>
      <w:r>
        <w:t xml:space="preserve"> </w:t>
      </w:r>
      <w:r>
        <w:t xml:space="preserve">“</w:t>
      </w:r>
      <w:r>
        <w:t xml:space="preserve">fiskal siyosat organi</w:t>
      </w:r>
      <w:r>
        <w:t xml:space="preserve">”</w:t>
      </w:r>
      <w:r>
        <w:t xml:space="preserve"> </w:t>
      </w:r>
      <w:r>
        <w:t xml:space="preserve">sifatida, yashirin kafolat va bozor intizomining zaifligi (p. 135). Bu SQB va Mikrokreditbank tahlilida, ayniqsa davlat yo‘naltirgan kreditlash riskini ko‘rsatishda qo‘llanadi.</w:t>
      </w:r>
      <w:r>
        <w:t xml:space="preserve"> </w:t>
      </w:r>
      <w:r>
        <w:t xml:space="preserve">- §3.1/§3.2: Xitoyning L/D ≤ 75% va 2,5% zaxira (provisioning) nisbati MBII Likvidlik va Aktivlar bloklari uchun xalqaro qiyosiy chegara sifatida ishlatiladi. LGFP va</w:t>
      </w:r>
      <w:r>
        <w:t xml:space="preserve"> </w:t>
      </w:r>
      <w:r>
        <w:t xml:space="preserve">“</w:t>
      </w:r>
      <w:r>
        <w:t xml:space="preserve">entrusted loans</w:t>
      </w:r>
      <w:r>
        <w:t xml:space="preserve">”</w:t>
      </w:r>
      <w:r>
        <w:t xml:space="preserve"> </w:t>
      </w:r>
      <w:r>
        <w:t xml:space="preserve">esa balansdan tashqari risk bo‘yicha erta ogohlantirish signali uchun misol.</w:t>
      </w:r>
      <w:r>
        <w:t xml:space="preserve"> </w:t>
      </w:r>
      <w:r>
        <w:t xml:space="preserve">- §1.3: Window Guidance va CBRC skoringi regulyativ reyting modellarining milliy variantlariga misol bo‘ladi.</w:t>
      </w:r>
    </w:p>
    <w:p>
      <w:pPr>
        <w:pStyle w:val="BodyText"/>
      </w:pPr>
      <w:r>
        <w:rPr>
          <w:bCs/>
          <w:b/>
        </w:rPr>
        <w:t xml:space="preserve">Iqtiboslar</w:t>
      </w:r>
      <w:r>
        <w:t xml:space="preserve"> </w:t>
      </w:r>
      <w:r>
        <w:t xml:space="preserve">-</w:t>
      </w:r>
      <w:r>
        <w:t xml:space="preserve"> </w:t>
      </w:r>
      <w:r>
        <w:t xml:space="preserve">“</w:t>
      </w:r>
      <w:r>
        <w:t xml:space="preserve">In China, regulatory objectives are subordinated to the government’s economic and social policies.</w:t>
      </w:r>
      <w:r>
        <w:t xml:space="preserve">”</w:t>
      </w:r>
      <w:r>
        <w:t xml:space="preserve"> </w:t>
      </w:r>
      <w:r>
        <w:t xml:space="preserve">(p. 68)</w:t>
      </w:r>
      <w:r>
        <w:t xml:space="preserve"> </w:t>
      </w:r>
      <w:r>
        <w:t xml:space="preserve">-</w:t>
      </w:r>
      <w:r>
        <w:t xml:space="preserve"> </w:t>
      </w:r>
      <w:r>
        <w:t xml:space="preserve">“</w:t>
      </w:r>
      <w:r>
        <w:t xml:space="preserve">It is safe to conclude that China has an effective implicit government guarantee scheme that banks are rescued before they fail.</w:t>
      </w:r>
      <w:r>
        <w:t xml:space="preserve">”</w:t>
      </w:r>
      <w:r>
        <w:t xml:space="preserve"> </w:t>
      </w:r>
      <w:r>
        <w:t xml:space="preserve">(p. 135)</w:t>
      </w:r>
      <w:r>
        <w:t xml:space="preserve"> </w:t>
      </w:r>
      <w:r>
        <w:t xml:space="preserve">-</w:t>
      </w:r>
      <w:r>
        <w:t xml:space="preserve"> </w:t>
      </w:r>
      <w:r>
        <w:t xml:space="preserve">“</w:t>
      </w:r>
      <w:r>
        <w:t xml:space="preserve">The essential attribute of a risk-based regulatory theory is to identify early warnings of risk posed by banks.</w:t>
      </w:r>
      <w:r>
        <w:t xml:space="preserve">”</w:t>
      </w:r>
      <w:r>
        <w:t xml:space="preserve"> </w:t>
      </w:r>
      <w:r>
        <w:t xml:space="preserve">(p. 40)</w:t>
      </w:r>
      <w:r>
        <w:t xml:space="preserve"> </w:t>
      </w:r>
      <w:r>
        <w:t xml:space="preserve">-</w:t>
      </w:r>
      <w:r>
        <w:t xml:space="preserve"> </w:t>
      </w:r>
      <w:r>
        <w:t xml:space="preserve">“</w:t>
      </w:r>
      <w:r>
        <w:t xml:space="preserve">a loan-to-deposit ratio requirement is a simple way to control loan size and to ensure adequate liquidity in Chinese banks.</w:t>
      </w:r>
      <w:r>
        <w:t xml:space="preserve">”</w:t>
      </w:r>
      <w:r>
        <w:t xml:space="preserve"> </w:t>
      </w:r>
      <w:r>
        <w:t xml:space="preserve">(p. 55)</w:t>
      </w:r>
      <w:r>
        <w:t xml:space="preserve"> </w:t>
      </w:r>
      <w:r>
        <w:t xml:space="preserve">-</w:t>
      </w:r>
      <w:r>
        <w:t xml:space="preserve"> </w:t>
      </w:r>
      <w:r>
        <w:t xml:space="preserve">“</w:t>
      </w:r>
      <w:r>
        <w:t xml:space="preserve">Systemic risk is referred to as “low-probability-high-impact risk.</w:t>
      </w:r>
      <w:r>
        <w:t xml:space="preserve">”</w:t>
      </w:r>
      <w:r>
        <w:t xml:space="preserve">” (p. 37)</w:t>
      </w:r>
    </w:p>
    <w:p>
      <w:pPr>
        <w:pStyle w:val="BodyText"/>
      </w:pPr>
      <w:r>
        <w:rPr>
          <w:bCs/>
          <w:b/>
        </w:rPr>
        <w:t xml:space="preserve">Moslashtiriladigan jadval/formulalar</w:t>
      </w:r>
      <w:r>
        <w:t xml:space="preserve"> </w:t>
      </w:r>
      <w:r>
        <w:t xml:space="preserve">- Bu kitobda jadval yo‘q. Quyidagilarni o‘zingizning sxemangizga aylantirish mumkin: to‘rt bosqichli regulyativ tizim (pp. 62–66), regulyatorlar va ularning vakolatlari matritsasi (pp. 52–57), CBRC’ning makroprudensial nisbatlari (p. 55).</w:t>
      </w:r>
    </w:p>
    <w:bookmarkEnd w:id="123"/>
    <w:bookmarkStart w:id="124" w:name="Xe77c1156a114ef77414929f4379005d99766d9e"/>
    <w:p>
      <w:pPr>
        <w:pStyle w:val="Heading2"/>
      </w:pPr>
      <w:r>
        <w:t xml:space="preserve">20. Hendrickson J.M. «Regulation and Instability in U.S. Commercial Banking» (Palgrave, 2011)</w:t>
      </w:r>
    </w:p>
    <w:p>
      <w:pPr>
        <w:pStyle w:val="FirstParagraph"/>
      </w:pPr>
      <w:r>
        <w:rPr>
          <w:bCs/>
          <w:b/>
        </w:rPr>
        <w:t xml:space="preserve">1-bob. Tijorat banklari beqarorligi (pp. 1–9)</w:t>
      </w:r>
      <w:r>
        <w:t xml:space="preserve"> </w:t>
      </w:r>
      <w:r>
        <w:t xml:space="preserve">- Ikki tarixiy mavzu: (1) bank sohasi doimo regulyatsiya qilingan; (2) shunga qaramay, har bir davrda inqirozlar bo‘lgan. Masalan, 1929–33-yillarda taxminan 10 000 bank, 2009-yilning o‘zida 140 bank inqirozga uchragan (pp. 1–2).</w:t>
      </w:r>
      <w:r>
        <w:t xml:space="preserve"> </w:t>
      </w:r>
      <w:r>
        <w:t xml:space="preserve">- Beqarorlik sabablari bo‘yicha uch qarash bor: regulyatsiya belgilagan tuzilma, real sektordagi qisqarish va markaziy bank siyosatining yo‘qligi. Grossman (1994) birinchi ikkisini tasdiqlagan, uchinchisini emas (p. 3).</w:t>
      </w:r>
      <w:r>
        <w:t xml:space="preserve"> </w:t>
      </w:r>
      <w:r>
        <w:t xml:space="preserve">- Muallif Avstriya maktabi nuqtai nazaridan regulyatsiyani uzoq muddatda beqarorlashtiruvchi omil deb biladi:</w:t>
      </w:r>
      <w:r>
        <w:t xml:space="preserve"> </w:t>
      </w:r>
      <w:r>
        <w:t xml:space="preserve">“</w:t>
      </w:r>
      <w:r>
        <w:t xml:space="preserve">regulation is static the market is not</w:t>
      </w:r>
      <w:r>
        <w:t xml:space="preserve">”</w:t>
      </w:r>
      <w:r>
        <w:t xml:space="preserve"> </w:t>
      </w:r>
      <w:r>
        <w:t xml:space="preserve">(p. 4).</w:t>
      </w:r>
      <w:r>
        <w:t xml:space="preserve"> </w:t>
      </w:r>
      <w:r>
        <w:t xml:space="preserve">- Bank inqirozining 4 elementi: (1) ekzogen shok va optimizm; (2) kredit kengayishi (Minsky); (3) ishonchning yo‘qolishi; (4) banklarning tizimli ravishda ommaviy inqirozga uchrashi (pp. 5–6).</w:t>
      </w:r>
      <w:r>
        <w:t xml:space="preserve"> </w:t>
      </w:r>
      <w:r>
        <w:t xml:space="preserve">- Moliyaviy barqarorlik ta’rifi: asosiy moliya institutlari foydalanuvchilarda yuqori ishonch uyg‘otadi va bu ishonch uchun tashqi yordam talab qilinmaydi. Beqarorlikning kaliti kutilmagan ishonch yo‘qotilishidir (pp. 6–7).</w:t>
      </w:r>
      <w:r>
        <w:t xml:space="preserve"> </w:t>
      </w:r>
      <w:r>
        <w:t xml:space="preserve">- Bank inqirozi har doim moliyaviy beqarorlikka olib keladi, lekin moliyaviy beqarorlik bank inqirozisiz ham bo‘lishi mumkin (p. 7).</w:t>
      </w:r>
    </w:p>
    <w:p>
      <w:pPr>
        <w:pStyle w:val="BodyText"/>
      </w:pPr>
      <w:r>
        <w:rPr>
          <w:bCs/>
          <w:b/>
        </w:rPr>
        <w:t xml:space="preserve">2-bob. Bank regulyatsiyasi nazariyalari (pp. 10–20)</w:t>
      </w:r>
      <w:r>
        <w:t xml:space="preserve"> </w:t>
      </w:r>
      <w:r>
        <w:t xml:space="preserve">- Regulyatsiya</w:t>
      </w:r>
      <w:r>
        <w:t xml:space="preserve"> </w:t>
      </w:r>
      <w:r>
        <w:t xml:space="preserve">“</w:t>
      </w:r>
      <w:r>
        <w:t xml:space="preserve">inqiroz → yangi qoida</w:t>
      </w:r>
      <w:r>
        <w:t xml:space="preserve">”</w:t>
      </w:r>
      <w:r>
        <w:t xml:space="preserve"> </w:t>
      </w:r>
      <w:r>
        <w:t xml:space="preserve">sxemasi bo‘yicha sinov-xato usulida rivojlangan. Figure 2.1 da 1781–2010-yillar xronologiyasi berilgan (pp. 10–11).</w:t>
      </w:r>
      <w:r>
        <w:t xml:space="preserve"> </w:t>
      </w:r>
      <w:r>
        <w:t xml:space="preserve">- Jamoat manfaati va o‘z manfaati (Stigler 1971) nazariyalari. Misollar: chartering rentasi, filiallar ochish taqiqi (1994-yilgacha), 1863/64-yilgi aktlarning fiskal motivi (pp. 12–13).</w:t>
      </w:r>
      <w:r>
        <w:t xml:space="preserve"> </w:t>
      </w:r>
      <w:r>
        <w:t xml:space="preserve">- Psixologik jalb nazariyasi: yorqin stimullarga reaksiya, negativlik moyilligi, aybdor qidirish (scapegoating), tenglikka intilish va regulyatorlarning ortiqcha o‘ziga ishonchi. Shu sababli inqirozdan keyin regulyatsiya kuchayadi (pp. 13–14).</w:t>
      </w:r>
      <w:r>
        <w:t xml:space="preserve"> </w:t>
      </w:r>
      <w:r>
        <w:t xml:space="preserve">- Regulyatsiya barqarorlikka</w:t>
      </w:r>
      <w:r>
        <w:t xml:space="preserve"> </w:t>
      </w:r>
      <w:r>
        <w:rPr>
          <w:bCs/>
          <w:b/>
        </w:rPr>
        <w:t xml:space="preserve">5 kanal</w:t>
      </w:r>
      <w:r>
        <w:t xml:space="preserve"> </w:t>
      </w:r>
      <w:r>
        <w:t xml:space="preserve">orqali ta’sir qiladi: (1) risk olish rag‘batlari (kapital, depozit sug‘urtasi); (2) diversifikatsiya cheklovlari; (3) xarajat va daromad imkoniyatlari (stavka</w:t>
      </w:r>
      <w:r>
        <w:t xml:space="preserve"> </w:t>
      </w:r>
      <w:r>
        <w:t xml:space="preserve">“</w:t>
      </w:r>
      <w:r>
        <w:t xml:space="preserve">shiftlari</w:t>
      </w:r>
      <w:r>
        <w:t xml:space="preserve">”</w:t>
      </w:r>
      <w:r>
        <w:t xml:space="preserve">); (4) bank tizimi tuzilmasi (ko‘p mayda banklar; Kanada misolida kam sonli yirik banklar barqarorroq); (5) raqobat (pp. 15–17).</w:t>
      </w:r>
      <w:r>
        <w:t xml:space="preserve"> </w:t>
      </w:r>
      <w:r>
        <w:t xml:space="preserve">- Raqobat va barqarorlik: an’anaviy qarashda ular o‘rtasida trade-off bor. Yangi dalillar (Carlson–Mitchener 2009) esa raqobat barqarorlikni oshirishini ko‘rsatadi. Depozit sug‘urtasi bu bog‘liqlikni murakkablashtiradi (pp. 16–18).</w:t>
      </w:r>
      <w:r>
        <w:t xml:space="preserve"> </w:t>
      </w:r>
      <w:r>
        <w:t xml:space="preserve">- Avstriya tanqidi: bilim tarqoq, bozor jarayon sifatida ishlaydi. Kirzner:</w:t>
      </w:r>
      <w:r>
        <w:t xml:space="preserve"> </w:t>
      </w:r>
      <w:r>
        <w:t xml:space="preserve">“</w:t>
      </w:r>
      <w:r>
        <w:t xml:space="preserve">humility</w:t>
      </w:r>
      <w:r>
        <w:t xml:space="preserve">”</w:t>
      </w:r>
      <w:r>
        <w:t xml:space="preserve"> </w:t>
      </w:r>
      <w:r>
        <w:t xml:space="preserve">(pp. 18–20).</w:t>
      </w:r>
    </w:p>
    <w:p>
      <w:pPr>
        <w:pStyle w:val="BodyText"/>
      </w:pPr>
      <w:r>
        <w:rPr>
          <w:bCs/>
          <w:b/>
        </w:rPr>
        <w:t xml:space="preserve">7-bob. CRA va CAMEL o‘rtasidagi zid talablar (pp. 225–227)</w:t>
      </w:r>
      <w:r>
        <w:t xml:space="preserve"> </w:t>
      </w:r>
      <w:r>
        <w:t xml:space="preserve">- Basel risk vaznlari riskka</w:t>
      </w:r>
      <w:r>
        <w:t xml:space="preserve"> </w:t>
      </w:r>
      <w:r>
        <w:t xml:space="preserve">“</w:t>
      </w:r>
      <w:r>
        <w:t xml:space="preserve">narx</w:t>
      </w:r>
      <w:r>
        <w:t xml:space="preserve">”</w:t>
      </w:r>
      <w:r>
        <w:t xml:space="preserve"> </w:t>
      </w:r>
      <w:r>
        <w:t xml:space="preserve">qo‘yadi. Banklar eng arzon riskni tanlaydi: balansdan tashqari faoliyat va ipoteka (p. 225).</w:t>
      </w:r>
      <w:r>
        <w:t xml:space="preserve"> </w:t>
      </w:r>
      <w:r>
        <w:t xml:space="preserve">- CRA kam daromadlilarga kreditlashni talab qiladi. Bu kapital talablariga to‘g‘ridan-to‘g‘ri ziddir. 1979-yildan beri qo‘llanayotgan CAMEL kapital, aktivlar, menejment, daromad va likvidlikni baholaydi. Empirik natija: tajovuzkor kreditlash CRA reytingini yaxshilaydi, lekin CAMEL reytingini yomonlashtiradi (p. 226).</w:t>
      </w:r>
      <w:r>
        <w:t xml:space="preserve"> </w:t>
      </w:r>
      <w:r>
        <w:t xml:space="preserve">- 1993–2007-yillarda 3,5 trln dollardan ortiq CRA krediti berilgan, shundan 10% i MBS sifatida sotilgan (p. 227).</w:t>
      </w:r>
    </w:p>
    <w:p>
      <w:pPr>
        <w:pStyle w:val="BodyText"/>
      </w:pPr>
      <w:r>
        <w:rPr>
          <w:bCs/>
          <w:b/>
        </w:rPr>
        <w:t xml:space="preserve">Dissertatsiyada qo‘llash</w:t>
      </w:r>
      <w:r>
        <w:t xml:space="preserve"> </w:t>
      </w:r>
      <w:r>
        <w:t xml:space="preserve">- §1.1: Moliyaviy barqarorlik ta’rifi (ishonch va tashqi yordamga ehtiyoj yo‘qligi) hamda bank inqirozi va moliyaviy beqarorlikning asimmetrik munosabati ta’riflar jadvaliga kiritiladi. Inqirozning 4 elementi omillar tasnifi uchun ishlatiladi.</w:t>
      </w:r>
      <w:r>
        <w:t xml:space="preserve"> </w:t>
      </w:r>
      <w:r>
        <w:t xml:space="preserve">- §1.1/§4.1: 5 kanal (rag‘batlar, diversifikatsiya, rentabellik, tuzilma, raqobat) panel GMM modelidagi regulyativ va strukturaviy o‘zgaruvchilarni tanlash uchun mantiqiy karkas bo‘ladi.</w:t>
      </w:r>
      <w:r>
        <w:t xml:space="preserve"> </w:t>
      </w:r>
      <w:r>
        <w:t xml:space="preserve">- §1.3/§3.2: CRA va CAMEL ziddiyati shuni ko‘rsatadi: davlatning ijtimoiy kreditlash mandati (SQB, Mikrokreditbank) MBII’ning Aktivlar blokini yomonlashtirishi mumkin. Shu sababli tizimli muhim davlat banklari uchun alohida qoida kerak.</w:t>
      </w:r>
      <w:r>
        <w:t xml:space="preserve"> </w:t>
      </w:r>
      <w:r>
        <w:t xml:space="preserve">- §4.3: Minsky kredit kengayishi mexanizmi stress ssenariysidagi kredit o‘sishi omili sifatida ishlatiladi.</w:t>
      </w:r>
    </w:p>
    <w:p>
      <w:pPr>
        <w:pStyle w:val="BodyText"/>
      </w:pPr>
      <w:r>
        <w:rPr>
          <w:bCs/>
          <w:b/>
        </w:rPr>
        <w:t xml:space="preserve">Iqtiboslar</w:t>
      </w:r>
      <w:r>
        <w:t xml:space="preserve"> </w:t>
      </w:r>
      <w:r>
        <w:t xml:space="preserve">-</w:t>
      </w:r>
      <w:r>
        <w:t xml:space="preserve"> </w:t>
      </w:r>
      <w:r>
        <w:t xml:space="preserve">“</w:t>
      </w:r>
      <w:r>
        <w:t xml:space="preserve">the key element to financial instability is a significant and unexpected loss in consumer confidence that prevents some or all financial institutions from functioning normally.</w:t>
      </w:r>
      <w:r>
        <w:t xml:space="preserve">”</w:t>
      </w:r>
      <w:r>
        <w:t xml:space="preserve"> </w:t>
      </w:r>
      <w:r>
        <w:t xml:space="preserve">(p. 7)</w:t>
      </w:r>
      <w:r>
        <w:t xml:space="preserve"> </w:t>
      </w:r>
      <w:r>
        <w:t xml:space="preserve">-</w:t>
      </w:r>
      <w:r>
        <w:t xml:space="preserve"> </w:t>
      </w:r>
      <w:r>
        <w:t xml:space="preserve">“</w:t>
      </w:r>
      <w:r>
        <w:t xml:space="preserve">a bank crisis necessarily results in financial instability, but financial instability does not require a bank crisis.</w:t>
      </w:r>
      <w:r>
        <w:t xml:space="preserve">”</w:t>
      </w:r>
      <w:r>
        <w:t xml:space="preserve"> </w:t>
      </w:r>
      <w:r>
        <w:t xml:space="preserve">(p. 7)</w:t>
      </w:r>
      <w:r>
        <w:t xml:space="preserve"> </w:t>
      </w:r>
      <w:r>
        <w:t xml:space="preserve">-</w:t>
      </w:r>
      <w:r>
        <w:t xml:space="preserve"> </w:t>
      </w:r>
      <w:r>
        <w:t xml:space="preserve">“</w:t>
      </w:r>
      <w:r>
        <w:t xml:space="preserve">It is this continuous motion of the market, even while regulated, that makes regulation destabilizing because while regulation is static the market is not.</w:t>
      </w:r>
      <w:r>
        <w:t xml:space="preserve">”</w:t>
      </w:r>
      <w:r>
        <w:t xml:space="preserve"> </w:t>
      </w:r>
      <w:r>
        <w:t xml:space="preserve">(p. 4)</w:t>
      </w:r>
      <w:r>
        <w:t xml:space="preserve"> </w:t>
      </w:r>
      <w:r>
        <w:t xml:space="preserve">-</w:t>
      </w:r>
      <w:r>
        <w:t xml:space="preserve"> </w:t>
      </w:r>
      <w:r>
        <w:t xml:space="preserve">“</w:t>
      </w:r>
      <w:r>
        <w:t xml:space="preserve">bank behavior, such as aggressive lending, improves the CRA rating but hurts the safety and soundness (CAMEL) ratings</w:t>
      </w:r>
      <w:r>
        <w:t xml:space="preserve">”</w:t>
      </w:r>
      <w:r>
        <w:t xml:space="preserve"> </w:t>
      </w:r>
      <w:r>
        <w:t xml:space="preserve">(p. 226)</w:t>
      </w:r>
      <w:r>
        <w:t xml:space="preserve"> </w:t>
      </w:r>
      <w:r>
        <w:t xml:space="preserve">-</w:t>
      </w:r>
      <w:r>
        <w:t xml:space="preserve"> </w:t>
      </w:r>
      <w:r>
        <w:t xml:space="preserve">“</w:t>
      </w:r>
      <w:r>
        <w:t xml:space="preserve">Individual bank stability is impacted by regulation through five general channels.</w:t>
      </w:r>
      <w:r>
        <w:t xml:space="preserve">”</w:t>
      </w:r>
      <w:r>
        <w:t xml:space="preserve"> </w:t>
      </w:r>
      <w:r>
        <w:t xml:space="preserve">(p. 15)</w:t>
      </w:r>
    </w:p>
    <w:p>
      <w:pPr>
        <w:pStyle w:val="BodyText"/>
      </w:pPr>
      <w:r>
        <w:rPr>
          <w:bCs/>
          <w:b/>
        </w:rPr>
        <w:t xml:space="preserve">Moslashtiriladigan jadval/formulalar</w:t>
      </w:r>
      <w:r>
        <w:t xml:space="preserve"> </w:t>
      </w:r>
      <w:r>
        <w:t xml:space="preserve">- Figure 2.1: regulyatsiya va inqirozlar xronologiyasi (p. 11). Uni O‘zbekiston uchun (1991–2025) shu ko‘rinishda moslashtirish mumkin.</w:t>
      </w:r>
      <w:r>
        <w:t xml:space="preserve"> </w:t>
      </w:r>
      <w:r>
        <w:t xml:space="preserve">- 5 kanal sxemasi (pp. 15–17) va inqirozning 4 elementi (pp. 5–6) diagramma sifatida.</w:t>
      </w:r>
    </w:p>
    <w:bookmarkEnd w:id="124"/>
    <w:bookmarkStart w:id="125" w:name="X798264f9b04b6a8ffde782d043b5ea162c6183e"/>
    <w:p>
      <w:pPr>
        <w:pStyle w:val="Heading2"/>
      </w:pPr>
      <w:r>
        <w:t xml:space="preserve">21. Cargill T.F. «The Financial System, Financial Regulation and Central Bank Policy» (Cambridge UP, 2017)</w:t>
      </w:r>
    </w:p>
    <w:p>
      <w:pPr>
        <w:pStyle w:val="FirstParagraph"/>
      </w:pPr>
      <w:r>
        <w:rPr>
          <w:bCs/>
          <w:b/>
        </w:rPr>
        <w:t xml:space="preserve">9-bob. Moliya tizimini regulyatsiya qilish va nazorat qilish (pp. 184–205)</w:t>
      </w:r>
      <w:r>
        <w:t xml:space="preserve"> </w:t>
      </w:r>
      <w:r>
        <w:t xml:space="preserve">- Asos: axborot asimmetriyasi va noxush tanlov (adverse selection), ya’ni Akerlof’ning</w:t>
      </w:r>
      <w:r>
        <w:t xml:space="preserve"> </w:t>
      </w:r>
      <w:r>
        <w:t xml:space="preserve">“</w:t>
      </w:r>
      <w:r>
        <w:t xml:space="preserve">lemons</w:t>
      </w:r>
      <w:r>
        <w:t xml:space="preserve">”</w:t>
      </w:r>
      <w:r>
        <w:t xml:space="preserve"> </w:t>
      </w:r>
      <w:r>
        <w:t xml:space="preserve">muammosi. Bilvosita moliyalash bu muammolarga bozorning o‘zi topgan yechim (pp. 184–185).</w:t>
      </w:r>
      <w:r>
        <w:t xml:space="preserve"> </w:t>
      </w:r>
      <w:r>
        <w:t xml:space="preserve">- AQShda pul oqimlarining atigi taxminan 30% i bozorlar orqali o‘tadi. 1970–2000-yillarda nomoliyaviy firmalar tashqi moliyalashning 56% ini muassasalardan, 32% ini obligatsiyalardan, 11% ini aksiyalardan olgan. Germaniya va Yaponiyada muassasalar ulushi 86% (pp. 186–187).</w:t>
      </w:r>
      <w:r>
        <w:t xml:space="preserve"> </w:t>
      </w:r>
      <w:r>
        <w:t xml:space="preserve">- Maqsadlar farqi: bilvosita moliyalashda sistemli riskni cheklash, bevosita moliyalashda ma’lumotlarni oshkor qilish va shaffoflik (p. 186).</w:t>
      </w:r>
      <w:r>
        <w:t xml:space="preserve"> </w:t>
      </w:r>
      <w:r>
        <w:t xml:space="preserve">- 9.4.1 Depozit sug‘urtasi: Table 9.1 (p. 188) da limit 1934-yilda 2 500 dollar, 2008-yilda 250 000 dollar (inflyatsiyaga tuzatilganda 41 404 dollar). Uning salbiy tomoni moral hazard. 1991-yilgi FDICIA risk-based premiyalarni kiritgan, lekin ular riskka kam sezgir (pp. 187–190).</w:t>
      </w:r>
      <w:r>
        <w:t xml:space="preserve"> </w:t>
      </w:r>
      <w:r>
        <w:t xml:space="preserve">- 9.4.2 Majburiy zaxiralar: Table 9.2 (p. 191) da 14,5 mln dollargacha 0%, 103,6 mln dollargacha 3%, undan yuqori summalarga 10%. Fed uchinchi stavkani 8–14% oralig‘ida o‘zgartira oladi.</w:t>
      </w:r>
      <w:r>
        <w:t xml:space="preserve"> </w:t>
      </w:r>
      <w:r>
        <w:t xml:space="preserve">-</w:t>
      </w:r>
      <w:r>
        <w:t xml:space="preserve"> </w:t>
      </w:r>
      <w:r>
        <w:rPr>
          <w:bCs/>
          <w:b/>
        </w:rPr>
        <w:t xml:space="preserve">9.4.3 Kapital-aktiv talablari</w:t>
      </w:r>
      <w:r>
        <w:t xml:space="preserve"> </w:t>
      </w:r>
      <w:r>
        <w:t xml:space="preserve">(pp. 192–194): kapital</w:t>
      </w:r>
      <w:r>
        <w:t xml:space="preserve"> </w:t>
      </w:r>
      <w:r>
        <w:t xml:space="preserve">“</w:t>
      </w:r>
      <w:r>
        <w:t xml:space="preserve">shock absorber</w:t>
      </w:r>
      <w:r>
        <w:t xml:space="preserve">”</w:t>
      </w:r>
      <w:r>
        <w:t xml:space="preserve">. Masalan, 10% lik nisbatda aktivlar 10% dan kamroq pasaysa ham kapital musbat qoladi. Basel I (1988, 12 ta markaziy bank): risk vaznlari naqd pul va davlat qog‘ozlari uchun 0, MBS uchun 0,2, korporativ obligatsiyalar uchun 1,0; talab 8%. Basel II 2004-yilda, Basel III 2010-yilda qabul qilingan. Muallif nisbatni</w:t>
      </w:r>
      <w:r>
        <w:t xml:space="preserve"> </w:t>
      </w:r>
      <w:r>
        <w:t xml:space="preserve">“</w:t>
      </w:r>
      <w:r>
        <w:t xml:space="preserve">risk-adjusted assets to total capital</w:t>
      </w:r>
      <w:r>
        <w:t xml:space="preserve">”</w:t>
      </w:r>
      <w:r>
        <w:t xml:space="preserve"> </w:t>
      </w:r>
      <w:r>
        <w:t xml:space="preserve">deb yozgan, bu teskari ifoda: aslida kapital/RWA.</w:t>
      </w:r>
      <w:r>
        <w:t xml:space="preserve"> </w:t>
      </w:r>
      <w:r>
        <w:t xml:space="preserve">-</w:t>
      </w:r>
      <w:r>
        <w:t xml:space="preserve"> </w:t>
      </w:r>
      <w:r>
        <w:rPr>
          <w:bCs/>
          <w:b/>
        </w:rPr>
        <w:t xml:space="preserve">Table 9.3, PCA tripwire chegaralari</w:t>
      </w:r>
      <w:r>
        <w:t xml:space="preserve"> </w:t>
      </w:r>
      <w:r>
        <w:t xml:space="preserve">(p. 193): Well capitalized ≥ 10%; Adequately ≥ 8%; Undercapitalized &lt; 8%; Significantly &lt; 6%; Critically ≤ 2%. ≤ 2% bo‘lganda bank receivership’ga (tugatish yoki qo‘shib yuborish) o‘tkaziladi. Bu S&amp;L inqirozidan keyin kiritilgan (soliq to‘lovchilarga 214 mlrd dollarlik bailout).</w:t>
      </w:r>
      <w:r>
        <w:t xml:space="preserve"> </w:t>
      </w:r>
      <w:r>
        <w:t xml:space="preserve">- Kapital talablari,</w:t>
      </w:r>
      <w:r>
        <w:t xml:space="preserve"> </w:t>
      </w:r>
      <w:r>
        <w:t xml:space="preserve">“</w:t>
      </w:r>
      <w:r>
        <w:t xml:space="preserve">boshqa sog‘lomlik o‘lchovlari bilan birga</w:t>
      </w:r>
      <w:r>
        <w:t xml:space="preserve">”</w:t>
      </w:r>
      <w:r>
        <w:t xml:space="preserve">, tripwire tizimining asosiga aylanib bormoqda (p. 194).</w:t>
      </w:r>
      <w:r>
        <w:t xml:space="preserve"> </w:t>
      </w:r>
      <w:r>
        <w:t xml:space="preserve">-</w:t>
      </w:r>
      <w:r>
        <w:t xml:space="preserve"> </w:t>
      </w:r>
      <w:r>
        <w:rPr>
          <w:bCs/>
          <w:b/>
        </w:rPr>
        <w:t xml:space="preserve">9.4.4 CAMELS</w:t>
      </w:r>
      <w:r>
        <w:t xml:space="preserve"> </w:t>
      </w:r>
      <w:r>
        <w:t xml:space="preserve">(pp. 194–195): C, A, M, E, L, S komponentlari 1 (eng yaxshi) dan 5 (eng yomon) gacha baholanadi. Kompozit ball oddiy o‘rtacha emas, balki tekshiruv guruhining umumiy bahosi. 3–5 ball olgan bank</w:t>
      </w:r>
      <w:r>
        <w:t xml:space="preserve"> </w:t>
      </w:r>
      <w:r>
        <w:t xml:space="preserve">“</w:t>
      </w:r>
      <w:r>
        <w:t xml:space="preserve">problem list</w:t>
      </w:r>
      <w:r>
        <w:t xml:space="preserve">”</w:t>
      </w:r>
      <w:r>
        <w:t xml:space="preserve">ga kiritiladi. Ballar oshkor qilinmaydi, chunki bu kontagion xavfini tug‘diradi. Figure 9.1 da 1990–2014-yillardagi muammoli banklar soni va aktivlari ko‘rsatilgan.</w:t>
      </w:r>
      <w:r>
        <w:t xml:space="preserve"> </w:t>
      </w:r>
      <w:r>
        <w:t xml:space="preserve">-</w:t>
      </w:r>
      <w:r>
        <w:t xml:space="preserve"> </w:t>
      </w:r>
      <w:r>
        <w:rPr>
          <w:bCs/>
          <w:b/>
        </w:rPr>
        <w:t xml:space="preserve">9.4.5 Nazorat stress-testi</w:t>
      </w:r>
      <w:r>
        <w:t xml:space="preserve"> </w:t>
      </w:r>
      <w:r>
        <w:t xml:space="preserve">(pp. 195–196): Dodd-Frank (2010) aktivlari ≥ 50 mlrd dollar bo‘lgan bank xolding kompaniyalari va SIFI uchun yillik test talab qiladi. 9 choraklik ufq, uch ssenariy (baseline, adverse, severely adverse) va yagona kapital harakati farazlari. Natijalar ommaga e’lon qilinadi, CAMELS’dan farqli o‘laroq.</w:t>
      </w:r>
      <w:r>
        <w:t xml:space="preserve"> </w:t>
      </w:r>
      <w:r>
        <w:t xml:space="preserve">- Kredit reyting agentliklari (</w:t>
      </w:r>
      <w:r>
        <w:t xml:space="preserve">“</w:t>
      </w:r>
      <w:r>
        <w:t xml:space="preserve">Big Three</w:t>
      </w:r>
      <w:r>
        <w:t xml:space="preserve">”</w:t>
      </w:r>
      <w:r>
        <w:t xml:space="preserve">, bozorning 90% i): konsentratsiya, manfaatlar to‘qnashuvi va NRSRO maqomi muammolari (pp. 200–202).</w:t>
      </w:r>
      <w:r>
        <w:t xml:space="preserve"> </w:t>
      </w:r>
      <w:r>
        <w:t xml:space="preserve">-</w:t>
      </w:r>
      <w:r>
        <w:t xml:space="preserve"> </w:t>
      </w:r>
      <w:r>
        <w:rPr>
          <w:bCs/>
          <w:b/>
        </w:rPr>
        <w:t xml:space="preserve">Makroprudensial siyosat</w:t>
      </w:r>
      <w:r>
        <w:t xml:space="preserve"> </w:t>
      </w:r>
      <w:r>
        <w:t xml:space="preserve">(pp. 204–205) ikki maqsadga ega: (1) pufaklarni aniqlash; (2) kapital, likvidlik, marja va kredit standartlarini o‘zgaruvchan qilish. Muallif to‘rt tanqidni keltiradi: markaziy banklar pufaklarni yomon aniqlaydi, ular bunday vazifaga moslashmagan, mustaqillik buziladi va siyosat kredit taqsimotiga aylanadi.</w:t>
      </w:r>
      <w:r>
        <w:t xml:space="preserve"> </w:t>
      </w:r>
      <w:r>
        <w:t xml:space="preserve">-</w:t>
      </w:r>
      <w:r>
        <w:t xml:space="preserve"> </w:t>
      </w:r>
      <w:r>
        <w:t xml:space="preserve">“</w:t>
      </w:r>
      <w:r>
        <w:t xml:space="preserve">Industry perspective</w:t>
      </w:r>
      <w:r>
        <w:t xml:space="preserve">”</w:t>
      </w:r>
      <w:r>
        <w:t xml:space="preserve"> </w:t>
      </w:r>
      <w:r>
        <w:t xml:space="preserve">muammosi: nazoratchi markaziy bank pul-kredit siyosatida haddan tashqari ehtiyotkor bo‘lib qolishi mumkin (p. 203).</w:t>
      </w:r>
    </w:p>
    <w:p>
      <w:pPr>
        <w:pStyle w:val="BodyText"/>
      </w:pPr>
      <w:r>
        <w:rPr>
          <w:bCs/>
          <w:b/>
        </w:rPr>
        <w:t xml:space="preserve">Dissertatsiyada qo‘llash</w:t>
      </w:r>
      <w:r>
        <w:t xml:space="preserve"> </w:t>
      </w:r>
      <w:r>
        <w:t xml:space="preserve">- §3.1: PCA tripwire shkalasi (10 / 8 / 6 / 2%) MBII’ning kapital ko‘rsatkichlarini 1–4 ball bilan baholashda regulyativ chegaralarning to‘g‘ridan-to‘g‘ri xalqaro analogi. O‘zbekiston Markaziy banki minimumlari bilan birga jadvalga qo‘yish mumkin.</w:t>
      </w:r>
      <w:r>
        <w:t xml:space="preserve"> </w:t>
      </w:r>
      <w:r>
        <w:t xml:space="preserve">- §1.3: CAMELS shkalasi (1–5, problem list ≥ 3, kompozit o‘rtacha emas). MBII’ni CAMELS bilan solishtirganda MBII afzalligini ko‘rsatish mumkin: u ochiq ma’lumotga asoslangan, vaznlari aniq va shaffof (§4.2).</w:t>
      </w:r>
      <w:r>
        <w:t xml:space="preserve"> </w:t>
      </w:r>
      <w:r>
        <w:t xml:space="preserve">- §4.3: Fed stress-testi dizayni (9 chorak, 3 ssenariy) 2026–2028 prognozidagi baseline/stress/optimistik ssenariylar va satellit NPL modeli uchun metodik asos.</w:t>
      </w:r>
      <w:r>
        <w:t xml:space="preserve"> </w:t>
      </w:r>
      <w:r>
        <w:t xml:space="preserve">- §3.2: Makroprudensial maqsadlar va tanqidlar early-warning signallari va tizimli muhim banklarga qo‘shimcha talablarni asoslashda ishlatiladi.</w:t>
      </w:r>
      <w:r>
        <w:t xml:space="preserve"> </w:t>
      </w:r>
      <w:r>
        <w:t xml:space="preserve">- §1.1: Bilvosita moliyalash ulushi (56% va 86%) bank-markazli tizimlarda bank barqarorligi hal qiluvchi ekanini asoslaydi. Bu O‘zbekiston uchun ham dolzarb.</w:t>
      </w:r>
    </w:p>
    <w:p>
      <w:pPr>
        <w:pStyle w:val="BodyText"/>
      </w:pPr>
      <w:r>
        <w:rPr>
          <w:bCs/>
          <w:b/>
        </w:rPr>
        <w:t xml:space="preserve">Iqtiboslar</w:t>
      </w:r>
      <w:r>
        <w:t xml:space="preserve"> </w:t>
      </w:r>
      <w:r>
        <w:t xml:space="preserve">-</w:t>
      </w:r>
      <w:r>
        <w:t xml:space="preserve"> </w:t>
      </w:r>
      <w:r>
        <w:t xml:space="preserve">“</w:t>
      </w:r>
      <w:r>
        <w:t xml:space="preserve">The capital-asset ratio is like a shock absorber in your car.</w:t>
      </w:r>
      <w:r>
        <w:t xml:space="preserve">”</w:t>
      </w:r>
      <w:r>
        <w:t xml:space="preserve"> </w:t>
      </w:r>
      <w:r>
        <w:t xml:space="preserve">(p. 192)</w:t>
      </w:r>
      <w:r>
        <w:t xml:space="preserve"> </w:t>
      </w:r>
      <w:r>
        <w:t xml:space="preserve">-</w:t>
      </w:r>
      <w:r>
        <w:t xml:space="preserve"> </w:t>
      </w:r>
      <w:r>
        <w:t xml:space="preserve">“</w:t>
      </w:r>
      <w:r>
        <w:t xml:space="preserve">Each component is assigned a score from 1 (best) to 5 (worst) and an overall composite score ranging from 1 to 5 is assigned; however, the composite score is not an average of the individual scores</w:t>
      </w:r>
      <w:r>
        <w:t xml:space="preserve">”</w:t>
      </w:r>
      <w:r>
        <w:t xml:space="preserve"> </w:t>
      </w:r>
      <w:r>
        <w:t xml:space="preserve">(p. 194)</w:t>
      </w:r>
      <w:r>
        <w:t xml:space="preserve"> </w:t>
      </w:r>
      <w:r>
        <w:t xml:space="preserve">-</w:t>
      </w:r>
      <w:r>
        <w:t xml:space="preserve"> </w:t>
      </w:r>
      <w:r>
        <w:t xml:space="preserve">“</w:t>
      </w:r>
      <w:r>
        <w:t xml:space="preserve">A composite score of 3, 4 or 5 places an institution on a</w:t>
      </w:r>
      <w:r>
        <w:t xml:space="preserve">”</w:t>
      </w:r>
      <w:r>
        <w:t xml:space="preserve">problem” list.” (p. 194)</w:t>
      </w:r>
      <w:r>
        <w:t xml:space="preserve"> </w:t>
      </w:r>
      <w:r>
        <w:t xml:space="preserve">-</w:t>
      </w:r>
      <w:r>
        <w:t xml:space="preserve"> </w:t>
      </w:r>
      <w:r>
        <w:t xml:space="preserve">“</w:t>
      </w:r>
      <w:r>
        <w:t xml:space="preserve">The objective of the stress testing is to provide financial institutions, the public and the regulatory authorities with forward-looking information about the susceptibility of the financial system to adverse macroeconomic developments</w:t>
      </w:r>
      <w:r>
        <w:t xml:space="preserve">”</w:t>
      </w:r>
      <w:r>
        <w:t xml:space="preserve"> </w:t>
      </w:r>
      <w:r>
        <w:t xml:space="preserve">(p. 196)</w:t>
      </w:r>
      <w:r>
        <w:t xml:space="preserve"> </w:t>
      </w:r>
      <w:r>
        <w:t xml:space="preserve">-</w:t>
      </w:r>
      <w:r>
        <w:t xml:space="preserve"> </w:t>
      </w:r>
      <w:r>
        <w:t xml:space="preserve">“</w:t>
      </w:r>
      <w:r>
        <w:t xml:space="preserve">Limiting systemic risk and maintaining a stable financial environment are the objectives of government regulation and supervision of financial institutions.</w:t>
      </w:r>
      <w:r>
        <w:t xml:space="preserve">”</w:t>
      </w:r>
      <w:r>
        <w:t xml:space="preserve"> </w:t>
      </w:r>
      <w:r>
        <w:t xml:space="preserve">(p. 186)</w:t>
      </w:r>
      <w:r>
        <w:t xml:space="preserve"> </w:t>
      </w:r>
      <w:r>
        <w:t xml:space="preserve">-</w:t>
      </w:r>
      <w:r>
        <w:t xml:space="preserve"> </w:t>
      </w:r>
      <w:r>
        <w:t xml:space="preserve">“</w:t>
      </w:r>
      <w:r>
        <w:t xml:space="preserve">central banks have an extremely poor record in such identification.</w:t>
      </w:r>
      <w:r>
        <w:t xml:space="preserve">”</w:t>
      </w:r>
      <w:r>
        <w:t xml:space="preserve"> </w:t>
      </w:r>
      <w:r>
        <w:t xml:space="preserve">(p. 204)</w:t>
      </w:r>
    </w:p>
    <w:p>
      <w:pPr>
        <w:pStyle w:val="BodyText"/>
      </w:pPr>
      <w:r>
        <w:rPr>
          <w:bCs/>
          <w:b/>
        </w:rPr>
        <w:t xml:space="preserve">Moslashtiriladigan jadval/formulalar</w:t>
      </w:r>
      <w:r>
        <w:t xml:space="preserve"> </w:t>
      </w:r>
      <w:r>
        <w:t xml:space="preserve">- Table 9.3: PCA tripwire (p. 193). Bu eng foydali jadval.</w:t>
      </w:r>
      <w:r>
        <w:t xml:space="preserve"> </w:t>
      </w:r>
      <w:r>
        <w:t xml:space="preserve">- Table 9.1: depozit sug‘urtasi limitlari (p. 188).</w:t>
      </w:r>
      <w:r>
        <w:t xml:space="preserve"> </w:t>
      </w:r>
      <w:r>
        <w:t xml:space="preserve">- Table 9.2: majburiy zaxiralar (p. 191).</w:t>
      </w:r>
      <w:r>
        <w:t xml:space="preserve"> </w:t>
      </w:r>
      <w:r>
        <w:t xml:space="preserve">- Figure 9.1: muammoli banklar soni va aktivlari (p. 195).</w:t>
      </w:r>
      <w:r>
        <w:t xml:space="preserve"> </w:t>
      </w:r>
      <w:r>
        <w:t xml:space="preserve">- Basel I risk vaznlari misoli (pp. 192–193).</w:t>
      </w:r>
    </w:p>
    <w:bookmarkEnd w:id="125"/>
    <w:bookmarkEnd w:id="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2">
    <w:nsid w:val="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8"/>
    </w:rPr>
  </w:style>
  <w:style w:styleId="BodyText" w:type="paragraph">
    <w:name w:val="Body Text"/>
    <w:basedOn w:val="Normal"/>
    <w:link w:val="BodyTextChar"/>
    <w:pPr>
      <w:spacing w:after="180" w:before="180"/>
    </w:pPr>
    <w:qFormat/>
    <w:rPr>
      <w:rFonts w:ascii="Times New Roman" w:hAnsi="Times New Roman"/>
      <w:sz w:val="28"/>
    </w:rPr>
  </w:style>
  <w:style w:customStyle="1" w:styleId="FirstParagraph" w:type="paragraph">
    <w:name w:val="First Paragraph"/>
    <w:basedOn w:val="BodyText"/>
    <w:next w:val="BodyText"/>
    <w:qFormat/>
    <w:rPr>
      <w:rFonts w:ascii="Times New Roman" w:hAnsi="Times New Roman"/>
      <w:sz w:val="28"/>
    </w:rPr>
  </w:style>
  <w:style w:customStyle="1" w:styleId="Compact" w:type="paragraph">
    <w:name w:val="Compact"/>
    <w:basedOn w:val="BodyText"/>
    <w:qFormat/>
    <w:pPr>
      <w:spacing w:after="36" w:before="36"/>
    </w:pPr>
    <w:rPr>
      <w:rFonts w:ascii="Times New Roman" w:hAnsi="Times New Roman"/>
      <w:sz w:val="28"/>
    </w:rPr>
  </w:style>
  <w:style w:styleId="Title" w:type="paragraph">
    <w:name w:val="Title"/>
    <w:basedOn w:val="Normal"/>
    <w:next w:val="BodyText"/>
    <w:qFormat/>
    <w:pPr>
      <w:keepNext/>
      <w:keepLines/>
      <w:spacing w:after="240" w:before="480"/>
      <w:jc w:val="center"/>
    </w:pPr>
    <w:rPr>
      <w:rFonts w:ascii="Times New Roman" w:asciiTheme="majorHAnsi" w:cstheme="majorBidi" w:eastAsiaTheme="majorEastAsia" w:hAnsi="Times New Roman"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heme="majorBidi" w:eastAsiaTheme="majorEastAsia" w:hAnsi="Times New Roman"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heme="majorBidi" w:eastAsiaTheme="majorEastAsia" w:hAnsi="Times New Roman"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heme="majorBidi" w:eastAsiaTheme="majorEastAsia" w:hAnsi="Times New Roman"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Kitoblar tahlili – 2-qism: dissertatsiya uchun kerakli boblarning mazmuni</dc:title>
  <dc:creator/>
  <cp:keywords/>
  <dcterms:created xsi:type="dcterms:W3CDTF">2026-10-07T19:48:49Z</dcterms:created>
  <dcterms:modified xsi:type="dcterms:W3CDTF">2026-10-07T19:48:49Z</dcterms:modified>
</cp:coreProperties>
</file>

<file path=docProps/custom.xml><?xml version="1.0" encoding="utf-8"?>
<Properties xmlns="http://schemas.openxmlformats.org/officeDocument/2006/custom-properties" xmlns:vt="http://schemas.openxmlformats.org/officeDocument/2006/docPropsVTypes"/>
</file>