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20"/>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21"/>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22"/>
      </w:r>
      <w:r>
        <w:rPr>
          <w:rFonts w:ascii="Times New Roman" w:hAnsi="Times New Roman" w:cs="Times New Roman" w:eastAsia="Times New Roman"/>
          <w:sz w:val="28"/>
        </w:rPr>
        <w:t xml:space="preserve">. Ushbu tushunchalar o‘rtasidagi bog‘liqlik 1.1.1-rasmda umumlashtirildi.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286000"/>
                <wp:effectExtent l="0" t="0" r="0" b="0"/>
                <wp:docPr id="100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2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24"/>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2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G.G. Fetisov</w:t>
            </w:r>
          </w:p>
        </w:tc>
        <w:tc>
          <w:tcPr/>
          <w:p>
            <w:pPr>
              <w:pStyle w:val="Compact"/>
              <w:spacing w:line="240" w:lineRule="auto"/>
              <w:ind w:firstLine="0"/>
              <w:jc w:val="left"/>
            </w:pPr>
            <w:r>
              <w:rPr>
                <w:rFonts w:ascii="Times New Roman" w:hAnsi="Times New Roman" w:cs="Times New Roman" w:eastAsia="Times New Roman"/>
                <w:sz w:val="22"/>
              </w:rPr>
              <w:t xml:space="preserve">Bankning o‘zgaruvchan tashqi va ichki omillar sharoitida mijozlar, kreditorlar va omonatchilar oldidagi majburiyatlarini bajarish qobiliyati</w:t>
            </w:r>
          </w:p>
        </w:tc>
        <w:tc>
          <w:tcPr/>
          <w:p>
            <w:pPr>
              <w:pStyle w:val="Compact"/>
              <w:spacing w:line="240" w:lineRule="auto"/>
              <w:ind w:firstLine="0"/>
              <w:jc w:val="left"/>
            </w:pPr>
            <w:r>
              <w:rPr>
                <w:rFonts w:ascii="Times New Roman" w:hAnsi="Times New Roman" w:cs="Times New Roman" w:eastAsia="Times New Roman"/>
                <w:sz w:val="22"/>
              </w:rPr>
              <w:t xml:space="preserve">Muvozanat va majburiyatlarni bajarish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Larionova</w:t>
            </w:r>
          </w:p>
        </w:tc>
        <w:tc>
          <w:tcPr/>
          <w:p>
            <w:pPr>
              <w:pStyle w:val="Compact"/>
              <w:spacing w:line="240" w:lineRule="auto"/>
              <w:ind w:firstLine="0"/>
              <w:jc w:val="left"/>
            </w:pPr>
            <w:r>
              <w:rPr>
                <w:rFonts w:ascii="Times New Roman" w:hAnsi="Times New Roman" w:cs="Times New Roman" w:eastAsia="Times New Roman"/>
                <w:sz w:val="22"/>
              </w:rPr>
              <w:t xml:space="preserve">Ichki va tashqi ta’sirlarga qarshi turish, uzoq davr davomida barqaror muvozanat va ishonchlilikni saqlash qobiliyati</w:t>
            </w:r>
          </w:p>
        </w:tc>
        <w:tc>
          <w:tcPr/>
          <w:p>
            <w:pPr>
              <w:pStyle w:val="Compact"/>
              <w:spacing w:line="240" w:lineRule="auto"/>
              <w:ind w:firstLine="0"/>
              <w:jc w:val="left"/>
            </w:pPr>
            <w:r>
              <w:rPr>
                <w:rFonts w:ascii="Times New Roman" w:hAnsi="Times New Roman" w:cs="Times New Roman" w:eastAsia="Times New Roman"/>
                <w:sz w:val="22"/>
              </w:rPr>
              <w:t xml:space="preserve">Uzoq muddatli muvozanat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 Houben, J. Kakes, G. Schinasi</w:t>
            </w:r>
          </w:p>
        </w:tc>
        <w:tc>
          <w:tcPr/>
          <w:p>
            <w:pPr>
              <w:pStyle w:val="Compact"/>
              <w:spacing w:line="240" w:lineRule="auto"/>
              <w:ind w:firstLine="0"/>
              <w:jc w:val="left"/>
            </w:pPr>
            <w:r>
              <w:rPr>
                <w:rFonts w:ascii="Times New Roman" w:hAnsi="Times New Roman" w:cs="Times New Roman" w:eastAsia="Times New Roman"/>
                <w:sz w:val="22"/>
              </w:rPr>
              <w:t xml:space="preserve">Resurslarni samarali taqsimlash, risklarni boshqarish va shoklarni yutish qobiliyati ko‘p o‘lchovli «barqarorlik yo‘lagi» doirasida</w:t>
            </w:r>
          </w:p>
        </w:tc>
        <w:tc>
          <w:tcPr/>
          <w:p>
            <w:pPr>
              <w:pStyle w:val="Compact"/>
              <w:spacing w:line="240" w:lineRule="auto"/>
              <w:ind w:firstLine="0"/>
              <w:jc w:val="left"/>
            </w:pPr>
            <w:r>
              <w:rPr>
                <w:rFonts w:ascii="Times New Roman" w:hAnsi="Times New Roman" w:cs="Times New Roman" w:eastAsia="Times New Roman"/>
                <w:sz w:val="22"/>
              </w:rPr>
              <w:t xml:space="preserve">Mezoniy chegaralar (yo‘lak)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26"/>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2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FootnoteReference"/>
        </w:rPr>
        <w:footnoteReference w:id="28"/>
      </w:r>
      <w:r>
        <w:rPr>
          <w:rFonts w:ascii="Times New Roman" w:hAnsi="Times New Roman" w:cs="Times New Roman" w:eastAsia="Times New Roman"/>
          <w:sz w:val="28"/>
        </w:rPr>
        <w:t xml:space="preserve">.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FootnoteReference"/>
        </w:rPr>
        <w:footnoteReference w:id="29"/>
      </w:r>
      <w:r>
        <w:rPr>
          <w:rFonts w:ascii="Times New Roman" w:hAnsi="Times New Roman" w:cs="Times New Roman" w:eastAsia="Times New Roman"/>
          <w:sz w:val="28"/>
        </w:rPr>
        <w:t xml:space="preserve">.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FootnoteReference"/>
        </w:rPr>
        <w:footnoteReference w:id="30"/>
      </w:r>
      <w:r>
        <w:rPr>
          <w:rFonts w:ascii="Times New Roman" w:hAnsi="Times New Roman" w:cs="Times New Roman" w:eastAsia="Times New Roman"/>
          <w:sz w:val="28"/>
        </w:rPr>
        <w:t xml:space="preserve">. Bu fikr muhim xulosaga olib keladi: me’yoriy ko‘rsatkichlar barqarorlikning yetarli emas, balki zaruriy mezoni bo‘lib, ularni dinamika va risk omillari bilan to‘ldirish talab etiladi.</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31"/>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32"/>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3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FootnoteReference"/>
        </w:rPr>
        <w:footnoteReference w:id="34"/>
      </w:r>
      <w:r>
        <w:rPr>
          <w:rFonts w:ascii="Times New Roman" w:hAnsi="Times New Roman" w:cs="Times New Roman" w:eastAsia="Times New Roman"/>
          <w:sz w:val="28"/>
        </w:rPr>
        <w:t xml:space="preserve">. Yevropa Markaziy banki ham moliyaviy barqarorlikni moliyaviy vositachilar, bozorlar va bozor infratuzilmasidan iborat moliya tizimining shoklarga va moliyaviy nomutanosibliklarning yechilishiga bardosh bera olishi bilan ta’riflaydi</w:t>
      </w:r>
      <w:r>
        <w:rPr>
          <w:rStyle w:val="FootnoteReference"/>
        </w:rPr>
        <w:footnoteReference w:id="35"/>
      </w:r>
      <w:r>
        <w:rPr>
          <w:rFonts w:ascii="Times New Roman" w:hAnsi="Times New Roman" w:cs="Times New Roman" w:eastAsia="Times New Roman"/>
          <w:sz w:val="28"/>
        </w:rPr>
        <w:t xml:space="preserve">.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FootnoteReference"/>
        </w:rPr>
        <w:footnoteReference w:id="36"/>
      </w:r>
      <w:r>
        <w:rPr>
          <w:rFonts w:ascii="Times New Roman" w:hAnsi="Times New Roman" w:cs="Times New Roman" w:eastAsia="Times New Roman"/>
          <w:sz w:val="28"/>
        </w:rPr>
        <w:t xml:space="preserve">. Bu talab baholash metodologiyasi uchun muhim ahamiyatga ega, chunki barqarorlikning umumiy ta’rifi uni o‘lchash usulini belgilab bermaydi.</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37"/>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3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39"/>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40"/>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4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42"/>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43"/>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538000"/>
                <wp:effectExtent l="0" t="0" r="0" b="0"/>
                <wp:docPr id="100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44"/>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45"/>
      </w:r>
      <w:r>
        <w:rPr>
          <w:rFonts w:ascii="Times New Roman" w:hAnsi="Times New Roman" w:cs="Times New Roman" w:eastAsia="Times New Roman"/>
          <w:sz w:val="28"/>
        </w:rPr>
        <w:t xml:space="preserve">. Ushbu darajalar va ular o‘rtasidagi bog‘liqlik 1.1.3-rasmda ko‘rsatildi.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1926000"/>
                <wp:effectExtent l="0" t="0" r="0" b="0"/>
                <wp:docPr id="100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4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47"/>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48"/>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4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610000"/>
                <wp:effectExtent l="0" t="0" r="0" b="0"/>
                <wp:docPr id="100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50"/>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51"/>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1.1.5-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52"/>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53"/>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54"/>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55"/>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56"/>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57"/>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58"/>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59"/>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60"/>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61"/>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62"/>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63"/>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64"/>
      </w:r>
      <w:r>
        <w:rPr>
          <w:rFonts w:ascii="Times New Roman" w:hAnsi="Times New Roman" w:cs="Times New Roman" w:eastAsia="Times New Roman"/>
          <w:sz w:val="28"/>
        </w:rPr>
        <w:t xml:space="preserve">, bank faoliyatiga J.H. Boyd va S.L. Graham tomonidan tatbiq etilgan</w:t>
      </w:r>
      <w:r>
        <w:rPr>
          <w:rStyle w:val="FootnoteReference"/>
        </w:rPr>
        <w:footnoteReference w:id="65"/>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1.1.6-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66"/>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67"/>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68"/>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69"/>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70"/>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71"/>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72"/>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808000"/>
                <wp:effectExtent l="0" t="0" r="0" b="0"/>
                <wp:docPr id="100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73"/>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74"/>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2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2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25">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2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2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28">
    <w:p>
      <w:pPr>
        <w:pStyle w:val="FootnoteText"/>
      </w:pPr>
      <w:r>
        <w:rPr>
          <w:rStyle w:val="FootnoteReference"/>
        </w:rPr>
        <w:footnoteRef/>
      </w:r>
      <w:r>
        <w:t xml:space="preserve"> </w:t>
      </w:r>
      <w:r>
        <w:t xml:space="preserve">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29">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 – С. 65.</w:t>
      </w:r>
    </w:p>
  </w:footnote>
  <w:footnote w:id="30">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31">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32">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3">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34">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 – P. 11.</w:t>
      </w:r>
    </w:p>
  </w:footnote>
  <w:footnote w:id="35">
    <w:p>
      <w:pPr>
        <w:pStyle w:val="FootnoteText"/>
      </w:pPr>
      <w:r>
        <w:rPr>
          <w:rStyle w:val="FootnoteReference"/>
        </w:rPr>
        <w:footnoteRef/>
      </w:r>
      <w:r>
        <w:t xml:space="preserve"> </w:t>
      </w:r>
      <w:r>
        <w:t xml:space="preserve">European Central Bank. Financial stability and macroprudential policy. – https://www.ecb.europa.eu/paym/financial-stability/html/index.en.html</w:t>
      </w:r>
    </w:p>
  </w:footnote>
  <w:footnote w:id="3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37">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38">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39">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40">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41">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42">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43">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44">
    <w:p>
      <w:pPr>
        <w:pStyle w:val="FootnoteText"/>
      </w:pPr>
      <w:r>
        <w:rPr>
          <w:rStyle w:val="FootnoteReference"/>
        </w:rPr>
        <w:footnoteRef/>
      </w:r>
      <w:r>
        <w:t xml:space="preserve"> </w:t>
      </w:r>
      <w:r>
        <w:t xml:space="preserve">Tadqiqot natijasida muallif tomonidan ishlab chiqildi.</w:t>
      </w:r>
    </w:p>
  </w:footnote>
  <w:footnote w:id="4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4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47">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4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4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50">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5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52">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5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5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55">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5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57">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58">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59">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60">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61">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6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63">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64">
    <w:p>
      <w:pPr>
        <w:pStyle w:val="FootnoteText"/>
      </w:pPr>
      <w:r>
        <w:rPr>
          <w:rStyle w:val="FootnoteReference"/>
        </w:rPr>
        <w:footnoteRef/>
      </w:r>
      <w:r>
        <w:t xml:space="preserve"> </w:t>
      </w:r>
      <w:r>
        <w:t xml:space="preserve">Roy A.D. Safety First and the Holding of Assets // Econometrica. – 1952. – Vol. 20, No. 3. – P. 431–449.</w:t>
      </w:r>
    </w:p>
  </w:footnote>
  <w:footnote w:id="65">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66">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67">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68">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69">
    <w:p>
      <w:pPr>
        <w:pStyle w:val="FootnoteText"/>
      </w:pPr>
      <w:r>
        <w:rPr>
          <w:rStyle w:val="FootnoteReference"/>
        </w:rPr>
        <w:footnoteRef/>
      </w:r>
      <w:r>
        <w:t xml:space="preserve"> </w:t>
      </w:r>
      <w:r>
        <w:t xml:space="preserve">Adrian T., Brunnermeier M.K. CoVaR // American Economic Review. – 2016. – Vol. 106, No. 7. – P. 1705–1741.</w:t>
      </w:r>
    </w:p>
  </w:footnote>
  <w:footnote w:id="70">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71">
    <w:p>
      <w:pPr>
        <w:pStyle w:val="FootnoteText"/>
      </w:pPr>
      <w:r>
        <w:rPr>
          <w:rStyle w:val="FootnoteReference"/>
        </w:rPr>
        <w:footnoteRef/>
      </w:r>
      <w:r>
        <w:t xml:space="preserve"> </w:t>
      </w:r>
      <w:r>
        <w:t xml:space="preserve">IFRS 9 Financial Instruments. – London: International Accounting Standards Board, 2014.</w:t>
      </w:r>
    </w:p>
  </w:footnote>
  <w:footnote w:id="72">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73">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2026-10-11T08:41:18Z</dcterms:created>
  <dcterms:modified xsi:type="dcterms:W3CDTF">2026-10-11T08:41:18Z</dcterms:modified>
</cp:coreProperties>
</file>

<file path=docProps/custom.xml><?xml version="1.0" encoding="utf-8"?>
<Properties xmlns="http://schemas.openxmlformats.org/officeDocument/2006/custom-properties" xmlns:vt="http://schemas.openxmlformats.org/officeDocument/2006/docPropsVTypes"/>
</file>