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14b3294ce8678c3fd3856a91dee6c3d5b919cac"/>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1.2-§. Banklar moliyaviy barqarorligini baholashning xalqaro standartlari va metodologik yondashuvlari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tijorat banklari moliyaviy barqarorligining iqtisodiy mazmuni va uni tushuntiruvchi konseptual modellar ko‘rib chiqildi hamda moliyaviy barqarorlik xalqaro standartlarda belgilangan chegaralarga nisbatan o‘lchanishi lozimligi asoslandi. Endi bu barqarorlikni nima uchun va qanday baholash kerak, degan masala turadi. Baholash amaliyoti har doim muayyan nazariy qarashlarga tayanadi: qaysi ko‘rsatkich tanlanishi, ularga qanday vazn berilishi, natija qanday shkalada ifodalanishi va undan kim foydalanishi baholovchining bank tabiati, risklari va davlat aralashuvining chegaralari haqidagi tasavvuriga bog‘liq. Shu bilan birga, so‘nggi o‘ttiz yilda bu qarashlar Bazel qo‘mitasi standartlari, Moliyaviy hisobotning xalqaro standartlari (MHXS) va Xalqaro valyuta jamg‘armasining moliyaviy barqarorlik ko‘rsatkichlari shaklida xalqaro miqyosda unifikatsiya qilindi. Shu sababli ushbu paragrafda avval baholashning nazariy asoslari va metodologik yondashuvlari, so‘ngra ularning amaliy ifodasi bo‘lgan xalqaro standartlar tahlil qilinadi.</w:t>
      </w:r>
    </w:p>
    <w:p>
      <w:pPr>
        <w:pStyle w:val="BodyText"/>
        <w:spacing w:line="360" w:lineRule="auto" w:before="0" w:after="0"/>
        <w:ind w:firstLine="709"/>
        <w:jc w:val="both"/>
      </w:pPr>
      <w:r>
        <w:rPr>
          <w:rFonts w:ascii="Times New Roman" w:hAnsi="Times New Roman" w:cs="Times New Roman" w:eastAsia="Times New Roman"/>
          <w:sz w:val="28"/>
        </w:rPr>
        <w:t xml:space="preserve">Nima uchun aynan banklar faoliyati maxsus baholanishi va tartibga solinishi kerak, degan savolga iqtisodiy nazariya bir necha javob beradi, ularning umumiy negizi esa bozor nosozliklari nazariyasidir. C.M. Peláez va C.A. Peláez regulyatsiya nazariyasida jamoat manfaati va xususiy manfaat yondashuvlarini ajratib, axborot nosozligi, ya’ni axborot asimmetriyasi, noxush tanlov va ma’naviy xavf uchun asosiy siyosat vositasi prudensial nazorat ekanini, uning maqsadi esa moliyaviy barqarorlikni ta’minlash hamda omonatchi va aksiyadorlarni himoya qilish ekanini ko‘rsatadi</w:t>
      </w:r>
      <w:r>
        <w:rPr>
          <w:rStyle w:val="FootnoteReference"/>
        </w:rPr>
        <w:footnoteReference w:id="20"/>
      </w:r>
      <w:r>
        <w:rPr>
          <w:rFonts w:ascii="Times New Roman" w:hAnsi="Times New Roman" w:cs="Times New Roman" w:eastAsia="Times New Roman"/>
          <w:sz w:val="28"/>
        </w:rPr>
        <w:t xml:space="preserve">. Demak, moliyaviy barqarorlik nazariy jihatdan prudensial regulyatsiyaning yakuniy maqsadi, uni baholash esa shu maqsadga qanchalik erishilganini o‘lchash vositasi hisoblanadi. D.K. Tarullo bank regulyatsiyasining uch nazariy asosini – bank aktivlarini tashqaridan baholash qiyinligini, depozitlarni sug‘urtalash va oxirgi instansiya kreditori tug‘diradigan ma’naviy xavfni hamda tizimli riskni ajratadi</w:t>
      </w:r>
      <w:r>
        <w:rPr>
          <w:rStyle w:val="FootnoteReference"/>
        </w:rPr>
        <w:footnoteReference w:id="21"/>
      </w:r>
      <w:r>
        <w:rPr>
          <w:rFonts w:ascii="Times New Roman" w:hAnsi="Times New Roman" w:cs="Times New Roman" w:eastAsia="Times New Roman"/>
          <w:sz w:val="28"/>
        </w:rPr>
        <w:t xml:space="preserve">. T.F. Cargill esa banklar orqali bilvosita moliyalashni G. Akerlofning «limonlar» muammosiga bozorning o‘zi topgan yechim sifatida baholaydi</w:t>
      </w:r>
      <w:r>
        <w:rPr>
          <w:rStyle w:val="FootnoteReference"/>
        </w:rPr>
        <w:footnoteReference w:id="22"/>
      </w:r>
      <w:r>
        <w:rPr>
          <w:rFonts w:ascii="Times New Roman" w:hAnsi="Times New Roman" w:cs="Times New Roman" w:eastAsia="Times New Roman"/>
          <w:sz w:val="28"/>
        </w:rPr>
        <w:t xml:space="preserve">. Axborot asimmetriyasi baholash uchun ikki tomonlama ahamiyatga ega: u tashqi baholashni zarur qiladi, chunki omonatchi bankning haqiqiy holatini mustaqil aniqlay olmaydi, shu bilan birga, baholashning o‘zini ham cheklaydi, chunki tashqi baholovchi faqat bank oshkor qilgan axborotga tayanadi. Shuning uchun baho ishonchliligi hisobotning sifati va uning qaysi standart asosida tuzilganiga bevosita bog‘liq.</w:t>
      </w:r>
    </w:p>
    <w:p>
      <w:pPr>
        <w:pStyle w:val="BodyText"/>
        <w:spacing w:line="360" w:lineRule="auto" w:before="0" w:after="0"/>
        <w:ind w:firstLine="709"/>
        <w:jc w:val="both"/>
      </w:pPr>
      <w:r>
        <w:rPr>
          <w:rFonts w:ascii="Times New Roman" w:hAnsi="Times New Roman" w:cs="Times New Roman" w:eastAsia="Times New Roman"/>
          <w:sz w:val="28"/>
        </w:rPr>
        <w:t xml:space="preserve">Bank tahlilining yana bir nazariy asosi talab qilib olinguncha depozitlarning zaifligi bilan bog‘liq. Peláez D. Diamond va R. Rajan modelini tahlil qilib, bank depozitlar orqali likvidlik yaratishini, biroq «navbat bo‘yicha to‘lash» xususiyati o‘z-o‘zini amalga oshiruvchi ommaviy mablag‘ talab qilishni keltirib chiqarishi mumkinligini, bunda kapital aktivlar qiymatidagi shoklarga qarshi bufer vazifasini bajarishini ko‘rsatadi</w:t>
      </w:r>
      <w:r>
        <w:rPr>
          <w:rStyle w:val="FootnoteReference"/>
        </w:rPr>
        <w:footnoteReference w:id="23"/>
      </w:r>
      <w:r>
        <w:rPr>
          <w:rFonts w:ascii="Times New Roman" w:hAnsi="Times New Roman" w:cs="Times New Roman" w:eastAsia="Times New Roman"/>
          <w:sz w:val="28"/>
        </w:rPr>
        <w:t xml:space="preserve">. Tarullo kapitalning uch funksiyasini – yo‘qotishlarga qarshi bufer, bank yiqilganda kreditorlarni himoya qilish va mulkdorlarning ortiqcha risk olishiga to‘siq bo‘lishni ajratadi va minimal regulyativ kapital talabini kapitalning optimal darajasi bilan adashtirmaslik kerakligini ta’kidlaydi</w:t>
      </w:r>
      <w:r>
        <w:rPr>
          <w:rStyle w:val="FootnoteReference"/>
        </w:rPr>
        <w:footnoteReference w:id="24"/>
      </w:r>
      <w:r>
        <w:rPr>
          <w:rFonts w:ascii="Times New Roman" w:hAnsi="Times New Roman" w:cs="Times New Roman" w:eastAsia="Times New Roman"/>
          <w:sz w:val="28"/>
        </w:rPr>
        <w:t xml:space="preserve">. Bu qoida baholash metodikasi uchun muhim xulosa beradi: kapital ko‘rsatkichini baholashda regulyativ minimumning bajarilishi yetarli emas, bank minimumdan qanchalik yuqori zaxiraga ega ekani ham hisobga olinishi lozim. Nihoyat, bank inqirozining xarajati bankning o‘zi bilan cheklanmaydi: O.N. Afanasyeva va S.E. Dubova tizimli riskning kesim o‘lchovini, ya’ni konsentratsiya va o‘zaro bog‘liqlikni hamda vaqt o‘lchovini, ya’ni protsiklik va leverejni ajratadi</w:t>
      </w:r>
      <w:r>
        <w:rPr>
          <w:rStyle w:val="FootnoteReference"/>
        </w:rPr>
        <w:footnoteReference w:id="25"/>
      </w:r>
      <w:r>
        <w:rPr>
          <w:rFonts w:ascii="Times New Roman" w:hAnsi="Times New Roman" w:cs="Times New Roman" w:eastAsia="Times New Roman"/>
          <w:sz w:val="28"/>
        </w:rPr>
        <w:t xml:space="preserve">. Bu ajratish moliyaviy barqarorlikni alohida bank va bank tizimi darajasida baholash uchun nazariy asos bo‘ladi. Yuqoridagi nazariyalar asosida baholash zaruratining to‘rt asosini ajratish mumkin (1.2.1-jadval).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1.2.1-jadval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Banklar moliyaviy barqarorligini baholash zaruratining nazariy asoslari</w:t>
      </w:r>
      <w:r>
        <w:rPr>
          <w:rStyle w:val="FootnoteReference"/>
        </w:rPr>
        <w:footnoteReference w:id="26"/>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3175"/>
        <w:gridCol w:w="3912"/>
      </w:tblGrid>
      <w:tr>
        <w:trPr>
          <w:tblHeader w:val="true"/>
          <w:cantSplit/>
          <w:tblHeader/>
        </w:trPr>
        <w:tc>
          <w:tcPr>
            <w:tcW w:type="dxa" w:w="226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Nazariy asos</w:t>
            </w:r>
          </w:p>
        </w:tc>
        <w:tc>
          <w:tcPr>
            <w:tcW w:type="dxa" w:w="317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Mohiyati</w:t>
            </w:r>
          </w:p>
        </w:tc>
        <w:tc>
          <w:tcPr>
            <w:tcW w:type="dxa" w:w="391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Baholash metodikasi uchun xulosa</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Axborot asimmetriyasi</w:t>
            </w:r>
          </w:p>
        </w:tc>
        <w:tc>
          <w:tcPr>
            <w:tcW w:type="dxa" w:w="3175"/>
          </w:tcPr>
          <w:p>
            <w:pPr>
              <w:pStyle w:val="Compact"/>
              <w:spacing w:line="240" w:lineRule="auto"/>
              <w:ind w:firstLine="0"/>
              <w:jc w:val="left"/>
            </w:pPr>
            <w:r>
              <w:rPr>
                <w:rFonts w:ascii="Times New Roman" w:hAnsi="Times New Roman" w:cs="Times New Roman" w:eastAsia="Times New Roman"/>
                <w:sz w:val="22"/>
              </w:rPr>
              <w:t xml:space="preserve">Bank aktivlari sifatini tashqaridan aniqlash qiyin</w:t>
            </w:r>
          </w:p>
        </w:tc>
        <w:tc>
          <w:tcPr>
            <w:tcW w:type="dxa" w:w="3912"/>
          </w:tcPr>
          <w:p>
            <w:pPr>
              <w:pStyle w:val="Compact"/>
              <w:spacing w:line="240" w:lineRule="auto"/>
              <w:ind w:firstLine="0"/>
              <w:jc w:val="left"/>
            </w:pPr>
            <w:r>
              <w:rPr>
                <w:rFonts w:ascii="Times New Roman" w:hAnsi="Times New Roman" w:cs="Times New Roman" w:eastAsia="Times New Roman"/>
                <w:sz w:val="22"/>
              </w:rPr>
              <w:t xml:space="preserve">Mustaqil tashqi baho zarur; natija hisobot sifati va standartiga bog‘liq</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Depozit shartnomasining zaifligi</w:t>
            </w:r>
          </w:p>
        </w:tc>
        <w:tc>
          <w:tcPr>
            <w:tcW w:type="dxa" w:w="3175"/>
          </w:tcPr>
          <w:p>
            <w:pPr>
              <w:pStyle w:val="Compact"/>
              <w:spacing w:line="240" w:lineRule="auto"/>
              <w:ind w:firstLine="0"/>
              <w:jc w:val="left"/>
            </w:pPr>
            <w:r>
              <w:rPr>
                <w:rFonts w:ascii="Times New Roman" w:hAnsi="Times New Roman" w:cs="Times New Roman" w:eastAsia="Times New Roman"/>
                <w:sz w:val="22"/>
              </w:rPr>
              <w:t xml:space="preserve">Ishonch yo‘qolsa, ommaviy mablag‘ talab qilish yuz berishi mumkin</w:t>
            </w:r>
          </w:p>
        </w:tc>
        <w:tc>
          <w:tcPr>
            <w:tcW w:type="dxa" w:w="3912"/>
          </w:tcPr>
          <w:p>
            <w:pPr>
              <w:pStyle w:val="Compact"/>
              <w:spacing w:line="240" w:lineRule="auto"/>
              <w:ind w:firstLine="0"/>
              <w:jc w:val="left"/>
            </w:pPr>
            <w:r>
              <w:rPr>
                <w:rFonts w:ascii="Times New Roman" w:hAnsi="Times New Roman" w:cs="Times New Roman" w:eastAsia="Times New Roman"/>
                <w:sz w:val="22"/>
              </w:rPr>
              <w:t xml:space="preserve">Likvidlik va moliyalashtirish barqarorligi alohida blok sifatida baholanadi</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Kapitalning bufer funksiyasi</w:t>
            </w:r>
          </w:p>
        </w:tc>
        <w:tc>
          <w:tcPr>
            <w:tcW w:type="dxa" w:w="3175"/>
          </w:tcPr>
          <w:p>
            <w:pPr>
              <w:pStyle w:val="Compact"/>
              <w:spacing w:line="240" w:lineRule="auto"/>
              <w:ind w:firstLine="0"/>
              <w:jc w:val="left"/>
            </w:pPr>
            <w:r>
              <w:rPr>
                <w:rFonts w:ascii="Times New Roman" w:hAnsi="Times New Roman" w:cs="Times New Roman" w:eastAsia="Times New Roman"/>
                <w:sz w:val="22"/>
              </w:rPr>
              <w:t xml:space="preserve">Kapital kutilmagan yo‘qotishlarni qoplaydi, ammo uning narxi bor</w:t>
            </w:r>
          </w:p>
        </w:tc>
        <w:tc>
          <w:tcPr>
            <w:tcW w:type="dxa" w:w="3912"/>
          </w:tcPr>
          <w:p>
            <w:pPr>
              <w:pStyle w:val="Compact"/>
              <w:spacing w:line="240" w:lineRule="auto"/>
              <w:ind w:firstLine="0"/>
              <w:jc w:val="left"/>
            </w:pPr>
            <w:r>
              <w:rPr>
                <w:rFonts w:ascii="Times New Roman" w:hAnsi="Times New Roman" w:cs="Times New Roman" w:eastAsia="Times New Roman"/>
                <w:sz w:val="22"/>
              </w:rPr>
              <w:t xml:space="preserve">Kapital markaziy blok; baho minimumdan ortiq zaxiraga qarab beriladi</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Tizimli risk va tashqi ta’sir</w:t>
            </w:r>
          </w:p>
        </w:tc>
        <w:tc>
          <w:tcPr>
            <w:tcW w:type="dxa" w:w="3175"/>
          </w:tcPr>
          <w:p>
            <w:pPr>
              <w:pStyle w:val="Compact"/>
              <w:spacing w:line="240" w:lineRule="auto"/>
              <w:ind w:firstLine="0"/>
              <w:jc w:val="left"/>
            </w:pPr>
            <w:r>
              <w:rPr>
                <w:rFonts w:ascii="Times New Roman" w:hAnsi="Times New Roman" w:cs="Times New Roman" w:eastAsia="Times New Roman"/>
                <w:sz w:val="22"/>
              </w:rPr>
              <w:t xml:space="preserve">Bitta bank inqirozi butun tizimga tarqaladi</w:t>
            </w:r>
          </w:p>
        </w:tc>
        <w:tc>
          <w:tcPr>
            <w:tcW w:type="dxa" w:w="3912"/>
          </w:tcPr>
          <w:p>
            <w:pPr>
              <w:pStyle w:val="Compact"/>
              <w:spacing w:line="240" w:lineRule="auto"/>
              <w:ind w:firstLine="0"/>
              <w:jc w:val="left"/>
            </w:pPr>
            <w:r>
              <w:rPr>
                <w:rFonts w:ascii="Times New Roman" w:hAnsi="Times New Roman" w:cs="Times New Roman" w:eastAsia="Times New Roman"/>
                <w:sz w:val="22"/>
              </w:rPr>
              <w:t xml:space="preserve">Alohida bank va tizim darajasidagi baholash uyg‘unlashtiriladi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baholash zaruratining har bir nazariy asosi baholash metodikasiga o‘z talabini qo‘yadi va bu talablar keyinchalik baholash bloklari sifatida namoyon bo‘ladi. Shu bilan birga, baholash metodikasini tuzishda aynan nima baholanayotganini aniq belgilash kerak, chunki amaliyotda «bankning moliyaviy holatini baholash» va «moliyaviy barqarorligini baholash» iboralari ko‘pincha sinonim sifatida ishlatiladi. O.I. Lavrushin va I.D. Mamonova bu farqni quyidagicha izohlaydi: moliyaviy holat ma’lum sanadagi statik baho bo‘lsa, moliyaviy barqarorlik bankning tashqi va ichki risklarga nisbatan moliyaviy mustahkamlik zaxirasini aks ettiruvchi dinamik tavsifdir</w:t>
      </w:r>
      <w:r>
        <w:rPr>
          <w:rStyle w:val="FootnoteReference"/>
        </w:rPr>
        <w:footnoteReference w:id="27"/>
      </w:r>
      <w:r>
        <w:rPr>
          <w:rFonts w:ascii="Times New Roman" w:hAnsi="Times New Roman" w:cs="Times New Roman" w:eastAsia="Times New Roman"/>
          <w:sz w:val="28"/>
        </w:rPr>
        <w:t xml:space="preserve">. Mualliflar fikricha, barqarorlik ikki shartga – oqim va natijalarning kamida 3–5 yillik dinamikadagi stabilligiga hamda tizim elementlarining muvozanatiga tayanadi, masalan, kreditlar o‘sishi depozitlar, kapital, zaxiralar va foyda o‘sishi bilan birga borishi lozim</w:t>
      </w:r>
      <w:r>
        <w:rPr>
          <w:rStyle w:val="FootnoteReference"/>
        </w:rPr>
        <w:footnoteReference w:id="28"/>
      </w:r>
      <w:r>
        <w:rPr>
          <w:rFonts w:ascii="Times New Roman" w:hAnsi="Times New Roman" w:cs="Times New Roman" w:eastAsia="Times New Roman"/>
          <w:sz w:val="28"/>
        </w:rPr>
        <w:t xml:space="preserve">. Bundan kelib chiqadiki, ayrim ko‘rsatkichlarning juda yuqori qiymati ham ijobiy baholanmasligi mumkin: kreditlarning keskin o‘sishi bir qarashda faollik belgisi bo‘lsa-da, u erta ogohlantirish signallari qatoriga kiritiladi</w:t>
      </w:r>
      <w:r>
        <w:rPr>
          <w:rStyle w:val="FootnoteReference"/>
        </w:rPr>
        <w:footnoteReference w:id="29"/>
      </w:r>
      <w:r>
        <w:rPr>
          <w:rFonts w:ascii="Times New Roman" w:hAnsi="Times New Roman" w:cs="Times New Roman" w:eastAsia="Times New Roman"/>
          <w:sz w:val="28"/>
        </w:rPr>
        <w:t xml:space="preserve">, A.M. Karminskiyning ekonometrik modellarida esa kapitalning aktivlarga nisbati va kreditlar ulushi bank barqarorligiga optimal oraliq orqali ta’sir qilishi aniqlangan</w:t>
      </w:r>
      <w:r>
        <w:rPr>
          <w:rStyle w:val="FootnoteReference"/>
        </w:rPr>
        <w:footnoteReference w:id="30"/>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Yuqoridagilarga asoslanib, muallif tomonidan tijorat banki moliyaviy barqarorligini baholashning quyidagi ishchi ta’rifi taklif etiladi: bu bankning kapital, aktivlar sifati, daromadlilik, likvidlik va bozor risklariga sezgirlik bo‘yicha joriy holati, uning dinamikasi va muvozanatini xalqaro standartlarga muvofiq mezoniy qiymatlar asosida o‘lchab, yagona integral bahoga keltirish orqali bankning tashqi va ichki shoklarga bardosh berish qobiliyatini aniqlash jarayonidir. Bu ta’rif «moliyaviy holatni baholash»dan uch jihati bilan farq qiladi: dinamika va muvozanat baholash obyektiga kiritilgan, baho mezoniy qiymatlarga tayanadi va natija yagona integral baho shaklida ifodalanadi. U, shuningdek, M. Čihák ta’kidlagan barqarorlikning «operatsion» ta’rifi talabiga ham javob beradi, chunki kuzatiladigan ko‘rsatkichlar bloklari va ularning mezonlarini aniq belgilaydi</w:t>
      </w:r>
      <w:r>
        <w:rPr>
          <w:rStyle w:val="FootnoteReference"/>
        </w:rPr>
        <w:footnoteReference w:id="31"/>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Baholash obyekti aniqlangach, uning tamoyillarini belgilash lozim. Ilmiy adabiyot tahlili ularning eng muhimlari sifatida dinamiklik, komplekslik, qiyosiylik, shaffoflik va verifikatsiya qilinuvchanlikni ajratish imkonini beradi. Lavrushin va Mamonova kamida 2–3 yillik dinamika va bir turdagi banklar bilan solishtirishni talab qiladi hamda yig‘ma bahoni shakllantirishda MHXS ning mazmunning shakldan ustunligi, ehtiyotkorlik va muhimlik tamoyillarini qo‘llashni tavsiya etadi</w:t>
      </w:r>
      <w:r>
        <w:rPr>
          <w:rStyle w:val="FootnoteReference"/>
        </w:rPr>
        <w:footnoteReference w:id="32"/>
      </w:r>
      <w:r>
        <w:rPr>
          <w:rFonts w:ascii="Times New Roman" w:hAnsi="Times New Roman" w:cs="Times New Roman" w:eastAsia="Times New Roman"/>
          <w:sz w:val="28"/>
        </w:rPr>
        <w:t xml:space="preserve">. T.M. Karaliyev va I.F. Sayfiddinov O‘zbekistonda qo‘llanadigan CAMEL tizimida qiyosiy baholash yo‘qligini va aktivlar hamda likvidlik bloklari o‘rtasidagi ziddiyat hal qilinmaganini qayd etadi</w:t>
      </w:r>
      <w:r>
        <w:rPr>
          <w:rStyle w:val="FootnoteReference"/>
        </w:rPr>
        <w:footnoteReference w:id="33"/>
      </w:r>
      <w:r>
        <w:rPr>
          <w:rFonts w:ascii="Times New Roman" w:hAnsi="Times New Roman" w:cs="Times New Roman" w:eastAsia="Times New Roman"/>
          <w:sz w:val="28"/>
        </w:rPr>
        <w:t xml:space="preserve">. Karminskiy esa reyting sifati kutilgan va haqiqiy natijalarning mos kelishi bilan belgilanishini, ya’ni baholash metodikasining o‘zi ham tarixiy ma’lumotlar asosida tekshirilishi lozimligini ta’kidlaydi</w:t>
      </w:r>
      <w:r>
        <w:rPr>
          <w:rStyle w:val="FootnoteReference"/>
        </w:rPr>
        <w:footnoteReference w:id="34"/>
      </w:r>
      <w:r>
        <w:rPr>
          <w:rFonts w:ascii="Times New Roman" w:hAnsi="Times New Roman" w:cs="Times New Roman" w:eastAsia="Times New Roman"/>
          <w:sz w:val="28"/>
        </w:rPr>
        <w:t xml:space="preserve">. Bu tamoyillar ayrim hollarda o‘zaro ziddiyatga kirishadi: formallashtirish talabi professional mulohaza uchun joyni toraytiradi, qiyosiylik esa butun tizim yomonlashganda ham banklarning bir qismiga yaxshi baho berishga yo‘l qo‘yadi, shuning uchun metodika ishlab chiqishda ular o‘rtasida muvozanat topish kerak.</w:t>
      </w:r>
    </w:p>
    <w:p>
      <w:pPr>
        <w:pStyle w:val="BodyText"/>
        <w:spacing w:line="360" w:lineRule="auto" w:before="0" w:after="0"/>
        <w:ind w:firstLine="709"/>
        <w:jc w:val="both"/>
      </w:pPr>
      <w:r>
        <w:rPr>
          <w:rFonts w:ascii="Times New Roman" w:hAnsi="Times New Roman" w:cs="Times New Roman" w:eastAsia="Times New Roman"/>
          <w:sz w:val="28"/>
        </w:rPr>
        <w:t xml:space="preserve">Baholash amaliyotida shakllangan yondashuvlarni tasniflashda Xalqaro hisob-kitoblar banki nazorat organlari tizimlarini to‘rt toifaga – nazorat reyting tizimlari, moliyaviy koeffitsiyentlar va guruhlab tahlil qilish tizimlari, risklarni kompleks baholash tizimlari va statistik modellarga ajratadi</w:t>
      </w:r>
      <w:r>
        <w:rPr>
          <w:rStyle w:val="FootnoteReference"/>
        </w:rPr>
        <w:footnoteReference w:id="35"/>
      </w:r>
      <w:r>
        <w:rPr>
          <w:rFonts w:ascii="Times New Roman" w:hAnsi="Times New Roman" w:cs="Times New Roman" w:eastAsia="Times New Roman"/>
          <w:sz w:val="28"/>
        </w:rPr>
        <w:t xml:space="preserve">. Lavrushin va Mamonova modellarni maqsadi, yig‘ma bahoni shakllantirish usuli, o‘rganish usuli va shaffofligi bo‘yicha tasniflaydi</w:t>
      </w:r>
      <w:r>
        <w:rPr>
          <w:rStyle w:val="FootnoteReference"/>
        </w:rPr>
        <w:footnoteReference w:id="36"/>
      </w:r>
      <w:r>
        <w:rPr>
          <w:rFonts w:ascii="Times New Roman" w:hAnsi="Times New Roman" w:cs="Times New Roman" w:eastAsia="Times New Roman"/>
          <w:sz w:val="28"/>
        </w:rPr>
        <w:t xml:space="preserve">, M. Modina esa kredit riskini o‘lchash yondashuvlarini bir chekkasida iqtisodiy-statistik, ikkinchi chekkasida ekspert yondashuvi turgan uzluksiz shkala sifatida tasavvur qiladi</w:t>
      </w:r>
      <w:r>
        <w:rPr>
          <w:rStyle w:val="FootnoteReference"/>
        </w:rPr>
        <w:footnoteReference w:id="37"/>
      </w:r>
      <w:r>
        <w:rPr>
          <w:rFonts w:ascii="Times New Roman" w:hAnsi="Times New Roman" w:cs="Times New Roman" w:eastAsia="Times New Roman"/>
          <w:sz w:val="28"/>
        </w:rPr>
        <w:t xml:space="preserve">. Ushbu tasniflarni umumlashtirib, baholash yondashuvlarini besh asosiy guruhga ajratish mumkin (1.2.2-jadval).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1.2.2-jadval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barqarorlikni baholash yondashuvlarining qiyosiy tavsifi</w:t>
      </w:r>
      <w:r>
        <w:rPr>
          <w:rStyle w:val="FootnoteReference"/>
        </w:rPr>
        <w:footnoteReference w:id="38"/>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27"/>
        <w:gridCol w:w="2268"/>
        <w:gridCol w:w="2438"/>
        <w:gridCol w:w="2721"/>
      </w:tblGrid>
      <w:tr>
        <w:trPr>
          <w:tblHeader w:val="true"/>
          <w:cantSplit/>
          <w:tblHeader/>
        </w:trPr>
        <w:tc>
          <w:tcPr>
            <w:tcW w:type="dxa" w:w="19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Yondashuv</w:t>
            </w:r>
          </w:p>
        </w:tc>
        <w:tc>
          <w:tcPr>
            <w:tcW w:type="dxa" w:w="226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Namunalar</w:t>
            </w:r>
          </w:p>
        </w:tc>
        <w:tc>
          <w:tcPr>
            <w:tcW w:type="dxa" w:w="243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Afzalliklari</w:t>
            </w:r>
          </w:p>
        </w:tc>
        <w:tc>
          <w:tcPr>
            <w:tcW w:type="dxa" w:w="272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Kamchiliklari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Koeffitsiyentli (normativ)</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Markaziy bank normativlari, XVJ moliyaviy barqarorlik ko‘rsatkichlari</w:t>
            </w:r>
          </w:p>
        </w:tc>
        <w:tc>
          <w:tcPr>
            <w:tcW w:type="dxa" w:w="2438"/>
          </w:tcPr>
          <w:p>
            <w:pPr>
              <w:pStyle w:val="Compact"/>
              <w:spacing w:line="240" w:lineRule="auto"/>
              <w:ind w:firstLine="0"/>
              <w:jc w:val="left"/>
            </w:pPr>
            <w:r>
              <w:rPr>
                <w:rFonts w:ascii="Times New Roman" w:hAnsi="Times New Roman" w:cs="Times New Roman" w:eastAsia="Times New Roman"/>
                <w:sz w:val="22"/>
              </w:rPr>
              <w:t xml:space="preserve">Sodda, normativlar bilan bevosita bog‘liq</w:t>
            </w:r>
          </w:p>
        </w:tc>
        <w:tc>
          <w:tcPr>
            <w:tcW w:type="dxa" w:w="2721"/>
          </w:tcPr>
          <w:p>
            <w:pPr>
              <w:pStyle w:val="Compact"/>
              <w:spacing w:line="240" w:lineRule="auto"/>
              <w:ind w:firstLine="0"/>
              <w:jc w:val="left"/>
            </w:pPr>
            <w:r>
              <w:rPr>
                <w:rFonts w:ascii="Times New Roman" w:hAnsi="Times New Roman" w:cs="Times New Roman" w:eastAsia="Times New Roman"/>
                <w:sz w:val="22"/>
              </w:rPr>
              <w:t xml:space="preserve">Ko‘rsatkichlar tarqoq, yagona xulosa yo‘q</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Reyting (komponentli)</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CAMELS, Rossiya Bankining 4336-U ko‘rsatmasi</w:t>
            </w:r>
          </w:p>
        </w:tc>
        <w:tc>
          <w:tcPr>
            <w:tcW w:type="dxa" w:w="2438"/>
          </w:tcPr>
          <w:p>
            <w:pPr>
              <w:pStyle w:val="Compact"/>
              <w:spacing w:line="240" w:lineRule="auto"/>
              <w:ind w:firstLine="0"/>
              <w:jc w:val="left"/>
            </w:pPr>
            <w:r>
              <w:rPr>
                <w:rFonts w:ascii="Times New Roman" w:hAnsi="Times New Roman" w:cs="Times New Roman" w:eastAsia="Times New Roman"/>
                <w:sz w:val="22"/>
              </w:rPr>
              <w:t xml:space="preserve">Kompleks, xalqaro e’tirof etilgan</w:t>
            </w:r>
          </w:p>
        </w:tc>
        <w:tc>
          <w:tcPr>
            <w:tcW w:type="dxa" w:w="2721"/>
          </w:tcPr>
          <w:p>
            <w:pPr>
              <w:pStyle w:val="Compact"/>
              <w:spacing w:line="240" w:lineRule="auto"/>
              <w:ind w:firstLine="0"/>
              <w:jc w:val="left"/>
            </w:pPr>
            <w:r>
              <w:rPr>
                <w:rFonts w:ascii="Times New Roman" w:hAnsi="Times New Roman" w:cs="Times New Roman" w:eastAsia="Times New Roman"/>
                <w:sz w:val="22"/>
              </w:rPr>
              <w:t xml:space="preserve">Sub’ektiv, natijalar yopiq, vaznlar asoslanmagan</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Risklarga yo‘naltirilgan</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BAITE, RATE</w:t>
            </w:r>
          </w:p>
        </w:tc>
        <w:tc>
          <w:tcPr>
            <w:tcW w:type="dxa" w:w="2438"/>
          </w:tcPr>
          <w:p>
            <w:pPr>
              <w:pStyle w:val="Compact"/>
              <w:spacing w:line="240" w:lineRule="auto"/>
              <w:ind w:firstLine="0"/>
              <w:jc w:val="left"/>
            </w:pPr>
            <w:r>
              <w:rPr>
                <w:rFonts w:ascii="Times New Roman" w:hAnsi="Times New Roman" w:cs="Times New Roman" w:eastAsia="Times New Roman"/>
                <w:sz w:val="22"/>
              </w:rPr>
              <w:t xml:space="preserve">Nazorat resurslarini riskka qarab taqsimlaydi</w:t>
            </w:r>
          </w:p>
        </w:tc>
        <w:tc>
          <w:tcPr>
            <w:tcW w:type="dxa" w:w="2721"/>
          </w:tcPr>
          <w:p>
            <w:pPr>
              <w:pStyle w:val="Compact"/>
              <w:spacing w:line="240" w:lineRule="auto"/>
              <w:ind w:firstLine="0"/>
              <w:jc w:val="left"/>
            </w:pPr>
            <w:r>
              <w:rPr>
                <w:rFonts w:ascii="Times New Roman" w:hAnsi="Times New Roman" w:cs="Times New Roman" w:eastAsia="Times New Roman"/>
                <w:sz w:val="22"/>
              </w:rPr>
              <w:t xml:space="preserve">Ichki axborot va yuqori malaka talab qiladi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Statistik (ekonometrik)</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FIMS, logit va probit modellar, Z-score</w:t>
            </w:r>
          </w:p>
        </w:tc>
        <w:tc>
          <w:tcPr>
            <w:tcW w:type="dxa" w:w="2438"/>
          </w:tcPr>
          <w:p>
            <w:pPr>
              <w:pStyle w:val="Compact"/>
              <w:spacing w:line="240" w:lineRule="auto"/>
              <w:ind w:firstLine="0"/>
              <w:jc w:val="left"/>
            </w:pPr>
            <w:r>
              <w:rPr>
                <w:rFonts w:ascii="Times New Roman" w:hAnsi="Times New Roman" w:cs="Times New Roman" w:eastAsia="Times New Roman"/>
                <w:sz w:val="22"/>
              </w:rPr>
              <w:t xml:space="preserve">Obyektiv, bashorat kuchi o‘lchanadi</w:t>
            </w:r>
          </w:p>
        </w:tc>
        <w:tc>
          <w:tcPr>
            <w:tcW w:type="dxa" w:w="2721"/>
          </w:tcPr>
          <w:p>
            <w:pPr>
              <w:pStyle w:val="Compact"/>
              <w:spacing w:line="240" w:lineRule="auto"/>
              <w:ind w:firstLine="0"/>
              <w:jc w:val="left"/>
            </w:pPr>
            <w:r>
              <w:rPr>
                <w:rFonts w:ascii="Times New Roman" w:hAnsi="Times New Roman" w:cs="Times New Roman" w:eastAsia="Times New Roman"/>
                <w:sz w:val="22"/>
              </w:rPr>
              <w:t xml:space="preserve">Uzoq tarix va bankrotlik holatlari talab qilinadi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Bozor indikatorlariga asoslangan</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Kredit-defolt svoplari spredlari, aksiya narxlari</w:t>
            </w:r>
          </w:p>
        </w:tc>
        <w:tc>
          <w:tcPr>
            <w:tcW w:type="dxa" w:w="2438"/>
          </w:tcPr>
          <w:p>
            <w:pPr>
              <w:pStyle w:val="Compact"/>
              <w:spacing w:line="240" w:lineRule="auto"/>
              <w:ind w:firstLine="0"/>
              <w:jc w:val="left"/>
            </w:pPr>
            <w:r>
              <w:rPr>
                <w:rFonts w:ascii="Times New Roman" w:hAnsi="Times New Roman" w:cs="Times New Roman" w:eastAsia="Times New Roman"/>
                <w:sz w:val="22"/>
              </w:rPr>
              <w:t xml:space="preserve">Kelajakka yo‘naltirilgan, tezkor</w:t>
            </w:r>
          </w:p>
        </w:tc>
        <w:tc>
          <w:tcPr>
            <w:tcW w:type="dxa" w:w="2721"/>
          </w:tcPr>
          <w:p>
            <w:pPr>
              <w:pStyle w:val="Compact"/>
              <w:spacing w:line="240" w:lineRule="auto"/>
              <w:ind w:firstLine="0"/>
              <w:jc w:val="left"/>
            </w:pPr>
            <w:r>
              <w:rPr>
                <w:rFonts w:ascii="Times New Roman" w:hAnsi="Times New Roman" w:cs="Times New Roman" w:eastAsia="Times New Roman"/>
                <w:sz w:val="22"/>
              </w:rPr>
              <w:t xml:space="preserve">Faqat birjada savdo qilinadigan banklar uchun</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yondashuvlarning birortasi ham universal emas va Lavrushin tahriridagi monografiyada ham bank barqarorligini tahlil qilishning yagona universal metodikasi mavjud emasligi qayd etilgan</w:t>
      </w:r>
      <w:r>
        <w:rPr>
          <w:rStyle w:val="FootnoteReference"/>
        </w:rPr>
        <w:footnoteReference w:id="39"/>
      </w:r>
      <w:r>
        <w:rPr>
          <w:rFonts w:ascii="Times New Roman" w:hAnsi="Times New Roman" w:cs="Times New Roman" w:eastAsia="Times New Roman"/>
          <w:sz w:val="28"/>
        </w:rPr>
        <w:t xml:space="preserve">. Koeffitsiyentli yondashuv normativlar bilan bog‘liq bo‘lsa-da, ko‘rsatkichlarni yagona bahoga keltirmaydi: masalan, B.T. Berdiyarov Xalqaro valyuta jamg‘armasining 24 ta ko‘rsatkichi asosida milliy baholash tizimini shakllantirishni taklif etgan, ammo ular integral bahoga birlashtirilmagan</w:t>
      </w:r>
      <w:r>
        <w:rPr>
          <w:rStyle w:val="FootnoteReference"/>
        </w:rPr>
        <w:footnoteReference w:id="40"/>
      </w:r>
      <w:r>
        <w:rPr>
          <w:rFonts w:ascii="Times New Roman" w:hAnsi="Times New Roman" w:cs="Times New Roman" w:eastAsia="Times New Roman"/>
          <w:sz w:val="28"/>
        </w:rPr>
        <w:t xml:space="preserve">. Statistik yondashuvning eng sodda va samarali vositasi bo‘lgan Z-score ko‘rsatkichi distressga uchragan banklarning 75 foizini to‘g‘ri aniqlaydi</w:t>
      </w:r>
      <w:r>
        <w:rPr>
          <w:rStyle w:val="FootnoteReference"/>
        </w:rPr>
        <w:footnoteReference w:id="41"/>
      </w:r>
      <w:r>
        <w:rPr>
          <w:rFonts w:ascii="Times New Roman" w:hAnsi="Times New Roman" w:cs="Times New Roman" w:eastAsia="Times New Roman"/>
          <w:sz w:val="28"/>
        </w:rPr>
        <w:t xml:space="preserve">, biroq u uzoq tarixiy ma’lumotlarni talab qiladi, Karminskiy esa defoltlar ulushi taxminan 1 foiz bo‘lganda tanlanmada nomutanosiblik yuzaga kelishini ko‘rsatadi</w:t>
      </w:r>
      <w:r>
        <w:rPr>
          <w:rStyle w:val="FootnoteReference"/>
        </w:rPr>
        <w:footnoteReference w:id="42"/>
      </w:r>
      <w:r>
        <w:rPr>
          <w:rFonts w:ascii="Times New Roman" w:hAnsi="Times New Roman" w:cs="Times New Roman" w:eastAsia="Times New Roman"/>
          <w:sz w:val="28"/>
        </w:rPr>
        <w:t xml:space="preserve">. Bozor indikatorlari faqat aksiyalari birjada savdo qilinadigan banklar uchun qo‘llanishi mumkinligi</w:t>
      </w:r>
      <w:r>
        <w:rPr>
          <w:rStyle w:val="FootnoteReference"/>
        </w:rPr>
        <w:footnoteReference w:id="43"/>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sababli rivojlanayotgan fond bozoriga ega O‘zbekiston sharoitida buxgalteriya ma’lumotlariga asoslangan usullar ustuvor ahamiyatga ega. Reyting va risklarga yo‘naltirilgan tizimlarning mamlakatlar amaliyotidagi ko‘rinishlari 1.3-paragrafda batafsil tahlil qilinadi. Demak, zamonaviy tendensiya turli yondashuvlar afzalliklarini birlashtiruvchi gibrid tizimlarga o‘tish bo‘lib, ochiq ma’lumotlarga asoslangan, oldindan belgilangan chegaralar bo‘yicha ballanadigan va bashorat kuchi statistik usullar bilan tekshiriladigan integral baholash tizimi reyting va statistik yondashuvlar afzalliklarini birlashtiradi.</w:t>
      </w:r>
    </w:p>
    <w:p>
      <w:pPr>
        <w:pStyle w:val="BodyText"/>
        <w:spacing w:line="360" w:lineRule="auto" w:before="0" w:after="0"/>
        <w:ind w:firstLine="709"/>
        <w:jc w:val="both"/>
      </w:pPr>
      <w:r>
        <w:rPr>
          <w:rFonts w:ascii="Times New Roman" w:hAnsi="Times New Roman" w:cs="Times New Roman" w:eastAsia="Times New Roman"/>
          <w:sz w:val="28"/>
        </w:rPr>
        <w:t xml:space="preserve">Integral baholashning eng munozarali masalasi ko‘rsatkichlarga vazn berishdir. Lavrushin va Mamonova vazn koeffitsiyentlarini belgilash eng sub’ektiv masalalardan biri ekanini, ammo hozircha boshqa usul topilmaganini tan oladi</w:t>
      </w:r>
      <w:r>
        <w:rPr>
          <w:rStyle w:val="FootnoteReference"/>
        </w:rPr>
        <w:footnoteReference w:id="44"/>
      </w:r>
      <w:r>
        <w:rPr>
          <w:rFonts w:ascii="Times New Roman" w:hAnsi="Times New Roman" w:cs="Times New Roman" w:eastAsia="Times New Roman"/>
          <w:sz w:val="28"/>
        </w:rPr>
        <w:t xml:space="preserve">, Lavrushin tahriridagi monografiyada esa Rossiyadagi to‘qqizta reyting metodikasida vaznlar ko‘pincha ekspert yo‘li bilan aniqlanishi yoki umuman tushuntirilmasligi ko‘rsatilgan</w:t>
      </w:r>
      <w:r>
        <w:rPr>
          <w:rStyle w:val="FootnoteReference"/>
        </w:rPr>
        <w:footnoteReference w:id="45"/>
      </w:r>
      <w:r>
        <w:rPr>
          <w:rFonts w:ascii="Times New Roman" w:hAnsi="Times New Roman" w:cs="Times New Roman" w:eastAsia="Times New Roman"/>
          <w:sz w:val="28"/>
        </w:rPr>
        <w:t xml:space="preserve">. Ilmiy adabiyotda vaznlarni aniqlashning uch usuli uchraydi: ekspert usuli, teng vaznlar usuli va statistik usul. Ye.P. Shatalova vaznlar dastlab ekspert yo‘li bilan belgilanib, keyin verifikatsiyadan o‘tkazilishi kerakligini qayd etadi</w:t>
      </w:r>
      <w:r>
        <w:rPr>
          <w:rStyle w:val="FootnoteReference"/>
        </w:rPr>
        <w:footnoteReference w:id="46"/>
      </w:r>
      <w:r>
        <w:rPr>
          <w:rFonts w:ascii="Times New Roman" w:hAnsi="Times New Roman" w:cs="Times New Roman" w:eastAsia="Times New Roman"/>
          <w:sz w:val="28"/>
        </w:rPr>
        <w:t xml:space="preserve">, L. Izzi, G. Oricchio va L. Vitale esa vaznlarni regressiya koeffitsiyentlaridan hisoblab, rivojlanayotgan mamlakatlar banklari uchun miqdoriy modulga 80 foiz, sifat moduliga 20 foiz vazn beradi</w:t>
      </w:r>
      <w:r>
        <w:rPr>
          <w:rStyle w:val="FootnoteReference"/>
        </w:rPr>
        <w:footnoteReference w:id="47"/>
      </w:r>
      <w:r>
        <w:rPr>
          <w:rFonts w:ascii="Times New Roman" w:hAnsi="Times New Roman" w:cs="Times New Roman" w:eastAsia="Times New Roman"/>
          <w:sz w:val="28"/>
        </w:rPr>
        <w:t xml:space="preserve">. Bundan tashqari, har qanday baholash tizimi ikki turdagi xatoga yo‘l qo‘yishi mumkin: muammoli bankni barqaror deb baholash (birinchi tur xatosi) va barqaror bankni muammoli deb baholash (ikkinchi tur xatosi). Karminskiy birinchi tur xatosining narxi ancha yuqori ekanini ko‘rsatadi</w:t>
      </w:r>
      <w:r>
        <w:rPr>
          <w:rStyle w:val="FootnoteReference"/>
        </w:rPr>
        <w:footnoteReference w:id="48"/>
      </w:r>
      <w:r>
        <w:rPr>
          <w:rFonts w:ascii="Times New Roman" w:hAnsi="Times New Roman" w:cs="Times New Roman" w:eastAsia="Times New Roman"/>
          <w:sz w:val="28"/>
        </w:rPr>
        <w:t xml:space="preserve">, shu sababli baholash chegaralarini ehtiyotkorlik tamoyiliga ko‘ra biroz qat’iyroq qo‘yish maqsadga muvofiq.</w:t>
      </w:r>
    </w:p>
    <w:p>
      <w:pPr>
        <w:pStyle w:val="BodyText"/>
        <w:spacing w:line="360" w:lineRule="auto" w:before="0" w:after="0"/>
        <w:ind w:firstLine="709"/>
        <w:jc w:val="both"/>
      </w:pPr>
      <w:r>
        <w:rPr>
          <w:rFonts w:ascii="Times New Roman" w:hAnsi="Times New Roman" w:cs="Times New Roman" w:eastAsia="Times New Roman"/>
          <w:sz w:val="28"/>
        </w:rPr>
        <w:t xml:space="preserve">Yuqorida ko‘rib chiqilgan nazariy talablar amaliyotda birinchi navbatda Bank nazorati bo‘yicha Bazel qo‘mitasi standartlarida o‘z ifodasini topgan. Bazel kelishuvlari o‘ttiz yildan ortiq davr mobaynida kapital yetarliligining oddiy talabidan kompleks prudensial tartibga solish tizimigacha rivojlandi (1.2.1-rasm).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376000"/>
                <wp:effectExtent l="0" t="0" r="0" b="0"/>
                <wp:docPr id="1001" name="1.2.1-rasm"/>
                <wp:cNvGraphicFramePr/>
                <a:graphic>
                  <a:graphicData uri="http://schemas.microsoft.com/office/word/2010/wordprocessingGroup">
                    <wpg:wgp>
                      <wpg:cNvGrpSpPr/>
                      <wpg:grpSpPr>
                        <a:xfrm>
                          <a:off x="0" y="0"/>
                          <a:ext cx="5904000" cy="2376000"/>
                          <a:chOff x="0" y="0"/>
                          <a:chExt cx="5904000" cy="2376000"/>
                        </a:xfrm>
                      </wpg:grpSpPr>
                      <wps:wsp>
                        <wps:cNvPr id="2" name="Shape 2"/>
                        <wps:cNvSpPr/>
                        <wps:spPr>
                          <a:xfrm>
                            <a:off x="36000" y="72000"/>
                            <a:ext cx="1260000" cy="468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w:t>
                              </w:r>
                            </w:p>
                            <w:p>
                              <w:pPr>
                                <w:spacing w:before="0" w:after="0" w:line="228" w:lineRule="auto"/>
                                <w:jc w:val="center"/>
                                <w:ind w:firstLine="0"/>
                              </w:pPr>
                              <w:r>
                                <w:rPr>
                                  <w:rFonts w:ascii="Times New Roman" w:hAnsi="Times New Roman" w:cs="Times New Roman"/>
                                  <w:b/>
                                  <w:color w:val="FFFFFF"/>
                                  <w:sz w:val="22"/>
                                  <w:szCs w:val="22"/>
                                </w:rPr>
                                <w:t xml:space="preserve">(1988)</w:t>
                              </w:r>
                            </w:p>
                          </w:txbxContent>
                        </wps:txbx>
                        <wps:bodyPr rot="0" vert="horz" wrap="square" lIns="36000" tIns="18000" rIns="36000" bIns="18000" anchor="ctr" anchorCtr="0">
                          <a:noAutofit/>
                        </wps:bodyPr>
                      </wps:wsp>
                      <wps:wsp>
                        <wps:cNvPr id="3" name="Connector 3"/>
                        <wps:cNvCnPr/>
                        <wps:spPr>
                          <a:xfrm>
                            <a:off x="666000" y="540000"/>
                            <a:ext cx="0" cy="180000"/>
                          </a:xfrm>
                          <a:prstGeom prst="straightConnector1">
                            <a:avLst/>
                          </a:prstGeom>
                          <a:ln w="15875">
                            <a:solidFill>
                              <a:srgbClr val="7F7F7F"/>
                            </a:solidFill>
                          </a:ln>
                        </wps:spPr>
                        <wps:bodyPr/>
                      </wps:wsp>
                      <wps:wsp>
                        <wps:cNvPr id="4" name="Shape 4"/>
                        <wps:cNvSpPr/>
                        <wps:spPr>
                          <a:xfrm>
                            <a:off x="3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Faqat kredit riski;</w:t>
                              </w:r>
                            </w:p>
                            <w:p>
                              <w:pPr>
                                <w:spacing w:before="0" w:after="0" w:line="228" w:lineRule="auto"/>
                                <w:jc w:val="center"/>
                                <w:ind w:firstLine="0"/>
                              </w:pPr>
                              <w:r>
                                <w:rPr>
                                  <w:rFonts w:ascii="Times New Roman" w:hAnsi="Times New Roman" w:cs="Times New Roman"/>
                                  <w:color w:val="000000"/>
                                  <w:sz w:val="22"/>
                                  <w:szCs w:val="22"/>
                                </w:rPr>
                                <w:t xml:space="preserve">Tier 1 ≥ 4%;</w:t>
                              </w:r>
                            </w:p>
                            <w:p>
                              <w:pPr>
                                <w:spacing w:before="0" w:after="0" w:line="228" w:lineRule="auto"/>
                                <w:jc w:val="center"/>
                                <w:ind w:firstLine="0"/>
                              </w:pPr>
                              <w:r>
                                <w:rPr>
                                  <w:rFonts w:ascii="Times New Roman" w:hAnsi="Times New Roman" w:cs="Times New Roman"/>
                                  <w:color w:val="000000"/>
                                  <w:sz w:val="22"/>
                                  <w:szCs w:val="22"/>
                                </w:rPr>
                                <w:t xml:space="preserve">jami kapital ≥ 8%;</w:t>
                              </w:r>
                            </w:p>
                            <w:p>
                              <w:pPr>
                                <w:spacing w:before="0" w:after="0" w:line="228" w:lineRule="auto"/>
                                <w:jc w:val="center"/>
                                <w:ind w:firstLine="0"/>
                              </w:pPr>
                              <w:r>
                                <w:rPr>
                                  <w:rFonts w:ascii="Times New Roman" w:hAnsi="Times New Roman" w:cs="Times New Roman"/>
                                  <w:color w:val="000000"/>
                                  <w:sz w:val="22"/>
                                  <w:szCs w:val="22"/>
                                </w:rPr>
                                <w:t xml:space="preserve">risk vaznlari</w:t>
                              </w:r>
                            </w:p>
                            <w:p>
                              <w:pPr>
                                <w:spacing w:before="0" w:after="0" w:line="228" w:lineRule="auto"/>
                                <w:jc w:val="center"/>
                                <w:ind w:firstLine="0"/>
                              </w:pPr>
                              <w:r>
                                <w:rPr>
                                  <w:rFonts w:ascii="Times New Roman" w:hAnsi="Times New Roman" w:cs="Times New Roman"/>
                                  <w:color w:val="000000"/>
                                  <w:sz w:val="22"/>
                                  <w:szCs w:val="22"/>
                                </w:rPr>
                                <w:t xml:space="preserve">0, 20, 50, 100%</w:t>
                              </w:r>
                            </w:p>
                          </w:txbxContent>
                        </wps:txbx>
                        <wps:bodyPr rot="0" vert="horz" wrap="square" lIns="36000" tIns="18000" rIns="36000" bIns="18000" anchor="ctr" anchorCtr="0">
                          <a:noAutofit/>
                        </wps:bodyPr>
                      </wps:wsp>
                      <wps:wsp>
                        <wps:cNvPr id="5" name="Connector 5"/>
                        <wps:cNvCnPr/>
                        <wps:spPr>
                          <a:xfrm>
                            <a:off x="1303200" y="306000"/>
                            <a:ext cx="255600" cy="0"/>
                          </a:xfrm>
                          <a:prstGeom prst="straightConnector1">
                            <a:avLst/>
                          </a:prstGeom>
                          <a:ln w="19050">
                            <a:solidFill>
                              <a:srgbClr val="404040"/>
                            </a:solidFill>
                            <a:tailEnd type="triangle" w="med" len="med"/>
                          </a:ln>
                        </wps:spPr>
                        <wps:bodyPr/>
                      </wps:wsp>
                      <wps:wsp>
                        <wps:cNvPr id="6" name="Shape 6"/>
                        <wps:cNvSpPr/>
                        <wps:spPr>
                          <a:xfrm>
                            <a:off x="1566000" y="72000"/>
                            <a:ext cx="1260000" cy="468000"/>
                          </a:xfrm>
                          <a:prstGeom prst="roundRect">
                            <a:avLst>
                              <a:gd name="adj" fmla="val 10000"/>
                            </a:avLst>
                          </a:prstGeom>
                          <a:solidFill>
                            <a:srgbClr val="9DC3E6"/>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Bozor riski tuzatishi</w:t>
                              </w:r>
                            </w:p>
                            <w:p>
                              <w:pPr>
                                <w:spacing w:before="0" w:after="0" w:line="228" w:lineRule="auto"/>
                                <w:jc w:val="center"/>
                                <w:ind w:firstLine="0"/>
                              </w:pPr>
                              <w:r>
                                <w:rPr>
                                  <w:rFonts w:ascii="Times New Roman" w:hAnsi="Times New Roman" w:cs="Times New Roman"/>
                                  <w:b/>
                                  <w:color w:val="000000"/>
                                  <w:sz w:val="22"/>
                                  <w:szCs w:val="22"/>
                                </w:rPr>
                                <w:t xml:space="preserve">(1996)</w:t>
                              </w:r>
                            </w:p>
                          </w:txbxContent>
                        </wps:txbx>
                        <wps:bodyPr rot="0" vert="horz" wrap="square" lIns="36000" tIns="18000" rIns="36000" bIns="18000" anchor="ctr" anchorCtr="0">
                          <a:noAutofit/>
                        </wps:bodyPr>
                      </wps:wsp>
                      <wps:wsp>
                        <wps:cNvPr id="7" name="Connector 7"/>
                        <wps:cNvCnPr/>
                        <wps:spPr>
                          <a:xfrm>
                            <a:off x="2196000" y="540000"/>
                            <a:ext cx="0" cy="180000"/>
                          </a:xfrm>
                          <a:prstGeom prst="straightConnector1">
                            <a:avLst/>
                          </a:prstGeom>
                          <a:ln w="15875">
                            <a:solidFill>
                              <a:srgbClr val="7F7F7F"/>
                            </a:solidFill>
                          </a:ln>
                        </wps:spPr>
                        <wps:bodyPr/>
                      </wps:wsp>
                      <wps:wsp>
                        <wps:cNvPr id="8" name="Shape 8"/>
                        <wps:cNvSpPr/>
                        <wps:spPr>
                          <a:xfrm>
                            <a:off x="156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Bozor riski uchun</w:t>
                              </w:r>
                            </w:p>
                            <w:p>
                              <w:pPr>
                                <w:spacing w:before="0" w:after="0" w:line="228" w:lineRule="auto"/>
                                <w:jc w:val="center"/>
                                <w:ind w:firstLine="0"/>
                              </w:pPr>
                              <w:r>
                                <w:rPr>
                                  <w:rFonts w:ascii="Times New Roman" w:hAnsi="Times New Roman" w:cs="Times New Roman"/>
                                  <w:color w:val="000000"/>
                                  <w:sz w:val="22"/>
                                  <w:szCs w:val="22"/>
                                </w:rPr>
                                <w:t xml:space="preserve">kapital;</w:t>
                              </w:r>
                            </w:p>
                            <w:p>
                              <w:pPr>
                                <w:spacing w:before="0" w:after="0" w:line="228" w:lineRule="auto"/>
                                <w:jc w:val="center"/>
                                <w:ind w:firstLine="0"/>
                              </w:pPr>
                              <w:r>
                                <w:rPr>
                                  <w:rFonts w:ascii="Times New Roman" w:hAnsi="Times New Roman" w:cs="Times New Roman"/>
                                  <w:color w:val="000000"/>
                                  <w:sz w:val="22"/>
                                  <w:szCs w:val="22"/>
                                </w:rPr>
                                <w:t xml:space="preserve">VaR modeli;</w:t>
                              </w:r>
                            </w:p>
                            <w:p>
                              <w:pPr>
                                <w:spacing w:before="0" w:after="0" w:line="228" w:lineRule="auto"/>
                                <w:jc w:val="center"/>
                                <w:ind w:firstLine="0"/>
                              </w:pPr>
                              <w:r>
                                <w:rPr>
                                  <w:rFonts w:ascii="Times New Roman" w:hAnsi="Times New Roman" w:cs="Times New Roman"/>
                                  <w:color w:val="000000"/>
                                  <w:sz w:val="22"/>
                                  <w:szCs w:val="22"/>
                                </w:rPr>
                                <w:t xml:space="preserve">10 kunlik gorizont;</w:t>
                              </w:r>
                            </w:p>
                            <w:p>
                              <w:pPr>
                                <w:spacing w:before="0" w:after="0" w:line="228" w:lineRule="auto"/>
                                <w:jc w:val="center"/>
                                <w:ind w:firstLine="0"/>
                              </w:pPr>
                              <w:r>
                                <w:rPr>
                                  <w:rFonts w:ascii="Times New Roman" w:hAnsi="Times New Roman" w:cs="Times New Roman"/>
                                  <w:color w:val="000000"/>
                                  <w:sz w:val="22"/>
                                  <w:szCs w:val="22"/>
                                </w:rPr>
                                <w:t xml:space="preserve">×3 koeffitsiyent</w:t>
                              </w:r>
                            </w:p>
                          </w:txbxContent>
                        </wps:txbx>
                        <wps:bodyPr rot="0" vert="horz" wrap="square" lIns="36000" tIns="18000" rIns="36000" bIns="18000" anchor="ctr" anchorCtr="0">
                          <a:noAutofit/>
                        </wps:bodyPr>
                      </wps:wsp>
                      <wps:wsp>
                        <wps:cNvPr id="9" name="Connector 9"/>
                        <wps:cNvCnPr/>
                        <wps:spPr>
                          <a:xfrm>
                            <a:off x="2833200" y="306000"/>
                            <a:ext cx="255600" cy="0"/>
                          </a:xfrm>
                          <a:prstGeom prst="straightConnector1">
                            <a:avLst/>
                          </a:prstGeom>
                          <a:ln w="19050">
                            <a:solidFill>
                              <a:srgbClr val="404040"/>
                            </a:solidFill>
                            <a:tailEnd type="triangle" w="med" len="med"/>
                          </a:ln>
                        </wps:spPr>
                        <wps:bodyPr/>
                      </wps:wsp>
                      <wps:wsp>
                        <wps:cNvPr id="10" name="Shape 10"/>
                        <wps:cNvSpPr/>
                        <wps:spPr>
                          <a:xfrm>
                            <a:off x="3096000" y="72000"/>
                            <a:ext cx="1260000" cy="468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II</w:t>
                              </w:r>
                            </w:p>
                            <w:p>
                              <w:pPr>
                                <w:spacing w:before="0" w:after="0" w:line="228" w:lineRule="auto"/>
                                <w:jc w:val="center"/>
                                <w:ind w:firstLine="0"/>
                              </w:pPr>
                              <w:r>
                                <w:rPr>
                                  <w:rFonts w:ascii="Times New Roman" w:hAnsi="Times New Roman" w:cs="Times New Roman"/>
                                  <w:b/>
                                  <w:color w:val="FFFFFF"/>
                                  <w:sz w:val="22"/>
                                  <w:szCs w:val="22"/>
                                </w:rPr>
                                <w:t xml:space="preserve">(2004)</w:t>
                              </w:r>
                            </w:p>
                          </w:txbxContent>
                        </wps:txbx>
                        <wps:bodyPr rot="0" vert="horz" wrap="square" lIns="36000" tIns="18000" rIns="36000" bIns="18000" anchor="ctr" anchorCtr="0">
                          <a:noAutofit/>
                        </wps:bodyPr>
                      </wps:wsp>
                      <wps:wsp>
                        <wps:cNvPr id="11" name="Connector 11"/>
                        <wps:cNvCnPr/>
                        <wps:spPr>
                          <a:xfrm>
                            <a:off x="3726000" y="540000"/>
                            <a:ext cx="0" cy="180000"/>
                          </a:xfrm>
                          <a:prstGeom prst="straightConnector1">
                            <a:avLst/>
                          </a:prstGeom>
                          <a:ln w="15875">
                            <a:solidFill>
                              <a:srgbClr val="7F7F7F"/>
                            </a:solidFill>
                          </a:ln>
                        </wps:spPr>
                        <wps:bodyPr/>
                      </wps:wsp>
                      <wps:wsp>
                        <wps:cNvPr id="12" name="Shape 12"/>
                        <wps:cNvSpPr/>
                        <wps:spPr>
                          <a:xfrm>
                            <a:off x="309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Uch ustun;</w:t>
                              </w:r>
                            </w:p>
                            <w:p>
                              <w:pPr>
                                <w:spacing w:before="0" w:after="0" w:line="228" w:lineRule="auto"/>
                                <w:jc w:val="center"/>
                                <w:ind w:firstLine="0"/>
                              </w:pPr>
                              <w:r>
                                <w:rPr>
                                  <w:rFonts w:ascii="Times New Roman" w:hAnsi="Times New Roman" w:cs="Times New Roman"/>
                                  <w:color w:val="000000"/>
                                  <w:sz w:val="22"/>
                                  <w:szCs w:val="22"/>
                                </w:rPr>
                                <w:t xml:space="preserve">kredit, bozor va</w:t>
                              </w:r>
                            </w:p>
                            <w:p>
                              <w:pPr>
                                <w:spacing w:before="0" w:after="0" w:line="228" w:lineRule="auto"/>
                                <w:jc w:val="center"/>
                                <w:ind w:firstLine="0"/>
                              </w:pPr>
                              <w:r>
                                <w:rPr>
                                  <w:rFonts w:ascii="Times New Roman" w:hAnsi="Times New Roman" w:cs="Times New Roman"/>
                                  <w:color w:val="000000"/>
                                  <w:sz w:val="22"/>
                                  <w:szCs w:val="22"/>
                                </w:rPr>
                                <w:t xml:space="preserve">operatsion risklar;</w:t>
                              </w:r>
                            </w:p>
                            <w:p>
                              <w:pPr>
                                <w:spacing w:before="0" w:after="0" w:line="228" w:lineRule="auto"/>
                                <w:jc w:val="center"/>
                                <w:ind w:firstLine="0"/>
                              </w:pPr>
                              <w:r>
                                <w:rPr>
                                  <w:rFonts w:ascii="Times New Roman" w:hAnsi="Times New Roman" w:cs="Times New Roman"/>
                                  <w:color w:val="000000"/>
                                  <w:sz w:val="22"/>
                                  <w:szCs w:val="22"/>
                                </w:rPr>
                                <w:t xml:space="preserve">IRB yondashuvi</w:t>
                              </w:r>
                            </w:p>
                            <w:p>
                              <w:pPr>
                                <w:spacing w:before="0" w:after="0" w:line="228" w:lineRule="auto"/>
                                <w:jc w:val="center"/>
                                <w:ind w:firstLine="0"/>
                              </w:pPr>
                              <w:r>
                                <w:rPr>
                                  <w:rFonts w:ascii="Times New Roman" w:hAnsi="Times New Roman" w:cs="Times New Roman"/>
                                  <w:color w:val="000000"/>
                                  <w:sz w:val="22"/>
                                  <w:szCs w:val="22"/>
                                </w:rPr>
                                <w:t xml:space="preserve">(PD, LGD, EAD, M)</w:t>
                              </w:r>
                            </w:p>
                          </w:txbxContent>
                        </wps:txbx>
                        <wps:bodyPr rot="0" vert="horz" wrap="square" lIns="36000" tIns="18000" rIns="36000" bIns="18000" anchor="ctr" anchorCtr="0">
                          <a:noAutofit/>
                        </wps:bodyPr>
                      </wps:wsp>
                      <wps:wsp>
                        <wps:cNvPr id="13" name="Connector 13"/>
                        <wps:cNvCnPr/>
                        <wps:spPr>
                          <a:xfrm>
                            <a:off x="4363200" y="306000"/>
                            <a:ext cx="255600" cy="0"/>
                          </a:xfrm>
                          <a:prstGeom prst="straightConnector1">
                            <a:avLst/>
                          </a:prstGeom>
                          <a:ln w="19050">
                            <a:solidFill>
                              <a:srgbClr val="404040"/>
                            </a:solidFill>
                            <a:tailEnd type="triangle" w="med" len="med"/>
                          </a:ln>
                        </wps:spPr>
                        <wps:bodyPr/>
                      </wps:wsp>
                      <wps:wsp>
                        <wps:cNvPr id="14" name="Shape 14"/>
                        <wps:cNvSpPr/>
                        <wps:spPr>
                          <a:xfrm>
                            <a:off x="4626000" y="72000"/>
                            <a:ext cx="1260000" cy="468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III</w:t>
                              </w:r>
                            </w:p>
                            <w:p>
                              <w:pPr>
                                <w:spacing w:before="0" w:after="0" w:line="228" w:lineRule="auto"/>
                                <w:jc w:val="center"/>
                                <w:ind w:firstLine="0"/>
                              </w:pPr>
                              <w:r>
                                <w:rPr>
                                  <w:rFonts w:ascii="Times New Roman" w:hAnsi="Times New Roman" w:cs="Times New Roman"/>
                                  <w:b/>
                                  <w:color w:val="FFFFFF"/>
                                  <w:sz w:val="22"/>
                                  <w:szCs w:val="22"/>
                                </w:rPr>
                                <w:t xml:space="preserve">(2010)</w:t>
                              </w:r>
                            </w:p>
                          </w:txbxContent>
                        </wps:txbx>
                        <wps:bodyPr rot="0" vert="horz" wrap="square" lIns="36000" tIns="18000" rIns="36000" bIns="18000" anchor="ctr" anchorCtr="0">
                          <a:noAutofit/>
                        </wps:bodyPr>
                      </wps:wsp>
                      <wps:wsp>
                        <wps:cNvPr id="15" name="Connector 15"/>
                        <wps:cNvCnPr/>
                        <wps:spPr>
                          <a:xfrm>
                            <a:off x="5256000" y="540000"/>
                            <a:ext cx="0" cy="180000"/>
                          </a:xfrm>
                          <a:prstGeom prst="straightConnector1">
                            <a:avLst/>
                          </a:prstGeom>
                          <a:ln w="15875">
                            <a:solidFill>
                              <a:srgbClr val="7F7F7F"/>
                            </a:solidFill>
                          </a:ln>
                        </wps:spPr>
                        <wps:bodyPr/>
                      </wps:wsp>
                      <wps:wsp>
                        <wps:cNvPr id="16" name="Shape 16"/>
                        <wps:cNvSpPr/>
                        <wps:spPr>
                          <a:xfrm>
                            <a:off x="462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CET1 ≥ 4,5%;</w:t>
                              </w:r>
                            </w:p>
                            <w:p>
                              <w:pPr>
                                <w:spacing w:before="0" w:after="0" w:line="228" w:lineRule="auto"/>
                                <w:jc w:val="center"/>
                                <w:ind w:firstLine="0"/>
                              </w:pPr>
                              <w:r>
                                <w:rPr>
                                  <w:rFonts w:ascii="Times New Roman" w:hAnsi="Times New Roman" w:cs="Times New Roman"/>
                                  <w:color w:val="000000"/>
                                  <w:sz w:val="22"/>
                                  <w:szCs w:val="22"/>
                                </w:rPr>
                                <w:t xml:space="preserve">konservatsiya va</w:t>
                              </w:r>
                            </w:p>
                            <w:p>
                              <w:pPr>
                                <w:spacing w:before="0" w:after="0" w:line="228" w:lineRule="auto"/>
                                <w:jc w:val="center"/>
                                <w:ind w:firstLine="0"/>
                              </w:pPr>
                              <w:r>
                                <w:rPr>
                                  <w:rFonts w:ascii="Times New Roman" w:hAnsi="Times New Roman" w:cs="Times New Roman"/>
                                  <w:color w:val="000000"/>
                                  <w:sz w:val="22"/>
                                  <w:szCs w:val="22"/>
                                </w:rPr>
                                <w:t xml:space="preserve">kontrsiklik buferlar;</w:t>
                              </w:r>
                            </w:p>
                            <w:p>
                              <w:pPr>
                                <w:spacing w:before="0" w:after="0" w:line="228" w:lineRule="auto"/>
                                <w:jc w:val="center"/>
                                <w:ind w:firstLine="0"/>
                              </w:pPr>
                              <w:r>
                                <w:rPr>
                                  <w:rFonts w:ascii="Times New Roman" w:hAnsi="Times New Roman" w:cs="Times New Roman"/>
                                  <w:color w:val="000000"/>
                                  <w:sz w:val="22"/>
                                  <w:szCs w:val="22"/>
                                </w:rPr>
                                <w:t xml:space="preserve">leverej ≥ 3%;</w:t>
                              </w:r>
                            </w:p>
                            <w:p>
                              <w:pPr>
                                <w:spacing w:before="0" w:after="0" w:line="228" w:lineRule="auto"/>
                                <w:jc w:val="center"/>
                                <w:ind w:firstLine="0"/>
                              </w:pPr>
                              <w:r>
                                <w:rPr>
                                  <w:rFonts w:ascii="Times New Roman" w:hAnsi="Times New Roman" w:cs="Times New Roman"/>
                                  <w:color w:val="000000"/>
                                  <w:sz w:val="22"/>
                                  <w:szCs w:val="22"/>
                                </w:rPr>
                                <w:t xml:space="preserve">LCR, NSFR ≥ 100%</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1.2.1-rasm. Bazel kelishuvlarining rivojlanish bosqichlari</w:t>
      </w:r>
      <w:r>
        <w:rPr>
          <w:rStyle w:val="FootnoteReference"/>
        </w:rPr>
        <w:footnoteReference w:id="49"/>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har bir keyingi bosqich oldingisining kamchiliklariga javob sifatida shakllangan. 1988-yildagi birinchi kelishuv kredit riskini qoplash uchun birinchi darajali kapitalning kamida 4 foizini, jami kapitalning esa kamida 8 foizini talab qilgan va aktivlarga 0, 20, 50 va 100 foizlik risk vaznlarini bergan</w:t>
      </w:r>
      <w:r>
        <w:rPr>
          <w:rStyle w:val="FootnoteReference"/>
        </w:rPr>
        <w:footnoteReference w:id="50"/>
      </w:r>
      <w:r>
        <w:rPr>
          <w:rFonts w:ascii="Times New Roman" w:hAnsi="Times New Roman" w:cs="Times New Roman" w:eastAsia="Times New Roman"/>
          <w:sz w:val="28"/>
        </w:rPr>
        <w:t xml:space="preserve">. Tarullo ma’lumotiga ko‘ra, bu kelishuv 100 dan ortiq mamlakatda qabul qilingan, biroq protsiklik xususiyati, regulyativ arbitraj va kapital talabi bilan real risk o‘rtasidagi uzilish uning jiddiy kamchiliklari bo‘lgan</w:t>
      </w:r>
      <w:r>
        <w:rPr>
          <w:rStyle w:val="FootnoteReference"/>
        </w:rPr>
        <w:footnoteReference w:id="51"/>
      </w:r>
      <w:r>
        <w:rPr>
          <w:rFonts w:ascii="Times New Roman" w:hAnsi="Times New Roman" w:cs="Times New Roman" w:eastAsia="Times New Roman"/>
          <w:sz w:val="28"/>
        </w:rPr>
        <w:t xml:space="preserve">. Xususan, Yaponiya banklarida kechiktirilgan soliq aktivlari kapitalning 15–40 foizini tashkil etgan va ular chiqarib tashlansa, tuzatilgan birinchi darajali kapital taxminan 2 foizgacha tushgan</w:t>
      </w:r>
      <w:r>
        <w:rPr>
          <w:rStyle w:val="FootnoteReference"/>
        </w:rPr>
        <w:footnoteReference w:id="52"/>
      </w:r>
      <w:r>
        <w:rPr>
          <w:rFonts w:ascii="Times New Roman" w:hAnsi="Times New Roman" w:cs="Times New Roman" w:eastAsia="Times New Roman"/>
          <w:sz w:val="28"/>
        </w:rPr>
        <w:t xml:space="preserve">. Bu holat milliy hisob qoidalari kapitalni sun’iy ravishda bo‘rttirishi mumkinligini ko‘rsatadi va xalqaro hisobot standartlari asosida baholashning ahamiyatini asoslaydi. 2004-yildagi Bazel II uch ustunga – minimal kapital talablari, nazorat jarayoni va bozor intizomiga asoslanib, ichki reytinglarga asoslangan yondashuvni joriy etdi, biroq Tarullo keltirgan tadqiqotlarga ko‘ra, turli banklarning ichki modellari bir xil kreditlar uchun minus 30 foizdan plyus 190 foizgacha farq qiladigan kapital talabini bergan</w:t>
      </w:r>
      <w:r>
        <w:rPr>
          <w:rStyle w:val="FootnoteReference"/>
        </w:rPr>
        <w:footnoteReference w:id="53"/>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2007–2009-yillardagi global moliyaviy inqiroz Bazel III ning qabul qilinishiga olib keldi. W. Tian uning mohiyatini «riskka sezgirlikdan kapital sig‘imkorlikka» siljish deb tavsiflaydi</w:t>
      </w:r>
      <w:r>
        <w:rPr>
          <w:rStyle w:val="FootnoteReference"/>
        </w:rPr>
        <w:footnoteReference w:id="54"/>
      </w:r>
      <w:r>
        <w:rPr>
          <w:rFonts w:ascii="Times New Roman" w:hAnsi="Times New Roman" w:cs="Times New Roman" w:eastAsia="Times New Roman"/>
          <w:sz w:val="28"/>
        </w:rPr>
        <w:t xml:space="preserve">, Modina esa yangi kelishuvning ikki maqsadini – alohida banklarning stressga chidamliligini oshirish va protsiklikni cheklashni ajratadi</w:t>
      </w:r>
      <w:r>
        <w:rPr>
          <w:rStyle w:val="FootnoteReference"/>
        </w:rPr>
        <w:footnoteReference w:id="55"/>
      </w:r>
      <w:r>
        <w:rPr>
          <w:rFonts w:ascii="Times New Roman" w:hAnsi="Times New Roman" w:cs="Times New Roman" w:eastAsia="Times New Roman"/>
          <w:sz w:val="28"/>
        </w:rPr>
        <w:t xml:space="preserve">. Bazel III kapital talablarini ham miqdor, ham sifat jihatidan kuchaytirdi: asosiy kapital talabi 2 foizdan 4,5 foizga, birinchi darajali kapital talabi 4 foizdan 6 foizga oshirildi, bunga qo‘shimcha ravishda 2,5 foizlik kapitalni saqlash buferi va 0–2,5 foizlik kontrsiklik bufer joriy etildi</w:t>
      </w:r>
      <w:r>
        <w:rPr>
          <w:rStyle w:val="FootnoteReference"/>
        </w:rPr>
        <w:footnoteReference w:id="56"/>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(1.2.2-rasm).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2" name="1.2.2-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1.2.2-rasm. Bazel II va Bazel III bo‘yicha kapital talablarining tuzilmasi</w:t>
      </w:r>
      <w:r>
        <w:rPr>
          <w:rStyle w:val="FootnoteReference"/>
        </w:rPr>
        <w:footnoteReference w:id="57"/>
      </w:r>
    </w:p>
    <w:p>
      <w:pPr>
        <w:pStyle w:val="BodyText"/>
        <w:spacing w:line="360" w:lineRule="auto" w:before="0" w:after="0"/>
        <w:ind w:firstLine="709"/>
        <w:jc w:val="both"/>
      </w:pPr>
      <w:r>
        <w:rPr>
          <w:rFonts w:ascii="Times New Roman" w:hAnsi="Times New Roman" w:cs="Times New Roman" w:eastAsia="Times New Roman"/>
          <w:sz w:val="28"/>
        </w:rPr>
        <w:t xml:space="preserve">Rasm ma’lumotlari shuni ko‘rsatadiki, Bazel III da talablarning umumiy darajasi konservatsiya buferi bilan 10,5 foizga, kontrsiklik bufer to‘liq qo‘llanganda esa 13 foizga yetadi, eng muhimi, ularning asosiy qismi eng sifatli kapital – asosiy kapital hisobidan qoplanishi kerak. Asosiy kapitalga kiritiladigan instrumentlar uchun 14 ta mezon belgilanib, gudvil va kelajakdagi foydaga bog‘liq kechiktirilgan soliq aktivlari undan chegirib tashlanadigan bo‘ldi</w:t>
      </w:r>
      <w:r>
        <w:rPr>
          <w:rStyle w:val="FootnoteReference"/>
        </w:rPr>
        <w:footnoteReference w:id="58"/>
      </w:r>
      <w:r>
        <w:rPr>
          <w:rFonts w:ascii="Times New Roman" w:hAnsi="Times New Roman" w:cs="Times New Roman" w:eastAsia="Times New Roman"/>
          <w:sz w:val="28"/>
        </w:rPr>
        <w:t xml:space="preserve">. Konservatsiya buferining o‘ziga xos jihati shundaki, u to‘g‘ridan-to‘g‘ri majburiy minimum emas, balki bank xatti-harakatini cheklovchi mexanizm hisoblanadi: asosiy kapital buferni hisobga olgan holda 7 foizdan past bo‘lsa, bank foydaning bir qismini dividend sifatida taqsimlay olmaydi</w:t>
      </w:r>
      <w:r>
        <w:rPr>
          <w:rStyle w:val="FootnoteReference"/>
        </w:rPr>
        <w:footnoteReference w:id="59"/>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(1.2.3-rasm).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3" name="1.2.3-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1.2.3-rasm. Konservatsiya buferi bo‘yicha foydani taqsimlash cheklovlari shkalasi</w:t>
      </w:r>
      <w:r>
        <w:rPr>
          <w:rStyle w:val="FootnoteReference"/>
        </w:rPr>
        <w:footnoteReference w:id="60"/>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asosiy kapital 4,5–5,125 foiz oralig‘ida bo‘lsa foydaning 100 foizi, 5,125–5,75 foiz oralig‘ida 80 foizi, 5,75–6,375 foiz oralig‘ida 60 foizi, 6,375–7 foiz oralig‘ida esa 40 foizi bankda qoldirilishi kerak. Bu shkala moliyaviy barqarorlikni baholash metodikasi uchun muhim metodologik namuna bo‘lib, kapital ko‘rsatkichini «bajarilgan – bajarilmagan» ikkilik mezoni bilan emas, balki minimumdan qanchalik yuqori ekaniga qarab bir necha pog‘onada baholash mumkinligini ko‘rsatadi. Kontrsiklik bufer esa makroprudensial vosita sifatida kredit/YaIM nisbatining uzoq muddatli trenddan og‘ishiga bog‘lanadi: og‘ish 2 foiz punktdan past bo‘lsa bufer nolga teng, 10 foiz punktdan yuqori bo‘lsa 2,5 foizga teng bo‘ladi, Afanasyeva va Dubova esa kredit/YaIM nisbatining yiliga 2–3 foizga oshishi ortiqcha kreditlash xavfidan dalolat berishini ta’kidlaydi</w:t>
      </w:r>
      <w:r>
        <w:rPr>
          <w:rStyle w:val="FootnoteReference"/>
        </w:rPr>
        <w:footnoteReference w:id="61"/>
      </w:r>
      <w:r>
        <w:rPr>
          <w:rFonts w:ascii="Times New Roman" w:hAnsi="Times New Roman" w:cs="Times New Roman" w:eastAsia="Times New Roman"/>
          <w:sz w:val="28"/>
        </w:rPr>
        <w:t xml:space="preserve">. Bunga qo‘shimcha ravishda Bazel III risk vaznlariga bog‘liq bo‘lmagan, kamida 3 foiz bo‘lishi lozim bo‘lgan leverej koeffitsiyentini joriy etdi, Tian uni ichki modellar xatosidan himoya qiluvchi oddiy zaxira chorasi deb ataydi</w:t>
      </w:r>
      <w:r>
        <w:rPr>
          <w:rStyle w:val="FootnoteReference"/>
        </w:rPr>
        <w:footnoteReference w:id="62"/>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Bazel III ning eng muhim yangiliklaridan biri likvidlik bo‘yicha birinchi marta miqdoriy talablarning joriy etilishi bo‘ldi. Likvidlikni qoplash me’yori yuqori sifatli likvid aktivlarning stress sharoitidagi keyingi 30 kunlik sof pul chiqimiga nisbati sifatida hisoblanadi va kamida 100 foiz bo‘lishi kerak</w:t>
      </w:r>
      <w:r>
        <w:rPr>
          <w:rStyle w:val="FootnoteReference"/>
        </w:rPr>
        <w:footnoteReference w:id="63"/>
      </w:r>
      <w:r>
        <w:rPr>
          <w:rFonts w:ascii="Times New Roman" w:hAnsi="Times New Roman" w:cs="Times New Roman" w:eastAsia="Times New Roman"/>
          <w:sz w:val="28"/>
        </w:rPr>
        <w:t xml:space="preserve">. Sof barqaror moliyalashtirish me’yori esa mavjud barqaror moliyalashtirishning talab qilinadigan barqaror moliyalashtirishga nisbati bo‘lib, bir yillik gorizontda aktivlar va passivlar muddatlari nomutanosibligini cheklaydi</w:t>
      </w:r>
      <w:r>
        <w:rPr>
          <w:rStyle w:val="FootnoteReference"/>
        </w:rPr>
        <w:footnoteReference w:id="64"/>
      </w:r>
      <w:r>
        <w:rPr>
          <w:rFonts w:ascii="Times New Roman" w:hAnsi="Times New Roman" w:cs="Times New Roman" w:eastAsia="Times New Roman"/>
          <w:sz w:val="28"/>
        </w:rPr>
        <w:t xml:space="preserve">. Har ikki me’yorning natijasi asosan koeffitsiyentlarga bog‘liq bo‘lib, ularning asosiy qiymatlari 1.2.3-jadvalda keltirilgan.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1.2.3-jadval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Bazel III likvidlik me’yorlarida qo‘llanadigan asosiy koeffitsiyentlar</w:t>
      </w:r>
      <w:r>
        <w:rPr>
          <w:rStyle w:val="FootnoteReference"/>
        </w:rPr>
        <w:footnoteReference w:id="65"/>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1474"/>
        <w:gridCol w:w="3345"/>
      </w:tblGrid>
      <w:tr>
        <w:trPr>
          <w:tblHeader w:val="true"/>
          <w:cantSplit/>
          <w:tblHeader/>
        </w:trPr>
        <w:tc>
          <w:tcPr>
            <w:tcW w:type="dxa" w:w="453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Moddalar</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Koeffitsiyent, %</w:t>
            </w:r>
          </w:p>
        </w:tc>
        <w:tc>
          <w:tcPr>
            <w:tcW w:type="dxa" w:w="334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Mazmuni</w:t>
            </w:r>
          </w:p>
        </w:tc>
      </w:tr>
      <w:tr>
        <w:trPr>
          <w:cantSplit/>
        </w:trPr>
        <w:tc>
          <w:tcPr>
            <w:tcW w:type="dxa" w:w="4535"/>
            <w:shd w:val="clear" w:color="auto" w:fill="F2F2F2"/>
          </w:tcPr>
          <w:p>
            <w:pPr>
              <w:pStyle w:val="Compact"/>
              <w:spacing w:line="240" w:lineRule="auto"/>
              <w:ind w:firstLine="0"/>
              <w:jc w:val="left"/>
            </w:pPr>
            <w:r>
              <w:rPr>
                <w:bCs/>
                <w:rFonts w:ascii="Times New Roman" w:hAnsi="Times New Roman" w:cs="Times New Roman" w:eastAsia="Times New Roman"/>
                <w:b/>
                <w:sz w:val="22"/>
              </w:rPr>
              <w:t xml:space="preserve">Likvidlikni qoplash me’yori: yuqori sifatli likvid aktivlar</w:t>
            </w:r>
          </w:p>
        </w:tc>
        <w:tc>
          <w:tcPr>
            <w:tcW w:type="dxa" w:w="1474"/>
            <w:shd w:val="clear" w:color="auto" w:fill="F2F2F2"/>
          </w:tcPr>
          <w:p>
            <w:pPr>
              <w:pStyle w:val="Compact"/>
              <w:spacing w:line="240" w:lineRule="auto"/>
              <w:ind w:firstLine="0"/>
              <w:jc w:val="left"/>
            </w:pPr>
          </w:p>
        </w:tc>
        <w:tc>
          <w:tcPr>
            <w:tcW w:type="dxa" w:w="3345"/>
            <w:shd w:val="clear" w:color="auto" w:fill="F2F2F2"/>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1-daraja: naqd pul, markaziy bankdagi zaxiralar, nol risk vaznli davlat qimmatli qog‘ozlari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100</w:t>
            </w:r>
          </w:p>
        </w:tc>
        <w:tc>
          <w:tcPr>
            <w:tcW w:type="dxa" w:w="3345"/>
          </w:tcPr>
          <w:p>
            <w:pPr>
              <w:pStyle w:val="Compact"/>
              <w:spacing w:line="240" w:lineRule="auto"/>
              <w:ind w:firstLine="0"/>
              <w:jc w:val="left"/>
            </w:pPr>
            <w:r>
              <w:rPr>
                <w:rFonts w:ascii="Times New Roman" w:hAnsi="Times New Roman" w:cs="Times New Roman" w:eastAsia="Times New Roman"/>
                <w:sz w:val="22"/>
              </w:rPr>
              <w:t xml:space="preserve">Cheklovsiz, diskontsiz</w:t>
            </w: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2A-daraja: 20 foiz risk vaznli qimmatli qog‘ozlar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85</w:t>
            </w:r>
          </w:p>
        </w:tc>
        <w:tc>
          <w:tcPr>
            <w:tcW w:type="dxa" w:w="3345"/>
          </w:tcPr>
          <w:p>
            <w:pPr>
              <w:pStyle w:val="Compact"/>
              <w:spacing w:line="240" w:lineRule="auto"/>
              <w:ind w:firstLine="0"/>
              <w:jc w:val="left"/>
            </w:pPr>
            <w:r>
              <w:rPr>
                <w:rFonts w:ascii="Times New Roman" w:hAnsi="Times New Roman" w:cs="Times New Roman" w:eastAsia="Times New Roman"/>
                <w:sz w:val="22"/>
              </w:rPr>
              <w:t xml:space="preserve">Jami likvid aktivlarning 40 foizidan oshmaydi</w:t>
            </w: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2B-daraja: korporativ obligatsiyalar, aksiyalar va boshqalar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50–75</w:t>
            </w:r>
          </w:p>
        </w:tc>
        <w:tc>
          <w:tcPr>
            <w:tcW w:type="dxa" w:w="3345"/>
          </w:tcPr>
          <w:p>
            <w:pPr>
              <w:pStyle w:val="Compact"/>
              <w:spacing w:line="240" w:lineRule="auto"/>
              <w:ind w:firstLine="0"/>
              <w:jc w:val="left"/>
            </w:pPr>
            <w:r>
              <w:rPr>
                <w:rFonts w:ascii="Times New Roman" w:hAnsi="Times New Roman" w:cs="Times New Roman" w:eastAsia="Times New Roman"/>
                <w:sz w:val="22"/>
              </w:rPr>
              <w:t xml:space="preserve">Jami likvid aktivlarning 15 foizidan oshmaydi</w:t>
            </w:r>
          </w:p>
        </w:tc>
      </w:tr>
      <w:tr>
        <w:trPr>
          <w:cantSplit/>
        </w:trPr>
        <w:tc>
          <w:tcPr>
            <w:tcW w:type="dxa" w:w="4535"/>
            <w:shd w:val="clear" w:color="auto" w:fill="F2F2F2"/>
          </w:tcPr>
          <w:p>
            <w:pPr>
              <w:pStyle w:val="Compact"/>
              <w:spacing w:line="240" w:lineRule="auto"/>
              <w:ind w:firstLine="0"/>
              <w:jc w:val="left"/>
            </w:pPr>
            <w:r>
              <w:rPr>
                <w:bCs/>
                <w:rFonts w:ascii="Times New Roman" w:hAnsi="Times New Roman" w:cs="Times New Roman" w:eastAsia="Times New Roman"/>
                <w:b/>
                <w:sz w:val="22"/>
              </w:rPr>
              <w:t xml:space="preserve">Likvidlikni qoplash me’yori: pul chiqimi koeffitsiyentlari</w:t>
            </w:r>
          </w:p>
        </w:tc>
        <w:tc>
          <w:tcPr>
            <w:tcW w:type="dxa" w:w="1474"/>
            <w:shd w:val="clear" w:color="auto" w:fill="F2F2F2"/>
          </w:tcPr>
          <w:p>
            <w:pPr>
              <w:pStyle w:val="Compact"/>
              <w:spacing w:line="240" w:lineRule="auto"/>
              <w:ind w:firstLine="0"/>
              <w:jc w:val="left"/>
            </w:pPr>
          </w:p>
        </w:tc>
        <w:tc>
          <w:tcPr>
            <w:tcW w:type="dxa" w:w="3345"/>
            <w:shd w:val="clear" w:color="auto" w:fill="F2F2F2"/>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Barqaror chakana depozitlar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3–5</w:t>
            </w:r>
          </w:p>
        </w:tc>
        <w:tc>
          <w:tcPr>
            <w:tcW w:type="dxa" w:w="3345"/>
          </w:tcPr>
          <w:p>
            <w:pPr>
              <w:pStyle w:val="Compact"/>
              <w:spacing w:line="240" w:lineRule="auto"/>
              <w:ind w:firstLine="0"/>
              <w:jc w:val="left"/>
            </w:pPr>
            <w:r>
              <w:rPr>
                <w:rFonts w:ascii="Times New Roman" w:hAnsi="Times New Roman" w:cs="Times New Roman" w:eastAsia="Times New Roman"/>
                <w:sz w:val="22"/>
              </w:rPr>
              <w:t xml:space="preserve">Sug‘urtalangan, operatsion bog‘liq</w:t>
            </w: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Kamroq barqaror chakana depozitlar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10 va undan yuqori</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Nomoliyaviy korporatsiyalarning operatsion bo‘lmagan mablag‘lari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40</w:t>
            </w:r>
          </w:p>
        </w:tc>
        <w:tc>
          <w:tcPr>
            <w:tcW w:type="dxa" w:w="3345"/>
          </w:tcPr>
          <w:p>
            <w:pPr>
              <w:pStyle w:val="Compact"/>
              <w:spacing w:line="240" w:lineRule="auto"/>
              <w:ind w:firstLine="0"/>
              <w:jc w:val="left"/>
            </w:pPr>
            <w:r>
              <w:rPr>
                <w:rFonts w:ascii="Times New Roman" w:hAnsi="Times New Roman" w:cs="Times New Roman" w:eastAsia="Times New Roman"/>
                <w:sz w:val="22"/>
              </w:rPr>
              <w:t xml:space="preserve">Sug‘urtalanmagan qismi</w:t>
            </w: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Moliya institutlarining operatsion bo‘lmagan mablag‘lari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100</w:t>
            </w:r>
          </w:p>
        </w:tc>
        <w:tc>
          <w:tcPr>
            <w:tcW w:type="dxa" w:w="3345"/>
          </w:tcPr>
          <w:p>
            <w:pPr>
              <w:pStyle w:val="Compact"/>
              <w:spacing w:line="240" w:lineRule="auto"/>
              <w:ind w:firstLine="0"/>
              <w:jc w:val="left"/>
            </w:pPr>
          </w:p>
        </w:tc>
      </w:tr>
      <w:tr>
        <w:trPr>
          <w:cantSplit/>
        </w:trPr>
        <w:tc>
          <w:tcPr>
            <w:tcW w:type="dxa" w:w="4535"/>
            <w:shd w:val="clear" w:color="auto" w:fill="F2F2F2"/>
          </w:tcPr>
          <w:p>
            <w:pPr>
              <w:pStyle w:val="Compact"/>
              <w:spacing w:line="240" w:lineRule="auto"/>
              <w:ind w:firstLine="0"/>
              <w:jc w:val="left"/>
            </w:pPr>
            <w:r>
              <w:rPr>
                <w:bCs/>
                <w:rFonts w:ascii="Times New Roman" w:hAnsi="Times New Roman" w:cs="Times New Roman" w:eastAsia="Times New Roman"/>
                <w:b/>
                <w:sz w:val="22"/>
              </w:rPr>
              <w:t xml:space="preserve">Sof barqaror moliyalashtirish me’yori: mavjud barqaror moliyalashtirish</w:t>
            </w:r>
          </w:p>
        </w:tc>
        <w:tc>
          <w:tcPr>
            <w:tcW w:type="dxa" w:w="1474"/>
            <w:shd w:val="clear" w:color="auto" w:fill="F2F2F2"/>
          </w:tcPr>
          <w:p>
            <w:pPr>
              <w:pStyle w:val="Compact"/>
              <w:spacing w:line="240" w:lineRule="auto"/>
              <w:ind w:firstLine="0"/>
              <w:jc w:val="left"/>
            </w:pPr>
          </w:p>
        </w:tc>
        <w:tc>
          <w:tcPr>
            <w:tcW w:type="dxa" w:w="3345"/>
            <w:shd w:val="clear" w:color="auto" w:fill="F2F2F2"/>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Kapital va muddati bir yildan ortiq majburiyatlar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100</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Barqaror chakana depozitlar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95</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Kamroq barqaror chakana depozitlar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90</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Nomoliyaviy korporatsiyalarning bir yilgacha mablag‘lari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50</w:t>
            </w:r>
          </w:p>
        </w:tc>
        <w:tc>
          <w:tcPr>
            <w:tcW w:type="dxa" w:w="3345"/>
          </w:tcPr>
          <w:p>
            <w:pPr>
              <w:pStyle w:val="Compact"/>
              <w:spacing w:line="240" w:lineRule="auto"/>
              <w:ind w:firstLine="0"/>
              <w:jc w:val="left"/>
            </w:pPr>
          </w:p>
        </w:tc>
      </w:tr>
      <w:tr>
        <w:trPr>
          <w:cantSplit/>
        </w:trPr>
        <w:tc>
          <w:tcPr>
            <w:tcW w:type="dxa" w:w="4535"/>
            <w:shd w:val="clear" w:color="auto" w:fill="F2F2F2"/>
          </w:tcPr>
          <w:p>
            <w:pPr>
              <w:pStyle w:val="Compact"/>
              <w:spacing w:line="240" w:lineRule="auto"/>
              <w:ind w:firstLine="0"/>
              <w:jc w:val="left"/>
            </w:pPr>
            <w:r>
              <w:rPr>
                <w:bCs/>
                <w:rFonts w:ascii="Times New Roman" w:hAnsi="Times New Roman" w:cs="Times New Roman" w:eastAsia="Times New Roman"/>
                <w:b/>
                <w:sz w:val="22"/>
              </w:rPr>
              <w:t xml:space="preserve">Sof barqaror moliyalashtirish me’yori: talab qilinadigan barqaror moliyalashtirish</w:t>
            </w:r>
          </w:p>
        </w:tc>
        <w:tc>
          <w:tcPr>
            <w:tcW w:type="dxa" w:w="1474"/>
            <w:shd w:val="clear" w:color="auto" w:fill="F2F2F2"/>
          </w:tcPr>
          <w:p>
            <w:pPr>
              <w:pStyle w:val="Compact"/>
              <w:spacing w:line="240" w:lineRule="auto"/>
              <w:ind w:firstLine="0"/>
              <w:jc w:val="left"/>
            </w:pPr>
          </w:p>
        </w:tc>
        <w:tc>
          <w:tcPr>
            <w:tcW w:type="dxa" w:w="3345"/>
            <w:shd w:val="clear" w:color="auto" w:fill="F2F2F2"/>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1-daraja likvid aktivlar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0</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Bir yilgacha muddatli chakana va kichik biznes kreditlari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50</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Risk vazni 35 foizgacha bo‘lgan ipoteka kreditlari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65</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Boshqa ishlaydigan kreditlar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85</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Muammoli kreditlar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100</w:t>
            </w:r>
          </w:p>
        </w:tc>
        <w:tc>
          <w:tcPr>
            <w:tcW w:type="dxa" w:w="3345"/>
          </w:tcPr>
          <w:p>
            <w:pPr>
              <w:pStyle w:val="Compact"/>
              <w:spacing w:line="240" w:lineRule="auto"/>
              <w:ind w:firstLine="0"/>
              <w:jc w:val="left"/>
            </w:pP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Bazel III likvidlik me’yorlari majburiyatlar va aktivlarni barqarorlik darajasiga qarab keng tabaqalashtiradi: ayniqsa, moliya institutlarining mablag‘lariga 100 foizlik chiqim koeffitsiyenti berilishi va boshqa banklardagi muddatli depozitlarning yuqori sifatli likvid aktivlar tarkibiga kiritilmasligi banklararo zararlanish xavfini hisobga oladi. Aynan shu tabaqalashtirish darajasi milliy me’yorlar Bazel III dan qanchalik farq qilishini baholashning asosiy mezoni bo‘ladi va O‘zbekiston amaliyoti bo‘yicha bu masala 2.1-paragrafda tahlil qilinadi. Bazel qo‘mitasi 2017-yilda yakuniy islohotlar to‘plamini qabul qilib, standartlashtirilgan yondashuvlarni qayta ko‘rib chiqdi va ichki modellar asosida hisoblangan riskka tortilgan aktivlarning standartlashtirilgan yondashuv bo‘yicha qiymatining kamida 72,5 foizini tashkil etishini talab qiluvchi quyi chegara joriy etdi</w:t>
      </w:r>
      <w:r>
        <w:rPr>
          <w:rStyle w:val="FootnoteReference"/>
        </w:rPr>
        <w:footnoteReference w:id="66"/>
      </w:r>
      <w:r>
        <w:rPr>
          <w:rFonts w:ascii="Times New Roman" w:hAnsi="Times New Roman" w:cs="Times New Roman" w:eastAsia="Times New Roman"/>
          <w:sz w:val="28"/>
        </w:rPr>
        <w:t xml:space="preserve">. O‘zbekistonda esa Bazel III talablarini bosqichma-bosqich joriy etish 2015-yilda boshlangan bo‘lib, likvidlikni qoplash me’yorining minimal darajasi 2016-yil 1-yanvardan 80 foiz, 2017-yil 1-yanvardan 90 foiz, 2018-yil 1-yanvardan 100 foiz qilib belgilangan</w:t>
      </w:r>
      <w:r>
        <w:rPr>
          <w:rStyle w:val="FootnoteReference"/>
        </w:rPr>
        <w:footnoteReference w:id="67"/>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Bazel standartlari moliyaviy barqarorlikni baholash uchun aniq miqdoriy mezonlar bersa-da, ularni to‘liq baholash tizimi deb bo‘lmaydi, chunki ular aktivlar sifatiga bevosita miqdoriy talab qo‘ymaydi va ko‘rsatkichlarni yagona bahoga birlashtirmaydi. Bundan tashqari, kapital va likvidlik me’yorlarining ishonchliligi aktivlar va zaxiralar to‘g‘ri baholanganiga bog‘liq bo‘lib, Rossiya tajribasi asosidagi monografiyada kredit riski yetarli baholanmagan sharoitda Bazel III yangiliklari bank sektori barqarorligi muammosini hal qila olmasligi ta’kidlangan</w:t>
      </w:r>
      <w:r>
        <w:rPr>
          <w:rStyle w:val="FootnoteReference"/>
        </w:rPr>
        <w:footnoteReference w:id="68"/>
      </w:r>
      <w:r>
        <w:rPr>
          <w:rFonts w:ascii="Times New Roman" w:hAnsi="Times New Roman" w:cs="Times New Roman" w:eastAsia="Times New Roman"/>
          <w:sz w:val="28"/>
        </w:rPr>
        <w:t xml:space="preserve">. Shu jihatdan 2018-yildan amalga kiritilgan MHXS 9 «Moliyaviy instrumentlar» standarti alohida ahamiyatga ega. Uning asosiy yangiligi kredit zararlarini tan olishda yuzaga kelgan zararlar modelidan kutilgan zararlar modeliga o‘tish bo‘lib, zaxira 12 oylik yoki butun muddat uchun defolt ehtimoli bilan tortilgan kutilayotgan pul tushumlari kamayishi asosida hisoblanadi</w:t>
      </w:r>
      <w:r>
        <w:rPr>
          <w:rStyle w:val="FootnoteReference"/>
        </w:rPr>
        <w:footnoteReference w:id="69"/>
      </w:r>
      <w:r>
        <w:rPr>
          <w:rFonts w:ascii="Times New Roman" w:hAnsi="Times New Roman" w:cs="Times New Roman" w:eastAsia="Times New Roman"/>
          <w:sz w:val="28"/>
        </w:rPr>
        <w:t xml:space="preserve">. N.E. Sokolinskaya bu o‘zgarishni yuzaga kelgan zararlarga asoslangan yondashuv o‘rniga prognoz yondashuvining kiritilishi deb tavsiflaydi</w:t>
      </w:r>
      <w:r>
        <w:rPr>
          <w:rStyle w:val="FootnoteReference"/>
        </w:rPr>
        <w:footnoteReference w:id="70"/>
      </w:r>
      <w:r>
        <w:rPr>
          <w:rFonts w:ascii="Times New Roman" w:hAnsi="Times New Roman" w:cs="Times New Roman" w:eastAsia="Times New Roman"/>
          <w:sz w:val="28"/>
        </w:rPr>
        <w:t xml:space="preserve">. Standartga ko‘ra, moliyaviy aktivlar kredit sifatining o‘zgarishiga qarab uch bosqichga ajratiladi</w:t>
      </w:r>
      <w:r>
        <w:rPr>
          <w:rStyle w:val="FootnoteReference"/>
        </w:rPr>
        <w:footnoteReference w:id="71"/>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(1.2.4-rasm).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04000" cy="2448000"/>
                <wp:effectExtent l="0" t="0" r="0" b="0"/>
                <wp:docPr id="1004" name="1.2.4-rasm"/>
                <wp:cNvGraphicFramePr/>
                <a:graphic>
                  <a:graphicData uri="http://schemas.microsoft.com/office/word/2010/wordprocessingGroup">
                    <wpg:wgp>
                      <wpg:cNvGrpSpPr/>
                      <wpg:grpSpPr>
                        <a:xfrm>
                          <a:off x="0" y="0"/>
                          <a:ext cx="5904000" cy="2448000"/>
                          <a:chOff x="0" y="0"/>
                          <a:chExt cx="5904000" cy="2448000"/>
                        </a:xfrm>
                      </wpg:grpSpPr>
                      <wps:wsp>
                        <wps:cNvPr id="17" name="Shape 17"/>
                        <wps:cNvSpPr/>
                        <wps:spPr>
                          <a:xfrm>
                            <a:off x="36000" y="0"/>
                            <a:ext cx="5832000" cy="198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i/>
                                  <w:color w:val="000000"/>
                                  <w:sz w:val="22"/>
                                  <w:szCs w:val="22"/>
                                </w:rPr>
                                <w:t xml:space="preserve">Dastlabki tan olingandan keyin kredit sifatining yomonlashuvi</w:t>
                              </w:r>
                            </w:p>
                          </w:txbxContent>
                        </wps:txbx>
                        <wps:bodyPr rot="0" vert="horz" wrap="square" lIns="36000" tIns="18000" rIns="36000" bIns="18000" anchor="ctr" anchorCtr="0">
                          <a:noAutofit/>
                        </wps:bodyPr>
                      </wps:wsp>
                      <wps:wsp>
                        <wps:cNvPr id="18" name="Connector 18"/>
                        <wps:cNvCnPr/>
                        <wps:spPr>
                          <a:xfrm>
                            <a:off x="72000" y="270000"/>
                            <a:ext cx="5760000" cy="0"/>
                          </a:xfrm>
                          <a:prstGeom prst="straightConnector1">
                            <a:avLst/>
                          </a:prstGeom>
                          <a:ln w="31750">
                            <a:solidFill>
                              <a:srgbClr val="7F7F7F"/>
                            </a:solidFill>
                            <a:tailEnd type="triangle" w="med" len="med"/>
                          </a:ln>
                        </wps:spPr>
                        <wps:bodyPr/>
                      </wps:wsp>
                      <wps:wsp>
                        <wps:cNvPr id="19" name="Shape 19"/>
                        <wps:cNvSpPr/>
                        <wps:spPr>
                          <a:xfrm>
                            <a:off x="36000" y="378000"/>
                            <a:ext cx="1836000" cy="30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4"/>
                                  <w:szCs w:val="24"/>
                                </w:rPr>
                                <w:t xml:space="preserve">1-bosqich</w:t>
                              </w:r>
                            </w:p>
                          </w:txbxContent>
                        </wps:txbx>
                        <wps:bodyPr rot="0" vert="horz" wrap="square" lIns="36000" tIns="18000" rIns="36000" bIns="18000" anchor="ctr" anchorCtr="0">
                          <a:noAutofit/>
                        </wps:bodyPr>
                      </wps:wsp>
                      <wps:wsp>
                        <wps:cNvPr id="20" name="Shape 20"/>
                        <wps:cNvSpPr/>
                        <wps:spPr>
                          <a:xfrm>
                            <a:off x="36000" y="756000"/>
                            <a:ext cx="1836000" cy="486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Kredit riski sezilarli</w:t>
                              </w:r>
                            </w:p>
                            <w:p>
                              <w:pPr>
                                <w:spacing w:before="0" w:after="0" w:line="228" w:lineRule="auto"/>
                                <w:jc w:val="center"/>
                                <w:ind w:firstLine="0"/>
                              </w:pPr>
                              <w:r>
                                <w:rPr>
                                  <w:rFonts w:ascii="Times New Roman" w:hAnsi="Times New Roman" w:cs="Times New Roman"/>
                                  <w:color w:val="000000"/>
                                  <w:sz w:val="22"/>
                                  <w:szCs w:val="22"/>
                                </w:rPr>
                                <w:t xml:space="preserve">oshmagan aktivlar</w:t>
                              </w:r>
                            </w:p>
                          </w:txbxContent>
                        </wps:txbx>
                        <wps:bodyPr rot="0" vert="horz" wrap="square" lIns="36000" tIns="18000" rIns="36000" bIns="18000" anchor="ctr" anchorCtr="0">
                          <a:noAutofit/>
                        </wps:bodyPr>
                      </wps:wsp>
                      <wps:wsp>
                        <wps:cNvPr id="21" name="Shape 21"/>
                        <wps:cNvSpPr/>
                        <wps:spPr>
                          <a:xfrm>
                            <a:off x="36000" y="1314000"/>
                            <a:ext cx="1836000" cy="486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12 oylik kutilgan</w:t>
                              </w:r>
                            </w:p>
                            <w:p>
                              <w:pPr>
                                <w:spacing w:before="0" w:after="0" w:line="228" w:lineRule="auto"/>
                                <w:jc w:val="center"/>
                                <w:ind w:firstLine="0"/>
                              </w:pPr>
                              <w:r>
                                <w:rPr>
                                  <w:rFonts w:ascii="Times New Roman" w:hAnsi="Times New Roman" w:cs="Times New Roman"/>
                                  <w:b/>
                                  <w:color w:val="000000"/>
                                  <w:sz w:val="22"/>
                                  <w:szCs w:val="22"/>
                                </w:rPr>
                                <w:t xml:space="preserve">kredit zararlari</w:t>
                              </w:r>
                            </w:p>
                          </w:txbxContent>
                        </wps:txbx>
                        <wps:bodyPr rot="0" vert="horz" wrap="square" lIns="36000" tIns="18000" rIns="36000" bIns="18000" anchor="ctr" anchorCtr="0">
                          <a:noAutofit/>
                        </wps:bodyPr>
                      </wps:wsp>
                      <wps:wsp>
                        <wps:cNvPr id="22" name="Shape 22"/>
                        <wps:cNvSpPr/>
                        <wps:spPr>
                          <a:xfrm>
                            <a:off x="36000" y="1872000"/>
                            <a:ext cx="1836000" cy="540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Foiz daromadi yalpi</w:t>
                              </w:r>
                            </w:p>
                            <w:p>
                              <w:pPr>
                                <w:spacing w:before="0" w:after="0" w:line="228" w:lineRule="auto"/>
                                <w:jc w:val="center"/>
                                <w:ind w:firstLine="0"/>
                              </w:pPr>
                              <w:r>
                                <w:rPr>
                                  <w:rFonts w:ascii="Times New Roman" w:hAnsi="Times New Roman" w:cs="Times New Roman"/>
                                  <w:color w:val="000000"/>
                                  <w:sz w:val="22"/>
                                  <w:szCs w:val="22"/>
                                </w:rPr>
                                <w:t xml:space="preserve">balans qiymatiga</w:t>
                              </w:r>
                            </w:p>
                            <w:p>
                              <w:pPr>
                                <w:spacing w:before="0" w:after="0" w:line="228" w:lineRule="auto"/>
                                <w:jc w:val="center"/>
                                <w:ind w:firstLine="0"/>
                              </w:pPr>
                              <w:r>
                                <w:rPr>
                                  <w:rFonts w:ascii="Times New Roman" w:hAnsi="Times New Roman" w:cs="Times New Roman"/>
                                  <w:color w:val="000000"/>
                                  <w:sz w:val="22"/>
                                  <w:szCs w:val="22"/>
                                </w:rPr>
                                <w:t xml:space="preserve">hisoblanadi</w:t>
                              </w:r>
                            </w:p>
                          </w:txbxContent>
                        </wps:txbx>
                        <wps:bodyPr rot="0" vert="horz" wrap="square" lIns="36000" tIns="18000" rIns="36000" bIns="18000" anchor="ctr" anchorCtr="0">
                          <a:noAutofit/>
                        </wps:bodyPr>
                      </wps:wsp>
                      <wps:wsp>
                        <wps:cNvPr id="23" name="Shape 23"/>
                        <wps:cNvSpPr/>
                        <wps:spPr>
                          <a:xfrm>
                            <a:off x="2016000" y="378000"/>
                            <a:ext cx="1836000" cy="306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4"/>
                                  <w:szCs w:val="24"/>
                                </w:rPr>
                                <w:t xml:space="preserve">2-bosqich</w:t>
                              </w:r>
                            </w:p>
                          </w:txbxContent>
                        </wps:txbx>
                        <wps:bodyPr rot="0" vert="horz" wrap="square" lIns="36000" tIns="18000" rIns="36000" bIns="18000" anchor="ctr" anchorCtr="0">
                          <a:noAutofit/>
                        </wps:bodyPr>
                      </wps:wsp>
                      <wps:wsp>
                        <wps:cNvPr id="24" name="Shape 24"/>
                        <wps:cNvSpPr/>
                        <wps:spPr>
                          <a:xfrm>
                            <a:off x="2016000" y="756000"/>
                            <a:ext cx="1836000" cy="486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Kredit riski sezilarli</w:t>
                              </w:r>
                            </w:p>
                            <w:p>
                              <w:pPr>
                                <w:spacing w:before="0" w:after="0" w:line="228" w:lineRule="auto"/>
                                <w:jc w:val="center"/>
                                <w:ind w:firstLine="0"/>
                              </w:pPr>
                              <w:r>
                                <w:rPr>
                                  <w:rFonts w:ascii="Times New Roman" w:hAnsi="Times New Roman" w:cs="Times New Roman"/>
                                  <w:color w:val="000000"/>
                                  <w:sz w:val="22"/>
                                  <w:szCs w:val="22"/>
                                </w:rPr>
                                <w:t xml:space="preserve">oshgan aktivlar</w:t>
                              </w:r>
                            </w:p>
                          </w:txbxContent>
                        </wps:txbx>
                        <wps:bodyPr rot="0" vert="horz" wrap="square" lIns="36000" tIns="18000" rIns="36000" bIns="18000" anchor="ctr" anchorCtr="0">
                          <a:noAutofit/>
                        </wps:bodyPr>
                      </wps:wsp>
                      <wps:wsp>
                        <wps:cNvPr id="25" name="Shape 25"/>
                        <wps:cNvSpPr/>
                        <wps:spPr>
                          <a:xfrm>
                            <a:off x="2016000" y="1314000"/>
                            <a:ext cx="1836000" cy="486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Butun muddat uchun</w:t>
                              </w:r>
                            </w:p>
                            <w:p>
                              <w:pPr>
                                <w:spacing w:before="0" w:after="0" w:line="228" w:lineRule="auto"/>
                                <w:jc w:val="center"/>
                                <w:ind w:firstLine="0"/>
                              </w:pPr>
                              <w:r>
                                <w:rPr>
                                  <w:rFonts w:ascii="Times New Roman" w:hAnsi="Times New Roman" w:cs="Times New Roman"/>
                                  <w:b/>
                                  <w:color w:val="000000"/>
                                  <w:sz w:val="22"/>
                                  <w:szCs w:val="22"/>
                                </w:rPr>
                                <w:t xml:space="preserve">kutilgan kredit zararlari</w:t>
                              </w:r>
                            </w:p>
                          </w:txbxContent>
                        </wps:txbx>
                        <wps:bodyPr rot="0" vert="horz" wrap="square" lIns="36000" tIns="18000" rIns="36000" bIns="18000" anchor="ctr" anchorCtr="0">
                          <a:noAutofit/>
                        </wps:bodyPr>
                      </wps:wsp>
                      <wps:wsp>
                        <wps:cNvPr id="26" name="Shape 26"/>
                        <wps:cNvSpPr/>
                        <wps:spPr>
                          <a:xfrm>
                            <a:off x="2016000" y="1872000"/>
                            <a:ext cx="1836000" cy="540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Foiz daromadi yalpi</w:t>
                              </w:r>
                            </w:p>
                            <w:p>
                              <w:pPr>
                                <w:spacing w:before="0" w:after="0" w:line="228" w:lineRule="auto"/>
                                <w:jc w:val="center"/>
                                <w:ind w:firstLine="0"/>
                              </w:pPr>
                              <w:r>
                                <w:rPr>
                                  <w:rFonts w:ascii="Times New Roman" w:hAnsi="Times New Roman" w:cs="Times New Roman"/>
                                  <w:color w:val="000000"/>
                                  <w:sz w:val="22"/>
                                  <w:szCs w:val="22"/>
                                </w:rPr>
                                <w:t xml:space="preserve">balans qiymatiga</w:t>
                              </w:r>
                            </w:p>
                            <w:p>
                              <w:pPr>
                                <w:spacing w:before="0" w:after="0" w:line="228" w:lineRule="auto"/>
                                <w:jc w:val="center"/>
                                <w:ind w:firstLine="0"/>
                              </w:pPr>
                              <w:r>
                                <w:rPr>
                                  <w:rFonts w:ascii="Times New Roman" w:hAnsi="Times New Roman" w:cs="Times New Roman"/>
                                  <w:color w:val="000000"/>
                                  <w:sz w:val="22"/>
                                  <w:szCs w:val="22"/>
                                </w:rPr>
                                <w:t xml:space="preserve">hisoblanadi</w:t>
                              </w:r>
                            </w:p>
                          </w:txbxContent>
                        </wps:txbx>
                        <wps:bodyPr rot="0" vert="horz" wrap="square" lIns="36000" tIns="18000" rIns="36000" bIns="18000" anchor="ctr" anchorCtr="0">
                          <a:noAutofit/>
                        </wps:bodyPr>
                      </wps:wsp>
                      <wps:wsp>
                        <wps:cNvPr id="27" name="Shape 27"/>
                        <wps:cNvSpPr/>
                        <wps:spPr>
                          <a:xfrm>
                            <a:off x="3996000" y="378000"/>
                            <a:ext cx="1836000" cy="30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4"/>
                                  <w:szCs w:val="24"/>
                                </w:rPr>
                                <w:t xml:space="preserve">3-bosqich</w:t>
                              </w:r>
                            </w:p>
                          </w:txbxContent>
                        </wps:txbx>
                        <wps:bodyPr rot="0" vert="horz" wrap="square" lIns="36000" tIns="18000" rIns="36000" bIns="18000" anchor="ctr" anchorCtr="0">
                          <a:noAutofit/>
                        </wps:bodyPr>
                      </wps:wsp>
                      <wps:wsp>
                        <wps:cNvPr id="28" name="Shape 28"/>
                        <wps:cNvSpPr/>
                        <wps:spPr>
                          <a:xfrm>
                            <a:off x="3996000" y="756000"/>
                            <a:ext cx="1836000" cy="486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Qadrsizlangan</w:t>
                              </w:r>
                            </w:p>
                            <w:p>
                              <w:pPr>
                                <w:spacing w:before="0" w:after="0" w:line="228" w:lineRule="auto"/>
                                <w:jc w:val="center"/>
                                <w:ind w:firstLine="0"/>
                              </w:pPr>
                              <w:r>
                                <w:rPr>
                                  <w:rFonts w:ascii="Times New Roman" w:hAnsi="Times New Roman" w:cs="Times New Roman"/>
                                  <w:color w:val="000000"/>
                                  <w:sz w:val="22"/>
                                  <w:szCs w:val="22"/>
                                </w:rPr>
                                <w:t xml:space="preserve">(defolt) aktivlar</w:t>
                              </w:r>
                            </w:p>
                          </w:txbxContent>
                        </wps:txbx>
                        <wps:bodyPr rot="0" vert="horz" wrap="square" lIns="36000" tIns="18000" rIns="36000" bIns="18000" anchor="ctr" anchorCtr="0">
                          <a:noAutofit/>
                        </wps:bodyPr>
                      </wps:wsp>
                      <wps:wsp>
                        <wps:cNvPr id="29" name="Shape 29"/>
                        <wps:cNvSpPr/>
                        <wps:spPr>
                          <a:xfrm>
                            <a:off x="3996000" y="1314000"/>
                            <a:ext cx="1836000" cy="486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Butun muddat uchun</w:t>
                              </w:r>
                            </w:p>
                            <w:p>
                              <w:pPr>
                                <w:spacing w:before="0" w:after="0" w:line="228" w:lineRule="auto"/>
                                <w:jc w:val="center"/>
                                <w:ind w:firstLine="0"/>
                              </w:pPr>
                              <w:r>
                                <w:rPr>
                                  <w:rFonts w:ascii="Times New Roman" w:hAnsi="Times New Roman" w:cs="Times New Roman"/>
                                  <w:b/>
                                  <w:color w:val="000000"/>
                                  <w:sz w:val="22"/>
                                  <w:szCs w:val="22"/>
                                </w:rPr>
                                <w:t xml:space="preserve">kutilgan kredit zararlari</w:t>
                              </w:r>
                            </w:p>
                          </w:txbxContent>
                        </wps:txbx>
                        <wps:bodyPr rot="0" vert="horz" wrap="square" lIns="36000" tIns="18000" rIns="36000" bIns="18000" anchor="ctr" anchorCtr="0">
                          <a:noAutofit/>
                        </wps:bodyPr>
                      </wps:wsp>
                      <wps:wsp>
                        <wps:cNvPr id="30" name="Shape 30"/>
                        <wps:cNvSpPr/>
                        <wps:spPr>
                          <a:xfrm>
                            <a:off x="3996000" y="1872000"/>
                            <a:ext cx="1836000" cy="540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Foiz daromadi sof</w:t>
                              </w:r>
                            </w:p>
                            <w:p>
                              <w:pPr>
                                <w:spacing w:before="0" w:after="0" w:line="228" w:lineRule="auto"/>
                                <w:jc w:val="center"/>
                                <w:ind w:firstLine="0"/>
                              </w:pPr>
                              <w:r>
                                <w:rPr>
                                  <w:rFonts w:ascii="Times New Roman" w:hAnsi="Times New Roman" w:cs="Times New Roman"/>
                                  <w:color w:val="000000"/>
                                  <w:sz w:val="22"/>
                                  <w:szCs w:val="22"/>
                                </w:rPr>
                                <w:t xml:space="preserve">(zaxiradan keyingi)</w:t>
                              </w:r>
                            </w:p>
                            <w:p>
                              <w:pPr>
                                <w:spacing w:before="0" w:after="0" w:line="228" w:lineRule="auto"/>
                                <w:jc w:val="center"/>
                                <w:ind w:firstLine="0"/>
                              </w:pPr>
                              <w:r>
                                <w:rPr>
                                  <w:rFonts w:ascii="Times New Roman" w:hAnsi="Times New Roman" w:cs="Times New Roman"/>
                                  <w:color w:val="000000"/>
                                  <w:sz w:val="22"/>
                                  <w:szCs w:val="22"/>
                                </w:rPr>
                                <w:t xml:space="preserve">qiymatga hisoblanadi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1.2.4-rasm. MHXS 9 bo‘yicha kutilgan kredit zararlarini baholashning uch bosqichli modeli</w:t>
      </w:r>
      <w:r>
        <w:rPr>
          <w:rStyle w:val="FootnoteReference"/>
        </w:rPr>
        <w:footnoteReference w:id="72"/>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MHXS 9 kredit riskini muammo yuzaga kelgandan keyin emas, balki kredit riski sezilarli oshgan paytdan boshlab, ya’ni 2-bosqichdan e’tiborga oladi. Bu xususiyat moliyaviy barqarorlikni baholash uchun ikki jihatdan muhim. Birinchidan, u aktivlar sifati ko‘rsatkichlarini, xususan, zaxiralar bilan qoplanish darajasini ishonchliroq qiladi: Sokolinskaya prognoziga ko‘ra, MHXS 9 ga o‘tish natijasida Rossiya banklarida zaxiralar kredit portfelining 19,1 foiziga yetishi mumkin bo‘lgan</w:t>
      </w:r>
      <w:r>
        <w:rPr>
          <w:rStyle w:val="FootnoteReference"/>
        </w:rPr>
        <w:footnoteReference w:id="73"/>
      </w:r>
      <w:r>
        <w:rPr>
          <w:rFonts w:ascii="Times New Roman" w:hAnsi="Times New Roman" w:cs="Times New Roman" w:eastAsia="Times New Roman"/>
          <w:sz w:val="28"/>
        </w:rPr>
        <w:t xml:space="preserve">. Ikkinchidan, milliy hisobot va MHXS bo‘yicha hisoblangan ko‘rsatkichlar farqi bankning haqiqiy holatini aniqlashda qo‘shimcha axborot manbai bo‘ladi: muallif keltirgan misolda bitta bank 2015-yilda milliy hisobotda 63,7 mlrd rubl zarar, MHXS bo‘yicha esa 4,35 mlrd rubl foyda ko‘rsatgan</w:t>
      </w:r>
      <w:r>
        <w:rPr>
          <w:rStyle w:val="FootnoteReference"/>
        </w:rPr>
        <w:footnoteReference w:id="74"/>
      </w:r>
      <w:r>
        <w:rPr>
          <w:rFonts w:ascii="Times New Roman" w:hAnsi="Times New Roman" w:cs="Times New Roman" w:eastAsia="Times New Roman"/>
          <w:sz w:val="28"/>
        </w:rPr>
        <w:t xml:space="preserve">. Bazel III ga oid monografiyada ham Rossiya bank sektorida zaxiralar va muddati o‘tgan qarzlar ulushi o‘rtasidagi korrelyatsiya atigi 0,24 ni tashkil etgani, ya’ni amaldagi zaxira yaratish amaliyoti kutilgan yo‘qotishlarni qoplash maqsadiga javob bermasligi ko‘rsatilgan</w:t>
      </w:r>
      <w:r>
        <w:rPr>
          <w:rStyle w:val="FootnoteReference"/>
        </w:rPr>
        <w:footnoteReference w:id="75"/>
      </w:r>
      <w:r>
        <w:rPr>
          <w:rFonts w:ascii="Times New Roman" w:hAnsi="Times New Roman" w:cs="Times New Roman" w:eastAsia="Times New Roman"/>
          <w:sz w:val="28"/>
        </w:rPr>
        <w:t xml:space="preserve">. O‘zbekiston banklari misolida bu farq ikkinchi bobda tahlil qilinadi.</w:t>
      </w:r>
    </w:p>
    <w:p>
      <w:pPr>
        <w:pStyle w:val="BodyText"/>
        <w:spacing w:line="360" w:lineRule="auto" w:before="0" w:after="0"/>
        <w:ind w:firstLine="709"/>
        <w:jc w:val="both"/>
      </w:pPr>
      <w:r>
        <w:rPr>
          <w:rFonts w:ascii="Times New Roman" w:hAnsi="Times New Roman" w:cs="Times New Roman" w:eastAsia="Times New Roman"/>
          <w:sz w:val="28"/>
        </w:rPr>
        <w:t xml:space="preserve">Kapital va likvidlik standartlari hamda hisobot standartlari alohida bank darajasida qo‘llansa, Xalqaro valyuta jamg‘armasining moliyaviy barqarorlik ko‘rsatkichlari bank tizimi darajasida xalqaro taqqoslanadigan baholash vositasi hisoblanadi. Bu ko‘rsatkichlar 1990-yillar oxirida CAMELS nazorat reytingi tizimi asosida ishlab chiqilgan bo‘lib, 2006-yilgi qo‘llanmada 12 ta asosiy va 28 ta qo‘shimcha ko‘rsatkichni o‘z ichiga olgan</w:t>
      </w:r>
      <w:r>
        <w:rPr>
          <w:rStyle w:val="FootnoteReference"/>
        </w:rPr>
        <w:footnoteReference w:id="76"/>
      </w:r>
      <w:r>
        <w:rPr>
          <w:rFonts w:ascii="Times New Roman" w:hAnsi="Times New Roman" w:cs="Times New Roman" w:eastAsia="Times New Roman"/>
          <w:sz w:val="28"/>
        </w:rPr>
        <w:t xml:space="preserve">. 2019-yilgi yangi qo‘llanmada ko‘rsatkichlar soni 50 taga yetkazildi, ulardan 13 tasi yangi bo‘lib, depozit qabul qiluvchi tashkilotlar uchun 17 ta asosiy ko‘rsatkich minimal to‘plam sifatida tavsiya etildi, likvidlikni qoplash va sof barqaror moliyalashtirish me’yorlari esa 2018-yildan asosiy ko‘rsatkichlar qatoriga kiritildi</w:t>
      </w:r>
      <w:r>
        <w:rPr>
          <w:rStyle w:val="FootnoteReference"/>
        </w:rPr>
        <w:footnoteReference w:id="77"/>
      </w:r>
      <w:r>
        <w:rPr>
          <w:rFonts w:ascii="Times New Roman" w:hAnsi="Times New Roman" w:cs="Times New Roman" w:eastAsia="Times New Roman"/>
          <w:sz w:val="28"/>
        </w:rPr>
        <w:t xml:space="preserve">. Shu bilan birga, qo‘llanmada asosiy ko‘rsatkichlarning o‘zi cheklangan bashorat kuchiga ega ekani, ammo ular monitoring vositasi va kengroq tahliliy yondashuvlar uchun dastlabki ma’lumot sifatida foydali ekani qayd etilgan</w:t>
      </w:r>
      <w:r>
        <w:rPr>
          <w:rStyle w:val="FootnoteReference"/>
        </w:rPr>
        <w:footnoteReference w:id="78"/>
      </w:r>
      <w:r>
        <w:rPr>
          <w:rFonts w:ascii="Times New Roman" w:hAnsi="Times New Roman" w:cs="Times New Roman" w:eastAsia="Times New Roman"/>
          <w:sz w:val="28"/>
        </w:rPr>
        <w:t xml:space="preserve">. Demak, bu ko‘rsatkichlar baholash ko‘rsatkichlari tarkibini xalqaro miqyosda unifikatsiya qiladi, biroq mezoniy qiymatlar va yagona integral baho bermaydi.</w:t>
      </w:r>
    </w:p>
    <w:p>
      <w:pPr>
        <w:pStyle w:val="BodyText"/>
        <w:spacing w:line="360" w:lineRule="auto" w:before="0" w:after="0"/>
        <w:ind w:firstLine="709"/>
        <w:jc w:val="both"/>
      </w:pPr>
      <w:r>
        <w:rPr>
          <w:rFonts w:ascii="Times New Roman" w:hAnsi="Times New Roman" w:cs="Times New Roman" w:eastAsia="Times New Roman"/>
          <w:sz w:val="28"/>
        </w:rPr>
        <w:t xml:space="preserve">Ko‘rib chiqilgan standartlar va tizimlarning baholash metodikasi uchun ahamiyatini umumlashtirish ularni qiyosiy tavsiflash imkonini beradi (1.2.4-jadval).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1.2.4-jadval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Banklar moliyaviy barqarorligini baholash bo‘yicha xalqaro standartlar va tizimlarning qiyosiy tavsifi</w:t>
      </w:r>
      <w:r>
        <w:rPr>
          <w:rStyle w:val="FootnoteReference"/>
        </w:rPr>
        <w:footnoteReference w:id="79"/>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1530"/>
        <w:gridCol w:w="1474"/>
        <w:gridCol w:w="1644"/>
        <w:gridCol w:w="1587"/>
        <w:gridCol w:w="1644"/>
      </w:tblGrid>
      <w:tr>
        <w:trPr>
          <w:tblHeader w:val="true"/>
          <w:cantSplit/>
          <w:tblHeader/>
        </w:trPr>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Mezon</w:t>
            </w:r>
          </w:p>
        </w:tc>
        <w:tc>
          <w:tcPr>
            <w:tcW w:type="dxa" w:w="153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Bazel III</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MHXS 9</w:t>
            </w:r>
          </w:p>
        </w:tc>
        <w:tc>
          <w:tcPr>
            <w:tcW w:type="dxa" w:w="164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XVJ moliyaviy barqarorlik ko‘rsatkichlari</w:t>
            </w:r>
          </w:p>
        </w:tc>
        <w:tc>
          <w:tcPr>
            <w:tcW w:type="dxa" w:w="158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CAMELS</w:t>
            </w:r>
          </w:p>
        </w:tc>
        <w:tc>
          <w:tcPr>
            <w:tcW w:type="dxa" w:w="164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Reyting agentliklari</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Asosiy maqsad</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Minimal prudensial talablar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Kredit zararlarini to‘g‘ri aks ettirish</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Sektor barqarorligini kuzatish</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Nazorat reytingi</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Investorlarga axborot</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Baholash darajasi</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Bank va tizim</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Bank</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Bank sektori</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Bank</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Bank</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Qamraydigan bloklar</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Kapital, likvidlik</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Kapital, aktivlar, daromad, likvidlik, bozor riski</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Kapital, aktivlar, boshqaruv, daromad, likvidlik, bozor riski</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Biznes va moliyaviy profil</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Mezoniy qiymatlar</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Bor (minimumlar)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Yo‘q (tamoyillar)</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Yo‘q</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Bor (ballar)</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Ichki</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Yagona integral baho</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Yo‘q</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Yo‘q</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Yo‘q</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Bor (1–5)</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Bor (reyting)</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Natijaning oshkoraligi</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Normativlar ochiq</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Ochiq</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Ochiq</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Yopiq</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Ochiq</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Asosiy cheklovi</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Aktivlar sifati va daromadlilikni qamramaydi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Faqat kredit riski</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Integral baho yo‘q</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Sub’ektiv, yopiq</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Hamma banklarni qamramaydi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ko‘rib chiqilgan standartlarning birortasi ham moliyaviy barqarorlikni ochiq ma’lumotlar asosida, mezoniy qiymatlar bilan va yagona integral baho shaklida baholash imkonini to‘liq bermaydi. Bazel III aniq mezonlar beradi, lekin faqat kapital va likvidlikni qamraydi, CAMELS kompleks baho beradi, ammo yopiq va sub’ektiv, Xalqaro valyuta jamg‘armasi ko‘rsatkichlari baholash tarkibini belgilaydi, lekin ularni yagona bahoga birlashtirmaydi, MHXS 9 esa ko‘rsatkichlar sifatini oshiradi, ammo o‘zi baholash tizimi emas. Reyting agentliklari esa H. Langohr va P. Langohr ta’rificha, bankning tashqi yordamsiz mustaqil kuchini baholab, aktivlar sifatini bank tahlilining eng muhim qismi deb hisoblaydi</w:t>
      </w:r>
      <w:r>
        <w:rPr>
          <w:rStyle w:val="FootnoteReference"/>
        </w:rPr>
        <w:footnoteReference w:id="80"/>
      </w:r>
      <w:r>
        <w:rPr>
          <w:rFonts w:ascii="Times New Roman" w:hAnsi="Times New Roman" w:cs="Times New Roman" w:eastAsia="Times New Roman"/>
          <w:sz w:val="28"/>
        </w:rPr>
        <w:t xml:space="preserve">, biroq O‘zbekistonda ular faqat bir qism banklarni qamraydi. Shu bilan birga, bu standartlar bir-birini to‘ldiradi va ularning afzalliklarini birlashtirish orqali takomillashtirilgan integral baholash tizimini qurish mumkin (1.2.5-rasm).</w:t>
      </w:r>
    </w:p>
    <w:p>
      <w:pPr>
        <w:pStyle w:val="BodyText"/>
        <w:keepNext/>
        <w:spacing w:line="240" w:lineRule="auto" w:before="0" w:after="0"/>
        <w:ind w:firstLine="0"/>
        <w:jc w:val="center"/>
      </w:pPr>
      <w:r xmlns:mc="http://schemas.openxmlformats.org/markup-compatibility/2006" xmlns:wpg="http://schemas.microsoft.com/office/word/2010/wordprocessingGroup" xmlns:wps="http://schemas.microsoft.com/office/word/2010/wordprocessingShape">
        <w:rPr>
          <w:noProof/>
        </w:rPr>
        <mc:AlternateContent>
          <mc:Choice Requires="wpg">
            <w:drawing>
              <wp:inline distT="0" distB="0" distL="0" distR="0">
                <wp:extent cx="5940000" cy="3060000"/>
                <wp:effectExtent l="0" t="0" r="0" b="0"/>
                <wp:docPr id="1005" name="1.2.5-rasm"/>
                <wp:cNvGraphicFramePr/>
                <a:graphic>
                  <a:graphicData uri="http://schemas.microsoft.com/office/word/2010/wordprocessingGroup">
                    <wpg:wgp>
                      <wpg:cNvGrpSpPr/>
                      <wpg:grpSpPr>
                        <a:xfrm>
                          <a:off x="0" y="0"/>
                          <a:ext cx="5940000" cy="3060000"/>
                          <a:chOff x="0" y="0"/>
                          <a:chExt cx="5940000" cy="3060000"/>
                        </a:xfrm>
                      </wpg:grpSpPr>
                      <wps:wsp>
                        <wps:cNvPr id="31" name="Shape 31"/>
                        <wps:cNvSpPr/>
                        <wps:spPr>
                          <a:xfrm>
                            <a:off x="36000" y="0"/>
                            <a:ext cx="1296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Xalqaro standartlar</w:t>
                              </w:r>
                            </w:p>
                          </w:txbxContent>
                        </wps:txbx>
                        <wps:bodyPr rot="0" vert="horz" wrap="square" lIns="36000" tIns="18000" rIns="36000" bIns="18000" anchor="ctr" anchorCtr="0">
                          <a:noAutofit/>
                        </wps:bodyPr>
                      </wps:wsp>
                      <wps:wsp>
                        <wps:cNvPr id="32" name="Shape 32"/>
                        <wps:cNvSpPr/>
                        <wps:spPr>
                          <a:xfrm>
                            <a:off x="2160000" y="0"/>
                            <a:ext cx="1728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Baholash bloklari</w:t>
                              </w:r>
                            </w:p>
                          </w:txbxContent>
                        </wps:txbx>
                        <wps:bodyPr rot="0" vert="horz" wrap="square" lIns="36000" tIns="18000" rIns="36000" bIns="18000" anchor="ctr" anchorCtr="0">
                          <a:noAutofit/>
                        </wps:bodyPr>
                      </wps:wsp>
                      <wps:wsp>
                        <wps:cNvPr id="33" name="Connector 33"/>
                        <wps:cNvCnPr/>
                        <wps:spPr>
                          <a:xfrm>
                            <a:off x="1332000" y="486000"/>
                            <a:ext cx="828000" cy="0"/>
                          </a:xfrm>
                          <a:prstGeom prst="straightConnector1">
                            <a:avLst/>
                          </a:prstGeom>
                          <a:ln w="12700">
                            <a:solidFill>
                              <a:srgbClr val="70AD47"/>
                            </a:solidFill>
                          </a:ln>
                        </wps:spPr>
                        <wps:bodyPr/>
                      </wps:wsp>
                      <wps:wsp>
                        <wps:cNvPr id="34" name="Connector 34"/>
                        <wps:cNvCnPr/>
                        <wps:spPr>
                          <a:xfrm>
                            <a:off x="1332000" y="486000"/>
                            <a:ext cx="828000" cy="1782000"/>
                          </a:xfrm>
                          <a:prstGeom prst="straightConnector1">
                            <a:avLst/>
                          </a:prstGeom>
                          <a:ln w="12700">
                            <a:solidFill>
                              <a:srgbClr val="70AD47"/>
                            </a:solidFill>
                          </a:ln>
                        </wps:spPr>
                        <wps:bodyPr/>
                      </wps:wsp>
                      <wps:wsp>
                        <wps:cNvPr id="35" name="Connector 35"/>
                        <wps:cNvCnPr/>
                        <wps:spPr>
                          <a:xfrm>
                            <a:off x="1332000" y="1080000"/>
                            <a:ext cx="828000" cy="0"/>
                          </a:xfrm>
                          <a:prstGeom prst="straightConnector1">
                            <a:avLst/>
                          </a:prstGeom>
                          <a:ln w="12700">
                            <a:solidFill>
                              <a:srgbClr val="EB6834"/>
                            </a:solidFill>
                          </a:ln>
                        </wps:spPr>
                        <wps:bodyPr/>
                      </wps:wsp>
                      <wps:wsp>
                        <wps:cNvPr id="36" name="Connector 36"/>
                        <wps:cNvCnPr/>
                        <wps:spPr>
                          <a:xfrm flipV="1">
                            <a:off x="1332000" y="486000"/>
                            <a:ext cx="828000" cy="1188000"/>
                          </a:xfrm>
                          <a:prstGeom prst="straightConnector1">
                            <a:avLst/>
                          </a:prstGeom>
                          <a:ln w="12700">
                            <a:solidFill>
                              <a:srgbClr val="5B9BD5"/>
                            </a:solidFill>
                          </a:ln>
                        </wps:spPr>
                        <wps:bodyPr/>
                      </wps:wsp>
                      <wps:wsp>
                        <wps:cNvPr id="37" name="Connector 37"/>
                        <wps:cNvCnPr/>
                        <wps:spPr>
                          <a:xfrm flipV="1">
                            <a:off x="1332000" y="1080000"/>
                            <a:ext cx="828000" cy="594000"/>
                          </a:xfrm>
                          <a:prstGeom prst="straightConnector1">
                            <a:avLst/>
                          </a:prstGeom>
                          <a:ln w="12700">
                            <a:solidFill>
                              <a:srgbClr val="5B9BD5"/>
                            </a:solidFill>
                          </a:ln>
                        </wps:spPr>
                        <wps:bodyPr/>
                      </wps:wsp>
                      <wps:wsp>
                        <wps:cNvPr id="38" name="Connector 38"/>
                        <wps:cNvCnPr/>
                        <wps:spPr>
                          <a:xfrm>
                            <a:off x="1332000" y="1674000"/>
                            <a:ext cx="828000" cy="0"/>
                          </a:xfrm>
                          <a:prstGeom prst="straightConnector1">
                            <a:avLst/>
                          </a:prstGeom>
                          <a:ln w="12700">
                            <a:solidFill>
                              <a:srgbClr val="5B9BD5"/>
                            </a:solidFill>
                          </a:ln>
                        </wps:spPr>
                        <wps:bodyPr/>
                      </wps:wsp>
                      <wps:wsp>
                        <wps:cNvPr id="39" name="Connector 39"/>
                        <wps:cNvCnPr/>
                        <wps:spPr>
                          <a:xfrm>
                            <a:off x="1332000" y="1674000"/>
                            <a:ext cx="828000" cy="594000"/>
                          </a:xfrm>
                          <a:prstGeom prst="straightConnector1">
                            <a:avLst/>
                          </a:prstGeom>
                          <a:ln w="12700">
                            <a:solidFill>
                              <a:srgbClr val="5B9BD5"/>
                            </a:solidFill>
                          </a:ln>
                        </wps:spPr>
                        <wps:bodyPr/>
                      </wps:wsp>
                      <wps:wsp>
                        <wps:cNvPr id="40" name="Connector 40"/>
                        <wps:cNvCnPr/>
                        <wps:spPr>
                          <a:xfrm>
                            <a:off x="1332000" y="1674000"/>
                            <a:ext cx="828000" cy="1188000"/>
                          </a:xfrm>
                          <a:prstGeom prst="straightConnector1">
                            <a:avLst/>
                          </a:prstGeom>
                          <a:ln w="12700">
                            <a:solidFill>
                              <a:srgbClr val="5B9BD5"/>
                            </a:solidFill>
                          </a:ln>
                        </wps:spPr>
                        <wps:bodyPr/>
                      </wps:wsp>
                      <wps:wsp>
                        <wps:cNvPr id="41" name="Connector 41"/>
                        <wps:cNvCnPr/>
                        <wps:spPr>
                          <a:xfrm flipV="1">
                            <a:off x="1332000" y="486000"/>
                            <a:ext cx="828000" cy="1782000"/>
                          </a:xfrm>
                          <a:prstGeom prst="straightConnector1">
                            <a:avLst/>
                          </a:prstGeom>
                          <a:ln w="12700">
                            <a:solidFill>
                              <a:srgbClr val="2A78D6"/>
                            </a:solidFill>
                          </a:ln>
                        </wps:spPr>
                        <wps:bodyPr/>
                      </wps:wsp>
                      <wps:wsp>
                        <wps:cNvPr id="42" name="Connector 42"/>
                        <wps:cNvCnPr/>
                        <wps:spPr>
                          <a:xfrm flipV="1">
                            <a:off x="1332000" y="1080000"/>
                            <a:ext cx="828000" cy="1188000"/>
                          </a:xfrm>
                          <a:prstGeom prst="straightConnector1">
                            <a:avLst/>
                          </a:prstGeom>
                          <a:ln w="12700">
                            <a:solidFill>
                              <a:srgbClr val="2A78D6"/>
                            </a:solidFill>
                          </a:ln>
                        </wps:spPr>
                        <wps:bodyPr/>
                      </wps:wsp>
                      <wps:wsp>
                        <wps:cNvPr id="43" name="Connector 43"/>
                        <wps:cNvCnPr/>
                        <wps:spPr>
                          <a:xfrm flipV="1">
                            <a:off x="1332000" y="1674000"/>
                            <a:ext cx="828000" cy="594000"/>
                          </a:xfrm>
                          <a:prstGeom prst="straightConnector1">
                            <a:avLst/>
                          </a:prstGeom>
                          <a:ln w="12700">
                            <a:solidFill>
                              <a:srgbClr val="2A78D6"/>
                            </a:solidFill>
                          </a:ln>
                        </wps:spPr>
                        <wps:bodyPr/>
                      </wps:wsp>
                      <wps:wsp>
                        <wps:cNvPr id="44" name="Connector 44"/>
                        <wps:cNvCnPr/>
                        <wps:spPr>
                          <a:xfrm>
                            <a:off x="1332000" y="2268000"/>
                            <a:ext cx="828000" cy="0"/>
                          </a:xfrm>
                          <a:prstGeom prst="straightConnector1">
                            <a:avLst/>
                          </a:prstGeom>
                          <a:ln w="12700">
                            <a:solidFill>
                              <a:srgbClr val="2A78D6"/>
                            </a:solidFill>
                          </a:ln>
                        </wps:spPr>
                        <wps:bodyPr/>
                      </wps:wsp>
                      <wps:wsp>
                        <wps:cNvPr id="45" name="Connector 45"/>
                        <wps:cNvCnPr/>
                        <wps:spPr>
                          <a:xfrm>
                            <a:off x="1332000" y="2268000"/>
                            <a:ext cx="828000" cy="594000"/>
                          </a:xfrm>
                          <a:prstGeom prst="straightConnector1">
                            <a:avLst/>
                          </a:prstGeom>
                          <a:ln w="12700">
                            <a:solidFill>
                              <a:srgbClr val="2A78D6"/>
                            </a:solidFill>
                          </a:ln>
                        </wps:spPr>
                        <wps:bodyPr/>
                      </wps:wsp>
                      <wps:wsp>
                        <wps:cNvPr id="46" name="Connector 46"/>
                        <wps:cNvCnPr/>
                        <wps:spPr>
                          <a:xfrm flipV="1">
                            <a:off x="1332000" y="486000"/>
                            <a:ext cx="828000" cy="2376000"/>
                          </a:xfrm>
                          <a:prstGeom prst="straightConnector1">
                            <a:avLst/>
                          </a:prstGeom>
                          <a:ln w="12700">
                            <a:solidFill>
                              <a:srgbClr val="7F7F7F"/>
                            </a:solidFill>
                          </a:ln>
                        </wps:spPr>
                        <wps:bodyPr/>
                      </wps:wsp>
                      <wps:wsp>
                        <wps:cNvPr id="47" name="Connector 47"/>
                        <wps:cNvCnPr/>
                        <wps:spPr>
                          <a:xfrm flipV="1">
                            <a:off x="1332000" y="1080000"/>
                            <a:ext cx="828000" cy="1782000"/>
                          </a:xfrm>
                          <a:prstGeom prst="straightConnector1">
                            <a:avLst/>
                          </a:prstGeom>
                          <a:ln w="12700">
                            <a:solidFill>
                              <a:srgbClr val="7F7F7F"/>
                            </a:solidFill>
                          </a:ln>
                        </wps:spPr>
                        <wps:bodyPr/>
                      </wps:wsp>
                      <wps:wsp>
                        <wps:cNvPr id="48" name="Connector 48"/>
                        <wps:cNvCnPr/>
                        <wps:spPr>
                          <a:xfrm flipV="1">
                            <a:off x="1332000" y="1674000"/>
                            <a:ext cx="828000" cy="1188000"/>
                          </a:xfrm>
                          <a:prstGeom prst="straightConnector1">
                            <a:avLst/>
                          </a:prstGeom>
                          <a:ln w="12700">
                            <a:solidFill>
                              <a:srgbClr val="7F7F7F"/>
                            </a:solidFill>
                          </a:ln>
                        </wps:spPr>
                        <wps:bodyPr/>
                      </wps:wsp>
                      <wps:wsp>
                        <wps:cNvPr id="49" name="Connector 49"/>
                        <wps:cNvCnPr/>
                        <wps:spPr>
                          <a:xfrm flipV="1">
                            <a:off x="1332000" y="2268000"/>
                            <a:ext cx="828000" cy="594000"/>
                          </a:xfrm>
                          <a:prstGeom prst="straightConnector1">
                            <a:avLst/>
                          </a:prstGeom>
                          <a:ln w="12700">
                            <a:solidFill>
                              <a:srgbClr val="7F7F7F"/>
                            </a:solidFill>
                          </a:ln>
                        </wps:spPr>
                        <wps:bodyPr/>
                      </wps:wsp>
                      <wps:wsp>
                        <wps:cNvPr id="50" name="Shape 50"/>
                        <wps:cNvSpPr/>
                        <wps:spPr>
                          <a:xfrm>
                            <a:off x="36000" y="288000"/>
                            <a:ext cx="1296000" cy="39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III</w:t>
                              </w:r>
                            </w:p>
                          </w:txbxContent>
                        </wps:txbx>
                        <wps:bodyPr rot="0" vert="horz" wrap="square" lIns="36000" tIns="18000" rIns="36000" bIns="18000" anchor="ctr" anchorCtr="0">
                          <a:noAutofit/>
                        </wps:bodyPr>
                      </wps:wsp>
                      <wps:wsp>
                        <wps:cNvPr id="51" name="Shape 51"/>
                        <wps:cNvSpPr/>
                        <wps:spPr>
                          <a:xfrm>
                            <a:off x="36000" y="882000"/>
                            <a:ext cx="1296000" cy="39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MHXS 9</w:t>
                              </w:r>
                            </w:p>
                          </w:txbxContent>
                        </wps:txbx>
                        <wps:bodyPr rot="0" vert="horz" wrap="square" lIns="36000" tIns="18000" rIns="36000" bIns="18000" anchor="ctr" anchorCtr="0">
                          <a:noAutofit/>
                        </wps:bodyPr>
                      </wps:wsp>
                      <wps:wsp>
                        <wps:cNvPr id="52" name="Shape 52"/>
                        <wps:cNvSpPr/>
                        <wps:spPr>
                          <a:xfrm>
                            <a:off x="36000" y="1476000"/>
                            <a:ext cx="1296000" cy="396000"/>
                          </a:xfrm>
                          <a:prstGeom prst="roundRect">
                            <a:avLst>
                              <a:gd name="adj" fmla="val 10000"/>
                            </a:avLst>
                          </a:prstGeom>
                          <a:solidFill>
                            <a:srgbClr val="9DC3E6"/>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XVJ barqarorlik</w:t>
                              </w:r>
                            </w:p>
                            <w:p>
                              <w:pPr>
                                <w:spacing w:before="0" w:after="0" w:line="228" w:lineRule="auto"/>
                                <w:jc w:val="center"/>
                                <w:ind w:firstLine="0"/>
                              </w:pPr>
                              <w:r>
                                <w:rPr>
                                  <w:rFonts w:ascii="Times New Roman" w:hAnsi="Times New Roman" w:cs="Times New Roman"/>
                                  <w:b/>
                                  <w:color w:val="000000"/>
                                  <w:sz w:val="22"/>
                                  <w:szCs w:val="22"/>
                                </w:rPr>
                                <w:t xml:space="preserve">ko‘rsatkichlari</w:t>
                              </w:r>
                            </w:p>
                          </w:txbxContent>
                        </wps:txbx>
                        <wps:bodyPr rot="0" vert="horz" wrap="square" lIns="36000" tIns="18000" rIns="36000" bIns="18000" anchor="ctr" anchorCtr="0">
                          <a:noAutofit/>
                        </wps:bodyPr>
                      </wps:wsp>
                      <wps:wsp>
                        <wps:cNvPr id="53" name="Shape 53"/>
                        <wps:cNvSpPr/>
                        <wps:spPr>
                          <a:xfrm>
                            <a:off x="36000" y="2070000"/>
                            <a:ext cx="1296000" cy="396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CAMELS</w:t>
                              </w:r>
                            </w:p>
                          </w:txbxContent>
                        </wps:txbx>
                        <wps:bodyPr rot="0" vert="horz" wrap="square" lIns="36000" tIns="18000" rIns="36000" bIns="18000" anchor="ctr" anchorCtr="0">
                          <a:noAutofit/>
                        </wps:bodyPr>
                      </wps:wsp>
                      <wps:wsp>
                        <wps:cNvPr id="54" name="Shape 54"/>
                        <wps:cNvSpPr/>
                        <wps:spPr>
                          <a:xfrm>
                            <a:off x="36000" y="2664000"/>
                            <a:ext cx="1296000" cy="396000"/>
                          </a:xfrm>
                          <a:prstGeom prst="roundRect">
                            <a:avLst>
                              <a:gd name="adj" fmla="val 10000"/>
                            </a:avLst>
                          </a:prstGeom>
                          <a:solidFill>
                            <a:srgbClr val="A5A5A5"/>
                          </a:solidFill>
                          <a:ln w="12700">
                            <a:solidFill>
                              <a:srgbClr val="A5A5A5"/>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Reyting agentliklari</w:t>
                              </w:r>
                            </w:p>
                          </w:txbxContent>
                        </wps:txbx>
                        <wps:bodyPr rot="0" vert="horz" wrap="square" lIns="36000" tIns="18000" rIns="36000" bIns="18000" anchor="ctr" anchorCtr="0">
                          <a:noAutofit/>
                        </wps:bodyPr>
                      </wps:wsp>
                      <wps:wsp>
                        <wps:cNvPr id="55" name="Shape 55"/>
                        <wps:cNvSpPr/>
                        <wps:spPr>
                          <a:xfrm>
                            <a:off x="2160000" y="288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Kapital yetarliligi</w:t>
                              </w:r>
                            </w:p>
                          </w:txbxContent>
                        </wps:txbx>
                        <wps:bodyPr rot="0" vert="horz" wrap="square" lIns="36000" tIns="18000" rIns="36000" bIns="18000" anchor="ctr" anchorCtr="0">
                          <a:noAutofit/>
                        </wps:bodyPr>
                      </wps:wsp>
                      <wps:wsp>
                        <wps:cNvPr id="56" name="Shape 56"/>
                        <wps:cNvSpPr/>
                        <wps:spPr>
                          <a:xfrm>
                            <a:off x="2160000" y="882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Aktivlar sifati</w:t>
                              </w:r>
                            </w:p>
                          </w:txbxContent>
                        </wps:txbx>
                        <wps:bodyPr rot="0" vert="horz" wrap="square" lIns="36000" tIns="18000" rIns="36000" bIns="18000" anchor="ctr" anchorCtr="0">
                          <a:noAutofit/>
                        </wps:bodyPr>
                      </wps:wsp>
                      <wps:wsp>
                        <wps:cNvPr id="57" name="Shape 57"/>
                        <wps:cNvSpPr/>
                        <wps:spPr>
                          <a:xfrm>
                            <a:off x="2160000" y="1476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Daromadlilik</w:t>
                              </w:r>
                            </w:p>
                          </w:txbxContent>
                        </wps:txbx>
                        <wps:bodyPr rot="0" vert="horz" wrap="square" lIns="36000" tIns="18000" rIns="36000" bIns="18000" anchor="ctr" anchorCtr="0">
                          <a:noAutofit/>
                        </wps:bodyPr>
                      </wps:wsp>
                      <wps:wsp>
                        <wps:cNvPr id="58" name="Shape 58"/>
                        <wps:cNvSpPr/>
                        <wps:spPr>
                          <a:xfrm>
                            <a:off x="2160000" y="2070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Likvidlik</w:t>
                              </w:r>
                            </w:p>
                          </w:txbxContent>
                        </wps:txbx>
                        <wps:bodyPr rot="0" vert="horz" wrap="square" lIns="36000" tIns="18000" rIns="36000" bIns="18000" anchor="ctr" anchorCtr="0">
                          <a:noAutofit/>
                        </wps:bodyPr>
                      </wps:wsp>
                      <wps:wsp>
                        <wps:cNvPr id="59" name="Shape 59"/>
                        <wps:cNvSpPr/>
                        <wps:spPr>
                          <a:xfrm>
                            <a:off x="2160000" y="2664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Bozor (valyuta) riskiga</w:t>
                              </w:r>
                            </w:p>
                            <w:p>
                              <w:pPr>
                                <w:spacing w:before="0" w:after="0" w:line="228" w:lineRule="auto"/>
                                <w:jc w:val="center"/>
                                <w:ind w:firstLine="0"/>
                              </w:pPr>
                              <w:r>
                                <w:rPr>
                                  <w:rFonts w:ascii="Times New Roman" w:hAnsi="Times New Roman" w:cs="Times New Roman"/>
                                  <w:color w:val="000000"/>
                                  <w:sz w:val="22"/>
                                  <w:szCs w:val="22"/>
                                </w:rPr>
                                <w:t xml:space="preserve">sezgirlik</w:t>
                              </w:r>
                            </w:p>
                          </w:txbxContent>
                        </wps:txbx>
                        <wps:bodyPr rot="0" vert="horz" wrap="square" lIns="36000" tIns="18000" rIns="36000" bIns="18000" anchor="ctr" anchorCtr="0">
                          <a:noAutofit/>
                        </wps:bodyPr>
                      </wps:wsp>
                      <wps:wsp>
                        <wps:cNvPr id="60" name="Connector 60"/>
                        <wps:cNvCnPr/>
                        <wps:spPr>
                          <a:xfrm>
                            <a:off x="3888000" y="486000"/>
                            <a:ext cx="648000" cy="1152000"/>
                          </a:xfrm>
                          <a:prstGeom prst="straightConnector1">
                            <a:avLst/>
                          </a:prstGeom>
                          <a:ln w="15875">
                            <a:solidFill>
                              <a:srgbClr val="404040"/>
                            </a:solidFill>
                            <a:tailEnd type="triangle" w="med" len="med"/>
                          </a:ln>
                        </wps:spPr>
                        <wps:bodyPr/>
                      </wps:wsp>
                      <wps:wsp>
                        <wps:cNvPr id="61" name="Connector 61"/>
                        <wps:cNvCnPr/>
                        <wps:spPr>
                          <a:xfrm>
                            <a:off x="3888000" y="1080000"/>
                            <a:ext cx="648000" cy="558000"/>
                          </a:xfrm>
                          <a:prstGeom prst="straightConnector1">
                            <a:avLst/>
                          </a:prstGeom>
                          <a:ln w="15875">
                            <a:solidFill>
                              <a:srgbClr val="404040"/>
                            </a:solidFill>
                            <a:tailEnd type="triangle" w="med" len="med"/>
                          </a:ln>
                        </wps:spPr>
                        <wps:bodyPr/>
                      </wps:wsp>
                      <wps:wsp>
                        <wps:cNvPr id="62" name="Connector 62"/>
                        <wps:cNvCnPr/>
                        <wps:spPr>
                          <a:xfrm flipV="1">
                            <a:off x="3888000" y="1638000"/>
                            <a:ext cx="648000" cy="36000"/>
                          </a:xfrm>
                          <a:prstGeom prst="straightConnector1">
                            <a:avLst/>
                          </a:prstGeom>
                          <a:ln w="15875">
                            <a:solidFill>
                              <a:srgbClr val="404040"/>
                            </a:solidFill>
                            <a:tailEnd type="triangle" w="med" len="med"/>
                          </a:ln>
                        </wps:spPr>
                        <wps:bodyPr/>
                      </wps:wsp>
                      <wps:wsp>
                        <wps:cNvPr id="63" name="Connector 63"/>
                        <wps:cNvCnPr/>
                        <wps:spPr>
                          <a:xfrm flipV="1">
                            <a:off x="3888000" y="1638000"/>
                            <a:ext cx="648000" cy="630000"/>
                          </a:xfrm>
                          <a:prstGeom prst="straightConnector1">
                            <a:avLst/>
                          </a:prstGeom>
                          <a:ln w="15875">
                            <a:solidFill>
                              <a:srgbClr val="404040"/>
                            </a:solidFill>
                            <a:tailEnd type="triangle" w="med" len="med"/>
                          </a:ln>
                        </wps:spPr>
                        <wps:bodyPr/>
                      </wps:wsp>
                      <wps:wsp>
                        <wps:cNvPr id="64" name="Connector 64"/>
                        <wps:cNvCnPr/>
                        <wps:spPr>
                          <a:xfrm flipV="1">
                            <a:off x="3888000" y="1638000"/>
                            <a:ext cx="648000" cy="1224000"/>
                          </a:xfrm>
                          <a:prstGeom prst="straightConnector1">
                            <a:avLst/>
                          </a:prstGeom>
                          <a:ln w="15875">
                            <a:solidFill>
                              <a:srgbClr val="404040"/>
                            </a:solidFill>
                            <a:tailEnd type="triangle" w="med" len="med"/>
                          </a:ln>
                        </wps:spPr>
                        <wps:bodyPr/>
                      </wps:wsp>
                      <wps:wsp>
                        <wps:cNvPr id="65" name="Shape 65"/>
                        <wps:cNvSpPr/>
                        <wps:spPr>
                          <a:xfrm>
                            <a:off x="4536000" y="1134000"/>
                            <a:ext cx="1368000" cy="1008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4"/>
                                  <w:szCs w:val="24"/>
                                </w:rPr>
                                <w:t xml:space="preserve">Moliyaviy</w:t>
                              </w:r>
                            </w:p>
                            <w:p>
                              <w:pPr>
                                <w:spacing w:before="0" w:after="0" w:line="228" w:lineRule="auto"/>
                                <w:jc w:val="center"/>
                                <w:ind w:firstLine="0"/>
                              </w:pPr>
                              <w:r>
                                <w:rPr>
                                  <w:rFonts w:ascii="Times New Roman" w:hAnsi="Times New Roman" w:cs="Times New Roman"/>
                                  <w:b/>
                                  <w:color w:val="FFFFFF"/>
                                  <w:sz w:val="24"/>
                                  <w:szCs w:val="24"/>
                                </w:rPr>
                                <w:t xml:space="preserve">barqarorlikning</w:t>
                              </w:r>
                            </w:p>
                            <w:p>
                              <w:pPr>
                                <w:spacing w:before="0" w:after="0" w:line="228" w:lineRule="auto"/>
                                <w:jc w:val="center"/>
                                <w:ind w:firstLine="0"/>
                              </w:pPr>
                              <w:r>
                                <w:rPr>
                                  <w:rFonts w:ascii="Times New Roman" w:hAnsi="Times New Roman" w:cs="Times New Roman"/>
                                  <w:b/>
                                  <w:color w:val="FFFFFF"/>
                                  <w:sz w:val="24"/>
                                  <w:szCs w:val="24"/>
                                </w:rPr>
                                <w:t xml:space="preserve">integral bahosi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1.2.5-rasm. Xalqaro standartlarning moliyaviy barqarorlikni integral baholash bloklari bilan bog‘liqligi</w:t>
      </w:r>
      <w:r>
        <w:rPr>
          <w:rStyle w:val="FootnoteReference"/>
        </w:rPr>
        <w:footnoteReference w:id="81"/>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kapital yetarliligi va likvidlik bloklari uchun Bazel III mezonlari asos bo‘ladi, aktivlar sifati bloki MHXS 9 tamoyillariga tayanadi, beshala blokning ko‘rsatkichlar tarkibi esa CAMELS va Xalqaro valyuta jamg‘armasi ko‘rsatkichlari bilan muvofiqlashtiriladi. Valyuta riskiga sezgirlik bloki dollarlashuv darajasi yuqori bo‘lgan mamlakatlar uchun ayniqsa muhim bo‘lib, Izzi va hammualliflarning bank reyting modelida rivojlanayotgan mamlakatlar banklari uchun sifat omillari ichida xorijiy valyutadagi likvidlikka eng katta – 30 foiz vazn berilgan</w:t>
      </w:r>
      <w:r>
        <w:rPr>
          <w:rStyle w:val="FootnoteReference"/>
        </w:rPr>
        <w:footnoteReference w:id="82"/>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Banklar moliyaviy barqarorligini baholashning xalqaro standartlari va metodologik yondashuvlarini tadqiq etgan holda xulosa qilish mumkinki, baholash zarurati axborot asimmetriyasi, depozit shartnomasining zaifligi, kapitalning bufer funksiyasi va tizimli risk kabi nazariy asoslardan kelib chiqadi va bu asoslarning har biri baholash metodikasiga muayyan blok sifatida o‘z talabini qo‘yadi. Moliyaviy barqarorlik moliyaviy holatdan farqli o‘laroq dinamik tushuncha bo‘lgani uchun uni bir sanadagi ko‘rsatkichlar bilan to‘liq baholab bo‘lmaydi, baholash metodikasi esa dinamika, muvozanat va mezoniy qiymatlarni o‘z ichiga olishi lozim. Baholash yondashuvlarining birortasi universal emas, rivojlanayotgan fond bozoriga ega mamlakatlar uchun esa buxgalteriya ma’lumotlariga asoslangan, reyting va statistik yondashuvlar afzalliklarini birlashtiruvchi gibrid integral baholash tizimi eng maqbul hisoblanadi. Bazel III kapital va likvidlik bo‘yicha aniq mezonlar va pog‘onali baholash namunasini, MHXS 9 aktivlar sifatini kelajakka yo‘naltirilgan holda baholash tamoyilini, Xalqaro valyuta jamg‘armasi ko‘rsatkichlari esa xalqaro taqqoslanadigan ko‘rsatkichlar tarkibini beradi, biroq ularning birortasi ham yagona integral bahoni ta’minlamaydi. Shu sababli bu standartlarning afzalliklarini birlashtiruvchi, mezoniy qiymatlari Bazel III ga bog‘langan va aktivlar sifati MHXS 9 bo‘yicha baholanadigan integral baholash metodikasini ishlab chiqish zarur bo‘lib, uning asoslari uchinchi bobda taklif etiladi.</w:t>
      </w:r>
    </w:p>
    <w:bookmarkEnd w:id="83"/>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Peláez C.M., Peláez C.A. Regulation of Banks and Finance: Theory and Policy after the Credit Crisis. – Basingstoke: Palgrave Macmillan, 2009. – P. 4, 17.</w:t>
      </w:r>
    </w:p>
  </w:footnote>
  <w:footnote w:id="21">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19–23.</w:t>
      </w:r>
    </w:p>
  </w:footnote>
  <w:footnote w:id="22">
    <w:p>
      <w:pPr>
        <w:pStyle w:val="FootnoteText"/>
      </w:pPr>
      <w:r>
        <w:rPr>
          <w:rStyle w:val="FootnoteReference"/>
        </w:rPr>
        <w:footnoteRef/>
      </w:r>
      <w:r>
        <w:t xml:space="preserve"> </w:t>
      </w:r>
      <w:r>
        <w:t xml:space="preserve">Cargill T.F. The Financial System, Financial Regulation and Central Bank Policy. – Cambridge: Cambridge University Press, 2017. – P. 184–185.</w:t>
      </w:r>
    </w:p>
  </w:footnote>
  <w:footnote w:id="23">
    <w:p>
      <w:pPr>
        <w:pStyle w:val="FootnoteText"/>
      </w:pPr>
      <w:r>
        <w:rPr>
          <w:rStyle w:val="FootnoteReference"/>
        </w:rPr>
        <w:footnoteRef/>
      </w:r>
      <w:r>
        <w:t xml:space="preserve"> </w:t>
      </w:r>
      <w:r>
        <w:t xml:space="preserve">Peláez C.M., Peláez C.A. Regulation of Banks and Finance: Theory and Policy after the Credit Crisis. – Basingstoke: Palgrave Macmillan, 2009. – P. 61–62.</w:t>
      </w:r>
    </w:p>
  </w:footnote>
  <w:footnote w:id="24">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16, 27.</w:t>
      </w:r>
    </w:p>
  </w:footnote>
  <w:footnote w:id="25">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49–53.</w:t>
      </w:r>
    </w:p>
  </w:footnote>
  <w:footnote w:id="26">
    <w:p>
      <w:pPr>
        <w:pStyle w:val="FootnoteText"/>
      </w:pPr>
      <w:r>
        <w:rPr>
          <w:rStyle w:val="FootnoteReference"/>
        </w:rPr>
        <w:footnoteRef/>
      </w:r>
      <w:r>
        <w:t xml:space="preserve"> </w:t>
      </w:r>
      <w:r>
        <w:t xml:space="preserve">Tadqiqot natijasida muallif tomonidan quyidagi manbalar asosida ishlab chiqildi: Регулирование банковской сферы: учебник / под ред. О.Н. Афанасьевой, С.Е. Дубовой. – М.: КНОРУС. – С. 49–53; Tarullo D.K. Banking on Basel: The Future of International Financial Regulation. – Washington, DC: Peterson Institute for International Economics, 2008. – P. 16–23; Peláez C.M., Peláez C.A. Regulation of Banks and Finance: Theory and Policy after the Credit Crisis. – Basingstoke: Palgrave Macmillan, 2009. – P. 4, 17, 61–62; Cargill T.F. The Financial System, Financial Regulation and Central Bank Policy. – Cambridge: Cambridge University Press, 2017. – P. 184–185.</w:t>
      </w:r>
    </w:p>
  </w:footnote>
  <w:footnote w:id="27">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49.</w:t>
      </w:r>
    </w:p>
  </w:footnote>
  <w:footnote w:id="28">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57–61.</w:t>
      </w:r>
    </w:p>
  </w:footnote>
  <w:footnote w:id="29">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45.</w:t>
      </w:r>
    </w:p>
  </w:footnote>
  <w:footnote w:id="30">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100, 193–195.</w:t>
      </w:r>
    </w:p>
  </w:footnote>
  <w:footnote w:id="31">
    <w:p>
      <w:pPr>
        <w:pStyle w:val="FootnoteText"/>
      </w:pPr>
      <w:r>
        <w:rPr>
          <w:rStyle w:val="FootnoteReference"/>
        </w:rPr>
        <w:footnoteRef/>
      </w:r>
      <w:r>
        <w:t xml:space="preserve"> </w:t>
      </w:r>
      <w:r>
        <w:t xml:space="preserve">Čihák M. How Do Central Banks Write on Financial Stability?: IMF Working Paper WP/06/163. – Washington, DC: International Monetary Fund, 2006. – P. 19.</w:t>
      </w:r>
    </w:p>
  </w:footnote>
  <w:footnote w:id="32">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62–69.</w:t>
      </w:r>
    </w:p>
  </w:footnote>
  <w:footnote w:id="33">
    <w:p>
      <w:pPr>
        <w:pStyle w:val="FootnoteText"/>
      </w:pPr>
      <w:r>
        <w:rPr>
          <w:rStyle w:val="FootnoteReference"/>
        </w:rPr>
        <w:footnoteRef/>
      </w:r>
      <w:r>
        <w:t xml:space="preserve"> </w:t>
      </w:r>
      <w:r>
        <w:t xml:space="preserve">Karaliyev T.M., Sayfiddinov I.F. Tijorat banklari faoliyatini tartibga solish va nazorati: darslik. – T.: Iqtisod-Moliya, 2019. – B. 213.</w:t>
      </w:r>
    </w:p>
  </w:footnote>
  <w:footnote w:id="34">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20.</w:t>
      </w:r>
    </w:p>
  </w:footnote>
  <w:footnote w:id="35">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56–57.</w:t>
      </w:r>
    </w:p>
  </w:footnote>
  <w:footnote w:id="36">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54–57.</w:t>
      </w:r>
    </w:p>
  </w:footnote>
  <w:footnote w:id="37">
    <w:p>
      <w:pPr>
        <w:pStyle w:val="FootnoteText"/>
      </w:pPr>
      <w:r>
        <w:rPr>
          <w:rStyle w:val="FootnoteReference"/>
        </w:rPr>
        <w:footnoteRef/>
      </w:r>
      <w:r>
        <w:t xml:space="preserve"> </w:t>
      </w:r>
      <w:r>
        <w:t xml:space="preserve">Modina M. Credit Rating and Bank–Firm Relationships: New Models to Better Evaluate SMEs. – Basingstoke: Palgrave Macmillan, 2015. – P. 33.</w:t>
      </w:r>
    </w:p>
  </w:footnote>
  <w:footnote w:id="38">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54–57; Устойчивость банковской системы и развитие банковской политики: монография / под ред. О.И. Лаврушина. – М.: КНОРУС, 2014. – С. 48–61; Карминский А.М. Кредитные рейтинги и их моделирование. – М.: Изд. дом НИУ ВШЭ, 2015. – С. 20, 208; Karaliyev T.M., Sayfiddinov I.F. Tijorat banklari faoliyatini tartibga solish va nazorati: darslik. – T.: Iqtisod-Moliya, 2019. – B. 195–213; Chiaramonte L., Poli F. Predicting European Bank Distress: Evidence from the Recent Financial Crisis // Governance, Regulation and Bank Stability / ed. by T. Lindblom, S. Sjögren, M. Willesson. – Basingstoke: Palgrave Macmillan, 2014. – P. 77–93; Cargill T.F. The Financial System, Financial Regulation and Central Bank Policy. – Cambridge: Cambridge University Press, 2017. – P. 194.</w:t>
      </w:r>
    </w:p>
  </w:footnote>
  <w:footnote w:id="39">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48.</w:t>
      </w:r>
    </w:p>
  </w:footnote>
  <w:footnote w:id="40">
    <w:p>
      <w:pPr>
        <w:pStyle w:val="FootnoteText"/>
      </w:pPr>
      <w:r>
        <w:rPr>
          <w:rStyle w:val="FootnoteReference"/>
        </w:rPr>
        <w:footnoteRef/>
      </w:r>
      <w:r>
        <w:t xml:space="preserve"> </w:t>
      </w:r>
      <w:r>
        <w:t xml:space="preserve">Бердияров Б.Т. Ўзбекистон Республикаси тижорат банкларининг ликвидлилиги ва тўлов қобилиятини таъминлаш масалалари: монография. – Т.: BMA, 2020. – Б. 18–19, 27.</w:t>
      </w:r>
    </w:p>
  </w:footnote>
  <w:footnote w:id="41">
    <w:p>
      <w:pPr>
        <w:pStyle w:val="FootnoteText"/>
      </w:pPr>
      <w:r>
        <w:rPr>
          <w:rStyle w:val="FootnoteReference"/>
        </w:rPr>
        <w:footnoteRef/>
      </w:r>
      <w:r>
        <w:t xml:space="preserve"> </w:t>
      </w:r>
      <w:r>
        <w:t xml:space="preserve">Chiaramonte L., Poli F. Predicting European Bank Distress: Evidence from the Recent Financial Crisis // Governance, Regulation and Bank Stability / ed. by T. Lindblom, S. Sjögren, M. Willesson. – Basingstoke: Palgrave Macmillan, 2014. – P. 83, 92–93.</w:t>
      </w:r>
    </w:p>
  </w:footnote>
  <w:footnote w:id="42">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208.</w:t>
      </w:r>
    </w:p>
  </w:footnote>
  <w:footnote w:id="43">
    <w:p>
      <w:pPr>
        <w:pStyle w:val="FootnoteText"/>
      </w:pPr>
      <w:r>
        <w:rPr>
          <w:rStyle w:val="FootnoteReference"/>
        </w:rPr>
        <w:footnoteRef/>
      </w:r>
      <w:r>
        <w:t xml:space="preserve"> </w:t>
      </w:r>
      <w:r>
        <w:t xml:space="preserve">Chiaramonte L., Poli F. Predicting European Bank Distress: Evidence from the Recent Financial Crisis // Governance, Regulation and Bank Stability / ed. by T. Lindblom, S. Sjögren, M. Willesson. – Basingstoke: Palgrave Macmillan, 2014. – P. 77–80.</w:t>
      </w:r>
    </w:p>
  </w:footnote>
  <w:footnote w:id="44">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68.</w:t>
      </w:r>
    </w:p>
  </w:footnote>
  <w:footnote w:id="45">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50–51.</w:t>
      </w:r>
    </w:p>
  </w:footnote>
  <w:footnote w:id="46">
    <w:p>
      <w:pPr>
        <w:pStyle w:val="FootnoteText"/>
      </w:pPr>
      <w:r>
        <w:rPr>
          <w:rStyle w:val="FootnoteReference"/>
        </w:rPr>
        <w:footnoteRef/>
      </w:r>
      <w:r>
        <w:t xml:space="preserve"> </w:t>
      </w:r>
      <w:r>
        <w:t xml:space="preserve">Шаталова Е.П. Банковские рейтинги в системе риск-менеджмента: процедуры мониторинга кредитных рейтингов: учебное пособие. – 2020. – С. 23.</w:t>
      </w:r>
    </w:p>
  </w:footnote>
  <w:footnote w:id="47">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 – P. 76, 84–85.</w:t>
      </w:r>
    </w:p>
  </w:footnote>
  <w:footnote w:id="48">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193.</w:t>
      </w:r>
    </w:p>
  </w:footnote>
  <w:footnote w:id="49">
    <w:p>
      <w:pPr>
        <w:pStyle w:val="FootnoteText"/>
      </w:pPr>
      <w:r>
        <w:rPr>
          <w:rStyle w:val="FootnoteReference"/>
        </w:rPr>
        <w:footnoteRef/>
      </w:r>
      <w:r>
        <w:t xml:space="preserve"> </w:t>
      </w:r>
      <w:r>
        <w:t xml:space="preserve">Tadqiqot natijasida muallif tomonidan quyidagi manbalar asosida ishlab chiqildi: Tarullo D.K. Banking on Basel: The Future of International Financial Regulation. – Washington, DC: Peterson Institute for International Economics, 2008. – P. 45–67; Tian W. Regulatory Capital Requirement in Basel III // Commercial Banking Risk Management: Regulation in the Wake of the Financial Crisis / ed. by W. Tian. – New York: Palgrave Macmillan, 2017. – P. 3–28; Карминский А.М. Кредитные рейтинги и их моделирование. – М.: Изд. дом НИУ ВШЭ, 2015. – С. 20–24.</w:t>
      </w:r>
    </w:p>
  </w:footnote>
  <w:footnote w:id="50">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55–59.</w:t>
      </w:r>
    </w:p>
  </w:footnote>
  <w:footnote w:id="51">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65–67, 77–83.</w:t>
      </w:r>
    </w:p>
  </w:footnote>
  <w:footnote w:id="52">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69–72.</w:t>
      </w:r>
    </w:p>
  </w:footnote>
  <w:footnote w:id="53">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162–165.</w:t>
      </w:r>
    </w:p>
  </w:footnote>
  <w:footnote w:id="54">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3.</w:t>
      </w:r>
    </w:p>
  </w:footnote>
  <w:footnote w:id="55">
    <w:p>
      <w:pPr>
        <w:pStyle w:val="FootnoteText"/>
      </w:pPr>
      <w:r>
        <w:rPr>
          <w:rStyle w:val="FootnoteReference"/>
        </w:rPr>
        <w:footnoteRef/>
      </w:r>
      <w:r>
        <w:t xml:space="preserve"> </w:t>
      </w:r>
      <w:r>
        <w:t xml:space="preserve">Modina M. Credit Rating and Bank–Firm Relationships: New Models to Better Evaluate SMEs. – Basingstoke: Palgrave Macmillan, 2015. – P. 45.</w:t>
      </w:r>
    </w:p>
  </w:footnote>
  <w:footnote w:id="56">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6–7, 15.</w:t>
      </w:r>
    </w:p>
  </w:footnote>
  <w:footnote w:id="57">
    <w:p>
      <w:pPr>
        <w:pStyle w:val="FootnoteText"/>
      </w:pPr>
      <w:r>
        <w:rPr>
          <w:rStyle w:val="FootnoteReference"/>
        </w:rPr>
        <w:footnoteRef/>
      </w:r>
      <w:r>
        <w:t xml:space="preserve"> </w:t>
      </w:r>
      <w:r>
        <w:t xml:space="preserve">Tadqiqot natijasida muallif tomonidan quyidagi manbalar asosida ishlab chiqildi: Modina M. Credit Rating and Bank–Firm Relationships: New Models to Better Evaluate SMEs. – Basingstoke: Palgrave Macmillan, 2015. – P. 46–47; Tian W. Regulatory Capital Requirement in Basel III // Commercial Banking Risk Management: Regulation in the Wake of the Financial Crisis / ed. by W. Tian. – New York: Palgrave Macmillan, 2017. – P. 6–7, 15.</w:t>
      </w:r>
    </w:p>
  </w:footnote>
  <w:footnote w:id="58">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9–10.</w:t>
      </w:r>
    </w:p>
  </w:footnote>
  <w:footnote w:id="59">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20–22.</w:t>
      </w:r>
    </w:p>
  </w:footnote>
  <w:footnote w:id="60">
    <w:p>
      <w:pPr>
        <w:pStyle w:val="FootnoteText"/>
      </w:pPr>
      <w:r>
        <w:rPr>
          <w:rStyle w:val="FootnoteReference"/>
        </w:rPr>
        <w:footnoteRef/>
      </w:r>
      <w:r>
        <w:t xml:space="preserve"> </w:t>
      </w:r>
      <w:r>
        <w:t xml:space="preserve">Tadqiqot natijasida muallif tomonidan quyidagi manbalar asosida ishlab chiqildi: Tian W. Regulatory Capital Requirement in Basel III // Commercial Banking Risk Management: Regulation in the Wake of the Financial Crisis / ed. by W. Tian. – New York: Palgrave Macmillan, 2017. – P. 20–22.</w:t>
      </w:r>
    </w:p>
  </w:footnote>
  <w:footnote w:id="61">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68–70.</w:t>
      </w:r>
    </w:p>
  </w:footnote>
  <w:footnote w:id="62">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15.</w:t>
      </w:r>
    </w:p>
  </w:footnote>
  <w:footnote w:id="63">
    <w:p>
      <w:pPr>
        <w:pStyle w:val="FootnoteText"/>
      </w:pPr>
      <w:r>
        <w:rPr>
          <w:rStyle w:val="FootnoteReference"/>
        </w:rPr>
        <w:footnoteRef/>
      </w:r>
      <w:r>
        <w:t xml:space="preserve"> </w:t>
      </w:r>
      <w:r>
        <w:t xml:space="preserve">Basel Committee on Banking Supervision. Basel III: The Liquidity Coverage Ratio and liquidity risk monitoring tools. – Basel: BIS, January 2013.</w:t>
      </w:r>
    </w:p>
  </w:footnote>
  <w:footnote w:id="64">
    <w:p>
      <w:pPr>
        <w:pStyle w:val="FootnoteText"/>
      </w:pPr>
      <w:r>
        <w:rPr>
          <w:rStyle w:val="FootnoteReference"/>
        </w:rPr>
        <w:footnoteRef/>
      </w:r>
      <w:r>
        <w:t xml:space="preserve"> </w:t>
      </w:r>
      <w:r>
        <w:t xml:space="preserve">Basel Committee on Banking Supervision. Basel III: The Net Stable Funding Ratio. – Basel: BIS, October 2014.</w:t>
      </w:r>
    </w:p>
  </w:footnote>
  <w:footnote w:id="65">
    <w:p>
      <w:pPr>
        <w:pStyle w:val="FootnoteText"/>
      </w:pPr>
      <w:r>
        <w:rPr>
          <w:rStyle w:val="FootnoteReference"/>
        </w:rPr>
        <w:footnoteRef/>
      </w:r>
      <w:r>
        <w:t xml:space="preserve"> </w:t>
      </w:r>
      <w:r>
        <w:t xml:space="preserve">Tadqiqot natijasida muallif tomonidan quyidagi manbalar asosida ishlab chiqildi: Basel Committee on Banking Supervision. Basel III: The Liquidity Coverage Ratio and liquidity risk monitoring tools. – Basel: BIS, January 2013; Basel Committee on Banking Supervision. Basel III: The Net Stable Funding Ratio. – Basel: BIS, October 2014;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69, 93–94.</w:t>
      </w:r>
    </w:p>
  </w:footnote>
  <w:footnote w:id="66">
    <w:p>
      <w:pPr>
        <w:pStyle w:val="FootnoteText"/>
      </w:pPr>
      <w:r>
        <w:rPr>
          <w:rStyle w:val="FootnoteReference"/>
        </w:rPr>
        <w:footnoteRef/>
      </w:r>
      <w:r>
        <w:t xml:space="preserve"> </w:t>
      </w:r>
      <w:r>
        <w:t xml:space="preserve">Basel Committee on Banking Supervision. Basel III: Finalising post-crisis reforms. – Basel: BIS, December 2017.</w:t>
      </w:r>
    </w:p>
  </w:footnote>
  <w:footnote w:id="67">
    <w:p>
      <w:pPr>
        <w:pStyle w:val="FootnoteText"/>
      </w:pPr>
      <w:r>
        <w:rPr>
          <w:rStyle w:val="FootnoteReference"/>
        </w:rPr>
        <w:footnoteRef/>
      </w:r>
      <w:r>
        <w:t xml:space="preserve"> </w:t>
      </w:r>
      <w:r>
        <w:t xml:space="preserve">Karaliyev T.M., Sayfiddinov I.F. Tijorat banklari faoliyatini tartibga solish va nazorati: darslik. – T.: Iqtisod-Moliya, 2019. – B. 185–186.</w:t>
      </w:r>
    </w:p>
  </w:footnote>
  <w:footnote w:id="68">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59–60.</w:t>
      </w:r>
    </w:p>
  </w:footnote>
  <w:footnote w:id="69">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70">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104.</w:t>
      </w:r>
    </w:p>
  </w:footnote>
  <w:footnote w:id="71">
    <w:p>
      <w:pPr>
        <w:pStyle w:val="FootnoteText"/>
      </w:pPr>
      <w:r>
        <w:rPr>
          <w:rStyle w:val="FootnoteReference"/>
        </w:rPr>
        <w:footnoteRef/>
      </w:r>
      <w:r>
        <w:t xml:space="preserve"> </w:t>
      </w:r>
      <w:r>
        <w:t xml:space="preserve">IFRS 9 Financial Instruments. – London: International Accounting Standards Board, 2014.</w:t>
      </w:r>
    </w:p>
  </w:footnote>
  <w:footnote w:id="72">
    <w:p>
      <w:pPr>
        <w:pStyle w:val="FootnoteText"/>
      </w:pPr>
      <w:r>
        <w:rPr>
          <w:rStyle w:val="FootnoteReference"/>
        </w:rPr>
        <w:footnoteRef/>
      </w:r>
      <w:r>
        <w:t xml:space="preserve"> </w:t>
      </w:r>
      <w:r>
        <w:t xml:space="preserve">Tadqiqot natijasida muallif tomonidan quyidagi manbalar asosida ishlab chiqildi: IFRS 9 Financial Instruments. – London: International Accounting Standards Board, 2014;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 104.</w:t>
      </w:r>
    </w:p>
  </w:footnote>
  <w:footnote w:id="73">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108.</w:t>
      </w:r>
    </w:p>
  </w:footnote>
  <w:footnote w:id="74">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85–87.</w:t>
      </w:r>
    </w:p>
  </w:footnote>
  <w:footnote w:id="75">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54–55.</w:t>
      </w:r>
    </w:p>
  </w:footnote>
  <w:footnote w:id="76">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45.</w:t>
      </w:r>
    </w:p>
  </w:footnote>
  <w:footnote w:id="77">
    <w:p>
      <w:pPr>
        <w:pStyle w:val="FootnoteText"/>
      </w:pPr>
      <w:r>
        <w:rPr>
          <w:rStyle w:val="FootnoteReference"/>
        </w:rPr>
        <w:footnoteRef/>
      </w:r>
      <w:r>
        <w:t xml:space="preserve"> </w:t>
      </w:r>
      <w:r>
        <w:t xml:space="preserve">International Monetary Fund. 2019 Financial Soundness Indicators Compilation Guide. – Washington, DC: IMF, 2019.</w:t>
      </w:r>
    </w:p>
  </w:footnote>
  <w:footnote w:id="78">
    <w:p>
      <w:pPr>
        <w:pStyle w:val="FootnoteText"/>
      </w:pPr>
      <w:r>
        <w:rPr>
          <w:rStyle w:val="FootnoteReference"/>
        </w:rPr>
        <w:footnoteRef/>
      </w:r>
      <w:r>
        <w:t xml:space="preserve"> </w:t>
      </w:r>
      <w:r>
        <w:t xml:space="preserve">International Monetary Fund. 2019 Financial Soundness Indicators Compilation Guide. – Washington, DC: IMF, 2019.</w:t>
      </w:r>
    </w:p>
  </w:footnote>
  <w:footnote w:id="79">
    <w:p>
      <w:pPr>
        <w:pStyle w:val="FootnoteText"/>
      </w:pPr>
      <w:r>
        <w:rPr>
          <w:rStyle w:val="FootnoteReference"/>
        </w:rPr>
        <w:footnoteRef/>
      </w:r>
      <w:r>
        <w:t xml:space="preserve"> </w:t>
      </w:r>
      <w:r>
        <w:t xml:space="preserve">Tadqiqot natijasida muallif tomonidan ishlab chiqildi.</w:t>
      </w:r>
    </w:p>
  </w:footnote>
  <w:footnote w:id="80">
    <w:p>
      <w:pPr>
        <w:pStyle w:val="FootnoteText"/>
      </w:pPr>
      <w:r>
        <w:rPr>
          <w:rStyle w:val="FootnoteReference"/>
        </w:rPr>
        <w:footnoteRef/>
      </w:r>
      <w:r>
        <w:t xml:space="preserve"> </w:t>
      </w:r>
      <w:r>
        <w:t xml:space="preserve">Langohr H., Langohr P. The Rating Agencies and Their Credit Ratings: What They Are, How They Work and Why They Are Relevant. – Chichester: John Wiley &amp; Sons, 2008. – P. 293–294.</w:t>
      </w:r>
    </w:p>
  </w:footnote>
  <w:footnote w:id="81">
    <w:p>
      <w:pPr>
        <w:pStyle w:val="FootnoteText"/>
      </w:pPr>
      <w:r>
        <w:rPr>
          <w:rStyle w:val="FootnoteReference"/>
        </w:rPr>
        <w:footnoteRef/>
      </w:r>
      <w:r>
        <w:t xml:space="preserve"> </w:t>
      </w:r>
      <w:r>
        <w:t xml:space="preserve">Tadqiqot natijasida muallif tomonidan ishlab chiqildi.</w:t>
      </w:r>
    </w:p>
  </w:footnote>
  <w:footnote w:id="82">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 – P. 85.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Asosiy kapital (CET1)</c:v>
                </c:pt>
              </c:strCache>
            </c:strRef>
          </c:tx>
          <c:spPr>
            <a:solidFill>
              <a:srgbClr val="1F4E79"/>
            </a:solidFill>
            <a:ln w="6350">
              <a:solidFill>
                <a:srgbClr val="FFFFFF"/>
              </a:solidFill>
            </a:ln>
          </c:spPr>
          <c:invertIfNegative val="0"/>
          <c:dLbls>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Sheet1!$B$2:$B$3</c:f>
              <c:numCache>
                <c:formatCode>General</c:formatCode>
                <c:ptCount val="2"/>
                <c:pt idx="0">
                  <c:v>2</c:v>
                </c:pt>
                <c:pt idx="1">
                  <c:v>4.5</c:v>
                </c:pt>
              </c:numCache>
            </c:numRef>
          </c:val>
        </c:ser>
        <c:ser>
          <c:idx val="1"/>
          <c:order val="1"/>
          <c:tx>
            <c:strRef>
              <c:f>Sheet1!$C$1</c:f>
              <c:strCache>
                <c:ptCount val="1"/>
                <c:pt idx="0">
                  <c:v>Qo‘shimcha birinchi darajali kapital</c:v>
                </c:pt>
              </c:strCache>
            </c:strRef>
          </c:tx>
          <c:spPr>
            <a:solidFill>
              <a:srgbClr val="9DC3E6"/>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Sheet1!$C$2:$C$3</c:f>
              <c:numCache>
                <c:formatCode>General</c:formatCode>
                <c:ptCount val="2"/>
                <c:pt idx="0">
                  <c:v>2</c:v>
                </c:pt>
                <c:pt idx="1">
                  <c:v>1.5</c:v>
                </c:pt>
              </c:numCache>
            </c:numRef>
          </c:val>
        </c:ser>
        <c:ser>
          <c:idx val="2"/>
          <c:order val="2"/>
          <c:tx>
            <c:strRef>
              <c:f>Sheet1!$D$1</c:f>
              <c:strCache>
                <c:ptCount val="1"/>
                <c:pt idx="0">
                  <c:v>Ikkinchi darajali kapital</c:v>
                </c:pt>
              </c:strCache>
            </c:strRef>
          </c:tx>
          <c:spPr>
            <a:solidFill>
              <a:srgbClr val="A5A5A5"/>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Sheet1!$D$2:$D$3</c:f>
              <c:numCache>
                <c:formatCode>General</c:formatCode>
                <c:ptCount val="2"/>
                <c:pt idx="0">
                  <c:v>4</c:v>
                </c:pt>
                <c:pt idx="1">
                  <c:v>2</c:v>
                </c:pt>
              </c:numCache>
            </c:numRef>
          </c:val>
        </c:ser>
        <c:ser>
          <c:idx val="3"/>
          <c:order val="3"/>
          <c:tx>
            <c:strRef>
              <c:f>Sheet1!$E$1</c:f>
              <c:strCache>
                <c:ptCount val="1"/>
                <c:pt idx="0">
                  <c:v>Konservatsiya buferi</c:v>
                </c:pt>
              </c:strCache>
            </c:strRef>
          </c:tx>
          <c:spPr>
            <a:solidFill>
              <a:srgbClr val="EB6834"/>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Sheet1!$E$2:$E$3</c:f>
              <c:numCache>
                <c:formatCode>General</c:formatCode>
                <c:ptCount val="2"/>
                <c:pt idx="1">
                  <c:v>2.5</c:v>
                </c:pt>
              </c:numCache>
            </c:numRef>
          </c:val>
        </c:ser>
        <c:ser>
          <c:idx val="4"/>
          <c:order val="4"/>
          <c:tx>
            <c:strRef>
              <c:f>Sheet1!$F$1</c:f>
              <c:strCache>
                <c:ptCount val="1"/>
                <c:pt idx="0">
                  <c:v>Kontrsiklik bufer (0–2,5%)</c:v>
                </c:pt>
              </c:strCache>
            </c:strRef>
          </c:tx>
          <c:spPr>
            <a:solidFill>
              <a:srgbClr val="FFC000"/>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Sheet1!$F$2:$F$3</c:f>
              <c:numCache>
                <c:formatCode>General</c:formatCode>
                <c:ptCount val="2"/>
                <c:pt idx="1">
                  <c:v>2.5</c:v>
                </c:pt>
              </c:numCache>
            </c:numRef>
          </c:val>
        </c:ser>
        <c:gapWidth val="9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Taqsimlanmaydigan foyda ulushi</c:v>
                </c:pt>
              </c:strCache>
            </c:strRef>
          </c:tx>
          <c:spPr>
            <a:ln w="34925">
              <a:solidFill>
                <a:srgbClr val="2A78D6"/>
              </a:solidFill>
            </a:ln>
          </c:spPr>
          <c:marker>
            <c:symbol val="none"/>
          </c:marker>
          <c:xVal>
            <c:numRef>
              <c:f>Sheet1!$A$2:$A$11</c:f>
              <c:numCache>
                <c:formatCode>General</c:formatCode>
                <c:ptCount val="10"/>
                <c:pt idx="0">
                  <c:v>4.5</c:v>
                </c:pt>
                <c:pt idx="1">
                  <c:v>5.125</c:v>
                </c:pt>
                <c:pt idx="2">
                  <c:v>5.125</c:v>
                </c:pt>
                <c:pt idx="3">
                  <c:v>5.75</c:v>
                </c:pt>
                <c:pt idx="4">
                  <c:v>5.75</c:v>
                </c:pt>
                <c:pt idx="5">
                  <c:v>6.375</c:v>
                </c:pt>
                <c:pt idx="6">
                  <c:v>6.375</c:v>
                </c:pt>
                <c:pt idx="7">
                  <c:v>7.0</c:v>
                </c:pt>
                <c:pt idx="8">
                  <c:v>7.0</c:v>
                </c:pt>
                <c:pt idx="9">
                  <c:v>7.625</c:v>
                </c:pt>
              </c:numCache>
            </c:numRef>
          </c:xVal>
          <c:yVal>
            <c:numRef>
              <c:f>Sheet1!$B$2:$B$11</c:f>
              <c:numCache>
                <c:formatCode>General</c:formatCode>
                <c:ptCount val="10"/>
                <c:pt idx="0">
                  <c:v>100</c:v>
                </c:pt>
                <c:pt idx="1">
                  <c:v>100</c:v>
                </c:pt>
                <c:pt idx="2">
                  <c:v>80</c:v>
                </c:pt>
                <c:pt idx="3">
                  <c:v>80</c:v>
                </c:pt>
                <c:pt idx="4">
                  <c:v>60</c:v>
                </c:pt>
                <c:pt idx="5">
                  <c:v>60</c:v>
                </c:pt>
                <c:pt idx="6">
                  <c:v>40</c:v>
                </c:pt>
                <c:pt idx="7">
                  <c:v>40</c:v>
                </c:pt>
                <c:pt idx="8">
                  <c:v>0</c:v>
                </c:pt>
                <c:pt idx="9">
                  <c:v>0</c:v>
                </c:pt>
              </c:numCache>
            </c:numRef>
          </c:yVal>
          <c:smooth val="0"/>
        </c:ser>
        <c:ser>
          <c:idx val="1"/>
          <c:order val="1"/>
          <c:tx>
            <c:strRef>
              <c:f>Sheet1!$D$1</c:f>
              <c:strCache>
                <c:ptCount val="1"/>
                <c:pt idx="0">
                  <c:v>Pog‘ona chegaralari</c:v>
                </c:pt>
              </c:strCache>
            </c:strRef>
          </c:tx>
          <c:spPr>
            <a:ln>
              <a:noFill/>
            </a:ln>
          </c:spPr>
          <c:marker>
            <c:symbol val="circle"/>
            <c:size val="7"/>
            <c:spPr>
              <a:solidFill>
                <a:srgbClr val="EB6834"/>
              </a:solidFill>
              <a:ln>
                <a:noFill/>
              </a:ln>
            </c:spPr>
          </c:marker>
          <c:xVal>
            <c:numRef>
              <c:f>Sheet1!$C$2:$C$6</c:f>
              <c:numCache>
                <c:formatCode>General</c:formatCode>
                <c:ptCount val="5"/>
                <c:pt idx="0">
                  <c:v>4.5</c:v>
                </c:pt>
                <c:pt idx="1">
                  <c:v>5.125</c:v>
                </c:pt>
                <c:pt idx="2">
                  <c:v>5.75</c:v>
                </c:pt>
                <c:pt idx="3">
                  <c:v>6.375</c:v>
                </c:pt>
                <c:pt idx="4">
                  <c:v>7.0</c:v>
                </c:pt>
              </c:numCache>
            </c:numRef>
          </c:xVal>
          <c:yVal>
            <c:numRef>
              <c:f>Sheet1!$D$2:$D$6</c:f>
              <c:numCache>
                <c:formatCode>General</c:formatCode>
                <c:ptCount val="5"/>
                <c:pt idx="0">
                  <c:v>100</c:v>
                </c:pt>
                <c:pt idx="1">
                  <c:v>80</c:v>
                </c:pt>
                <c:pt idx="2">
                  <c:v>60</c:v>
                </c:pt>
                <c:pt idx="3">
                  <c:v>40</c:v>
                </c:pt>
                <c:pt idx="4">
                  <c:v>0</c:v>
                </c:pt>
              </c:numCache>
            </c:numRef>
          </c:yVal>
          <c:smooth val="0"/>
        </c:ser>
        <c:axId val="333"/>
        <c:axId val="444"/>
      </c:scatterChart>
      <c:valAx>
        <c:axId val="333"/>
        <c:scaling>
          <c:orientation val="minMax"/>
          <c:max val="7.625"/>
          <c:min val="4.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Asosiy kapital (CET1) yetarliligi, %</a:t>
                </a:r>
              </a:p>
            </c:rich>
          </c:tx>
          <c:overlay val="0"/>
        </c:title>
        <c:numFmt formatCode="0.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0.625"/>
      </c:valAx>
      <c:valAx>
        <c:axId val="444"/>
        <c:scaling>
          <c:orientation val="minMax"/>
          <c:max val="11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Taqsimlanmasdan qoldiriladigan foyda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2026-10-11T08:47:20Z</dcterms:created>
  <dcterms:modified xsi:type="dcterms:W3CDTF">2026-10-11T08:47:20Z</dcterms:modified>
</cp:coreProperties>
</file>

<file path=docProps/custom.xml><?xml version="1.0" encoding="utf-8"?>
<Properties xmlns="http://schemas.openxmlformats.org/officeDocument/2006/custom-properties" xmlns:vt="http://schemas.openxmlformats.org/officeDocument/2006/docPropsVTypes"/>
</file>