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acf6eb0da76150b1b8727c097bc04fa1f11b2d8"/>
    <w:p>
      <w:pPr>
        <w:pStyle w:val="Heading2"/>
        <w:keepNext/>
        <w:spacing w:line="360" w:lineRule="auto" w:before="240" w:after="120"/>
        <w:ind w:firstLine="0"/>
        <w:jc w:val="center"/>
      </w:pPr>
      <w:r>
        <w:rPr>
          <w:rFonts w:ascii="Times New Roman" w:hAnsi="Times New Roman" w:cs="Times New Roman" w:eastAsia="Times New Roman"/>
          <w:b/>
          <w:i w:val="0"/>
          <w:sz w:val="28"/>
        </w:rPr>
        <w:t xml:space="preserve">2.1-§. Oʻzbekistonda banklar moliyaviy barqarorligini baholashning amaldagi holati va xalqaro standartlarga moslashtirish muammolari</w:t>
      </w:r>
    </w:p>
    <w:p>
      <w:pPr>
        <w:pStyle w:val="FirstParagraph"/>
        <w:spacing w:line="360" w:lineRule="auto" w:before="0" w:after="0"/>
        <w:ind w:firstLine="709"/>
        <w:jc w:val="both"/>
      </w:pPr>
      <w:r>
        <w:rPr>
          <w:rFonts w:ascii="Times New Roman" w:hAnsi="Times New Roman" w:cs="Times New Roman" w:eastAsia="Times New Roman"/>
          <w:sz w:val="28"/>
        </w:rPr>
        <w:t xml:space="preserve">Birinchi bobda moliyaviy barqarorlikni baholashning nazariy asoslari va xalqaro standartlari ko‘rib chiqildi. Ushbu paragrafda O‘zbekistonda shu standartlar qay darajada joriy etilgani, banklar moliyaviy barqarorligini baholashning amaldagi tizimi qanday tuzilgani va uni xalqaro talablarga to‘liq moslashtirishga nimalar to‘sqinlik qilayotgani tahlil qilinadi. Tahlil Markaziy bankning me’yoriy hujjatlari va moliyaviy barqarorlik sharhlariga hamda Xalqaro valyuta jamg‘armasi va Jahon bankining 2024–2025-yillarda o‘tkazilgan moliya sektorini baholash dasturi (FSAP) materiallariga tayanadi.</w:t>
      </w:r>
    </w:p>
    <w:bookmarkStart w:id="23" w:name="X19913ebc704099758ceb5b2d73a60641195b139"/>
    <w:p>
      <w:pPr>
        <w:pStyle w:val="Heading3"/>
        <w:keepNext/>
        <w:spacing w:line="360" w:lineRule="auto" w:before="240" w:after="120"/>
        <w:ind w:firstLine="709"/>
        <w:jc w:val="both"/>
      </w:pPr>
      <w:r>
        <w:rPr>
          <w:rFonts w:ascii="Times New Roman" w:hAnsi="Times New Roman" w:cs="Times New Roman" w:eastAsia="Times New Roman"/>
          <w:b/>
          <w:i w:val="0"/>
          <w:sz w:val="28"/>
        </w:rPr>
        <w:t xml:space="preserve">1. Baholashning me’yoriy-huquqiy va institutsional asoslari</w:t>
      </w:r>
    </w:p>
    <w:p>
      <w:pPr>
        <w:pStyle w:val="FirstParagraph"/>
        <w:spacing w:line="360" w:lineRule="auto" w:before="0" w:after="0"/>
        <w:ind w:firstLine="709"/>
        <w:jc w:val="both"/>
      </w:pPr>
      <w:r>
        <w:rPr>
          <w:rFonts w:ascii="Times New Roman" w:hAnsi="Times New Roman" w:cs="Times New Roman" w:eastAsia="Times New Roman"/>
          <w:sz w:val="28"/>
        </w:rPr>
        <w:t xml:space="preserve">O‘zbekistonda banklar moliyaviy barqarorligini baholash vakolati O‘zbekiston Respublikasi Markaziy bankiga yuklangan. Baholashning huquqiy asosini «O‘zbekiston Respublikasining Markaziy banki to‘g‘risida»gi va «Banklar va bank faoliyati to‘g‘risida»gi qonunlar tashkil etadi. Ularga asoslanib Markaziy bank prudensial talablar, nazorat tartibi va baholash usullarini belgilovchi qator nizomlarni qabul qilgan. Amaldagi me’yoriy tizimning asosiy elementlari 2.1.1-rasmda keltirilgan.</w:t>
      </w:r>
    </w:p>
    <w:p>
      <w:pPr>
        <w:pStyle w:val="BodyText"/>
        <w:keepNext/>
        <w:spacing w:line="240" w:lineRule="auto" w:before="0" w:after="0"/>
        <w:ind w:firstLine="0"/>
        <w:jc w:val="center"/>
      </w:pPr>
      <w:r xmlns:mc="http://schemas.openxmlformats.org/markup-compatibility/2006" xmlns:wpg="http://schemas.microsoft.com/office/word/2010/wordprocessingGroup" xmlns:wps="http://schemas.microsoft.com/office/word/2010/wordprocessingShape">
        <w:rPr>
          <w:noProof/>
        </w:rPr>
        <mc:AlternateContent>
          <mc:Choice Requires="wpg">
            <w:drawing>
              <wp:inline distT="0" distB="0" distL="0" distR="0">
                <wp:extent cx="5904000" cy="2520000"/>
                <wp:effectExtent l="0" t="0" r="0" b="0"/>
                <wp:docPr id="1001" name="2.1.1-rasm"/>
                <wp:cNvGraphicFramePr/>
                <a:graphic>
                  <a:graphicData uri="http://schemas.microsoft.com/office/word/2010/wordprocessingGroup">
                    <wpg:wgp>
                      <wpg:cNvGrpSpPr/>
                      <wpg:grpSpPr>
                        <a:xfrm>
                          <a:off x="0" y="0"/>
                          <a:ext cx="5904000" cy="2520000"/>
                          <a:chOff x="0" y="0"/>
                          <a:chExt cx="5904000" cy="2520000"/>
                        </a:xfrm>
                      </wpg:grpSpPr>
                      <wps:wsp>
                        <wps:cNvPr id="2" name="Shape 2"/>
                        <wps:cNvSpPr/>
                        <wps:spPr>
                          <a:xfrm>
                            <a:off x="36000" y="36000"/>
                            <a:ext cx="1008000" cy="486000"/>
                          </a:xfrm>
                          <a:prstGeom prst="roundRect">
                            <a:avLst>
                              <a:gd name="adj" fmla="val 10000"/>
                            </a:avLst>
                          </a:prstGeom>
                          <a:solidFill>
                            <a:srgbClr val="1F4E79"/>
                          </a:solidFill>
                          <a:ln w="12700">
                            <a:solidFill>
                              <a:srgbClr val="1F4E79"/>
                            </a:solidFill>
                          </a:ln>
                        </wps:spPr>
                        <wps:txbx>
                          <w:txbxContent>
                            <w:p>
                              <w:pPr>
                                <w:spacing w:before="0" w:after="0" w:line="228" w:lineRule="auto"/>
                                <w:jc w:val="center"/>
                                <w:ind w:firstLine="0"/>
                              </w:pPr>
                              <w:r>
                                <w:rPr>
                                  <w:rFonts w:ascii="Times New Roman" w:hAnsi="Times New Roman" w:cs="Times New Roman"/>
                                  <w:b/>
                                  <w:color w:val="FFFFFF"/>
                                  <w:sz w:val="22"/>
                                  <w:szCs w:val="22"/>
                                </w:rPr>
                                <w:t xml:space="preserve">Qonunlar</w:t>
                              </w:r>
                            </w:p>
                          </w:txbxContent>
                        </wps:txbx>
                        <wps:bodyPr rot="0" vert="horz" wrap="square" lIns="36000" tIns="18000" rIns="36000" bIns="18000" anchor="ctr" anchorCtr="0">
                          <a:noAutofit/>
                        </wps:bodyPr>
                      </wps:wsp>
                      <wps:wsp>
                        <wps:cNvPr id="3" name="Shape 3"/>
                        <wps:cNvSpPr/>
                        <wps:spPr>
                          <a:xfrm>
                            <a:off x="1116000" y="36000"/>
                            <a:ext cx="2358000" cy="486000"/>
                          </a:xfrm>
                          <a:prstGeom prst="roundRect">
                            <a:avLst>
                              <a:gd name="adj" fmla="val 10000"/>
                            </a:avLst>
                          </a:prstGeom>
                          <a:solidFill>
                            <a:srgbClr val="F2F2F2"/>
                          </a:solidFill>
                          <a:ln w="12700">
                            <a:solidFill>
                              <a:srgbClr val="1F4E79"/>
                            </a:solidFill>
                          </a:ln>
                        </wps:spPr>
                        <wps:txbx>
                          <w:txbxContent>
                            <w:p>
                              <w:pPr>
                                <w:spacing w:before="0" w:after="0" w:line="228" w:lineRule="auto"/>
                                <w:jc w:val="center"/>
                                <w:ind w:firstLine="0"/>
                              </w:pPr>
                              <w:r>
                                <w:rPr>
                                  <w:rFonts w:ascii="Times New Roman" w:hAnsi="Times New Roman" w:cs="Times New Roman"/>
                                  <w:color w:val="000000"/>
                                  <w:sz w:val="20"/>
                                  <w:szCs w:val="20"/>
                                </w:rPr>
                                <w:t xml:space="preserve">«O‘zbekiston Respublikasining</w:t>
                              </w:r>
                            </w:p>
                            <w:p>
                              <w:pPr>
                                <w:spacing w:before="0" w:after="0" w:line="228" w:lineRule="auto"/>
                                <w:jc w:val="center"/>
                                <w:ind w:firstLine="0"/>
                              </w:pPr>
                              <w:r>
                                <w:rPr>
                                  <w:rFonts w:ascii="Times New Roman" w:hAnsi="Times New Roman" w:cs="Times New Roman"/>
                                  <w:color w:val="000000"/>
                                  <w:sz w:val="20"/>
                                  <w:szCs w:val="20"/>
                                </w:rPr>
                                <w:t xml:space="preserve">Markaziy banki to‘g‘risida»gi Qonun</w:t>
                              </w:r>
                            </w:p>
                          </w:txbxContent>
                        </wps:txbx>
                        <wps:bodyPr rot="0" vert="horz" wrap="square" lIns="36000" tIns="18000" rIns="36000" bIns="18000" anchor="ctr" anchorCtr="0">
                          <a:noAutofit/>
                        </wps:bodyPr>
                      </wps:wsp>
                      <wps:wsp>
                        <wps:cNvPr id="4" name="Shape 4"/>
                        <wps:cNvSpPr/>
                        <wps:spPr>
                          <a:xfrm>
                            <a:off x="3546000" y="36000"/>
                            <a:ext cx="2358000" cy="486000"/>
                          </a:xfrm>
                          <a:prstGeom prst="roundRect">
                            <a:avLst>
                              <a:gd name="adj" fmla="val 10000"/>
                            </a:avLst>
                          </a:prstGeom>
                          <a:solidFill>
                            <a:srgbClr val="F2F2F2"/>
                          </a:solidFill>
                          <a:ln w="12700">
                            <a:solidFill>
                              <a:srgbClr val="1F4E79"/>
                            </a:solidFill>
                          </a:ln>
                        </wps:spPr>
                        <wps:txbx>
                          <w:txbxContent>
                            <w:p>
                              <w:pPr>
                                <w:spacing w:before="0" w:after="0" w:line="228" w:lineRule="auto"/>
                                <w:jc w:val="center"/>
                                <w:ind w:firstLine="0"/>
                              </w:pPr>
                              <w:r>
                                <w:rPr>
                                  <w:rFonts w:ascii="Times New Roman" w:hAnsi="Times New Roman" w:cs="Times New Roman"/>
                                  <w:color w:val="000000"/>
                                  <w:sz w:val="20"/>
                                  <w:szCs w:val="20"/>
                                </w:rPr>
                                <w:t xml:space="preserve">«Banklar va bank faoliyati</w:t>
                              </w:r>
                            </w:p>
                            <w:p>
                              <w:pPr>
                                <w:spacing w:before="0" w:after="0" w:line="228" w:lineRule="auto"/>
                                <w:jc w:val="center"/>
                                <w:ind w:firstLine="0"/>
                              </w:pPr>
                              <w:r>
                                <w:rPr>
                                  <w:rFonts w:ascii="Times New Roman" w:hAnsi="Times New Roman" w:cs="Times New Roman"/>
                                  <w:color w:val="000000"/>
                                  <w:sz w:val="20"/>
                                  <w:szCs w:val="20"/>
                                </w:rPr>
                                <w:t xml:space="preserve">to‘g‘risida»gi Qonun</w:t>
                              </w:r>
                            </w:p>
                          </w:txbxContent>
                        </wps:txbx>
                        <wps:bodyPr rot="0" vert="horz" wrap="square" lIns="36000" tIns="18000" rIns="36000" bIns="18000" anchor="ctr" anchorCtr="0">
                          <a:noAutofit/>
                        </wps:bodyPr>
                      </wps:wsp>
                      <wps:wsp>
                        <wps:cNvPr id="5" name="Connector 5"/>
                        <wps:cNvCnPr/>
                        <wps:spPr>
                          <a:xfrm>
                            <a:off x="540000" y="522000"/>
                            <a:ext cx="0" cy="162000"/>
                          </a:xfrm>
                          <a:prstGeom prst="straightConnector1">
                            <a:avLst/>
                          </a:prstGeom>
                          <a:ln w="19050">
                            <a:solidFill>
                              <a:srgbClr val="404040"/>
                            </a:solidFill>
                            <a:tailEnd type="triangle" w="med" len="med"/>
                          </a:ln>
                        </wps:spPr>
                        <wps:bodyPr/>
                      </wps:wsp>
                      <wps:wsp>
                        <wps:cNvPr id="6" name="Shape 6"/>
                        <wps:cNvSpPr/>
                        <wps:spPr>
                          <a:xfrm>
                            <a:off x="36000" y="684000"/>
                            <a:ext cx="1008000" cy="486000"/>
                          </a:xfrm>
                          <a:prstGeom prst="roundRect">
                            <a:avLst>
                              <a:gd name="adj" fmla="val 10000"/>
                            </a:avLst>
                          </a:prstGeom>
                          <a:solidFill>
                            <a:srgbClr val="2A78D6"/>
                          </a:solidFill>
                          <a:ln w="12700">
                            <a:solidFill>
                              <a:srgbClr val="2A78D6"/>
                            </a:solidFill>
                          </a:ln>
                        </wps:spPr>
                        <wps:txbx>
                          <w:txbxContent>
                            <w:p>
                              <w:pPr>
                                <w:spacing w:before="0" w:after="0" w:line="228" w:lineRule="auto"/>
                                <w:jc w:val="center"/>
                                <w:ind w:firstLine="0"/>
                              </w:pPr>
                              <w:r>
                                <w:rPr>
                                  <w:rFonts w:ascii="Times New Roman" w:hAnsi="Times New Roman" w:cs="Times New Roman"/>
                                  <w:b/>
                                  <w:color w:val="FFFFFF"/>
                                  <w:sz w:val="22"/>
                                  <w:szCs w:val="22"/>
                                </w:rPr>
                                <w:t xml:space="preserve">Prudensial</w:t>
                              </w:r>
                            </w:p>
                            <w:p>
                              <w:pPr>
                                <w:spacing w:before="0" w:after="0" w:line="228" w:lineRule="auto"/>
                                <w:jc w:val="center"/>
                                <w:ind w:firstLine="0"/>
                              </w:pPr>
                              <w:r>
                                <w:rPr>
                                  <w:rFonts w:ascii="Times New Roman" w:hAnsi="Times New Roman" w:cs="Times New Roman"/>
                                  <w:b/>
                                  <w:color w:val="FFFFFF"/>
                                  <w:sz w:val="22"/>
                                  <w:szCs w:val="22"/>
                                </w:rPr>
                                <w:t xml:space="preserve">talablar</w:t>
                              </w:r>
                            </w:p>
                          </w:txbxContent>
                        </wps:txbx>
                        <wps:bodyPr rot="0" vert="horz" wrap="square" lIns="36000" tIns="18000" rIns="36000" bIns="18000" anchor="ctr" anchorCtr="0">
                          <a:noAutofit/>
                        </wps:bodyPr>
                      </wps:wsp>
                      <wps:wsp>
                        <wps:cNvPr id="7" name="Shape 7"/>
                        <wps:cNvSpPr/>
                        <wps:spPr>
                          <a:xfrm>
                            <a:off x="1116000" y="684000"/>
                            <a:ext cx="1548000" cy="486000"/>
                          </a:xfrm>
                          <a:prstGeom prst="roundRect">
                            <a:avLst>
                              <a:gd name="adj" fmla="val 10000"/>
                            </a:avLst>
                          </a:prstGeom>
                          <a:solidFill>
                            <a:srgbClr val="F2F2F2"/>
                          </a:solidFill>
                          <a:ln w="12700">
                            <a:solidFill>
                              <a:srgbClr val="2A78D6"/>
                            </a:solidFill>
                          </a:ln>
                        </wps:spPr>
                        <wps:txbx>
                          <w:txbxContent>
                            <w:p>
                              <w:pPr>
                                <w:spacing w:before="0" w:after="0" w:line="228" w:lineRule="auto"/>
                                <w:jc w:val="center"/>
                                <w:ind w:firstLine="0"/>
                              </w:pPr>
                              <w:r>
                                <w:rPr>
                                  <w:rFonts w:ascii="Times New Roman" w:hAnsi="Times New Roman" w:cs="Times New Roman"/>
                                  <w:color w:val="000000"/>
                                  <w:sz w:val="20"/>
                                  <w:szCs w:val="20"/>
                                </w:rPr>
                                <w:t xml:space="preserve">Kapital monandligi</w:t>
                              </w:r>
                            </w:p>
                            <w:p>
                              <w:pPr>
                                <w:spacing w:before="0" w:after="0" w:line="228" w:lineRule="auto"/>
                                <w:jc w:val="center"/>
                                <w:ind w:firstLine="0"/>
                              </w:pPr>
                              <w:r>
                                <w:rPr>
                                  <w:rFonts w:ascii="Times New Roman" w:hAnsi="Times New Roman" w:cs="Times New Roman"/>
                                  <w:color w:val="000000"/>
                                  <w:sz w:val="20"/>
                                  <w:szCs w:val="20"/>
                                </w:rPr>
                                <w:t xml:space="preserve">(№ 3697, 2025)</w:t>
                              </w:r>
                            </w:p>
                          </w:txbxContent>
                        </wps:txbx>
                        <wps:bodyPr rot="0" vert="horz" wrap="square" lIns="36000" tIns="18000" rIns="36000" bIns="18000" anchor="ctr" anchorCtr="0">
                          <a:noAutofit/>
                        </wps:bodyPr>
                      </wps:wsp>
                      <wps:wsp>
                        <wps:cNvPr id="8" name="Shape 8"/>
                        <wps:cNvSpPr/>
                        <wps:spPr>
                          <a:xfrm>
                            <a:off x="2736000" y="684000"/>
                            <a:ext cx="1548000" cy="486000"/>
                          </a:xfrm>
                          <a:prstGeom prst="roundRect">
                            <a:avLst>
                              <a:gd name="adj" fmla="val 10000"/>
                            </a:avLst>
                          </a:prstGeom>
                          <a:solidFill>
                            <a:srgbClr val="F2F2F2"/>
                          </a:solidFill>
                          <a:ln w="12700">
                            <a:solidFill>
                              <a:srgbClr val="2A78D6"/>
                            </a:solidFill>
                          </a:ln>
                        </wps:spPr>
                        <wps:txbx>
                          <w:txbxContent>
                            <w:p>
                              <w:pPr>
                                <w:spacing w:before="0" w:after="0" w:line="228" w:lineRule="auto"/>
                                <w:jc w:val="center"/>
                                <w:ind w:firstLine="0"/>
                              </w:pPr>
                              <w:r>
                                <w:rPr>
                                  <w:rFonts w:ascii="Times New Roman" w:hAnsi="Times New Roman" w:cs="Times New Roman"/>
                                  <w:color w:val="000000"/>
                                  <w:sz w:val="20"/>
                                  <w:szCs w:val="20"/>
                                </w:rPr>
                                <w:t xml:space="preserve">Likvidlik</w:t>
                              </w:r>
                            </w:p>
                            <w:p>
                              <w:pPr>
                                <w:spacing w:before="0" w:after="0" w:line="228" w:lineRule="auto"/>
                                <w:jc w:val="center"/>
                                <w:ind w:firstLine="0"/>
                              </w:pPr>
                              <w:r>
                                <w:rPr>
                                  <w:rFonts w:ascii="Times New Roman" w:hAnsi="Times New Roman" w:cs="Times New Roman"/>
                                  <w:color w:val="000000"/>
                                  <w:sz w:val="20"/>
                                  <w:szCs w:val="20"/>
                                </w:rPr>
                                <w:t xml:space="preserve">(LCR, NSFR, milliy</w:t>
                              </w:r>
                            </w:p>
                            <w:p>
                              <w:pPr>
                                <w:spacing w:before="0" w:after="0" w:line="228" w:lineRule="auto"/>
                                <w:jc w:val="center"/>
                                <w:ind w:firstLine="0"/>
                              </w:pPr>
                              <w:r>
                                <w:rPr>
                                  <w:rFonts w:ascii="Times New Roman" w:hAnsi="Times New Roman" w:cs="Times New Roman"/>
                                  <w:color w:val="000000"/>
                                  <w:sz w:val="20"/>
                                  <w:szCs w:val="20"/>
                                </w:rPr>
                                <w:t xml:space="preserve">normativlar)</w:t>
                              </w:r>
                            </w:p>
                          </w:txbxContent>
                        </wps:txbx>
                        <wps:bodyPr rot="0" vert="horz" wrap="square" lIns="36000" tIns="18000" rIns="36000" bIns="18000" anchor="ctr" anchorCtr="0">
                          <a:noAutofit/>
                        </wps:bodyPr>
                      </wps:wsp>
                      <wps:wsp>
                        <wps:cNvPr id="9" name="Shape 9"/>
                        <wps:cNvSpPr/>
                        <wps:spPr>
                          <a:xfrm>
                            <a:off x="4356000" y="684000"/>
                            <a:ext cx="1548000" cy="486000"/>
                          </a:xfrm>
                          <a:prstGeom prst="roundRect">
                            <a:avLst>
                              <a:gd name="adj" fmla="val 10000"/>
                            </a:avLst>
                          </a:prstGeom>
                          <a:solidFill>
                            <a:srgbClr val="F2F2F2"/>
                          </a:solidFill>
                          <a:ln w="12700">
                            <a:solidFill>
                              <a:srgbClr val="2A78D6"/>
                            </a:solidFill>
                          </a:ln>
                        </wps:spPr>
                        <wps:txbx>
                          <w:txbxContent>
                            <w:p>
                              <w:pPr>
                                <w:spacing w:before="0" w:after="0" w:line="228" w:lineRule="auto"/>
                                <w:jc w:val="center"/>
                                <w:ind w:firstLine="0"/>
                              </w:pPr>
                              <w:r>
                                <w:rPr>
                                  <w:rFonts w:ascii="Times New Roman" w:hAnsi="Times New Roman" w:cs="Times New Roman"/>
                                  <w:color w:val="000000"/>
                                  <w:sz w:val="20"/>
                                  <w:szCs w:val="20"/>
                                </w:rPr>
                                <w:t xml:space="preserve">Aktivlarni tasniflash</w:t>
                              </w:r>
                            </w:p>
                            <w:p>
                              <w:pPr>
                                <w:spacing w:before="0" w:after="0" w:line="228" w:lineRule="auto"/>
                                <w:jc w:val="center"/>
                                <w:ind w:firstLine="0"/>
                              </w:pPr>
                              <w:r>
                                <w:rPr>
                                  <w:rFonts w:ascii="Times New Roman" w:hAnsi="Times New Roman" w:cs="Times New Roman"/>
                                  <w:color w:val="000000"/>
                                  <w:sz w:val="20"/>
                                  <w:szCs w:val="20"/>
                                </w:rPr>
                                <w:t xml:space="preserve">va zaxiralar</w:t>
                              </w:r>
                            </w:p>
                          </w:txbxContent>
                        </wps:txbx>
                        <wps:bodyPr rot="0" vert="horz" wrap="square" lIns="36000" tIns="18000" rIns="36000" bIns="18000" anchor="ctr" anchorCtr="0">
                          <a:noAutofit/>
                        </wps:bodyPr>
                      </wps:wsp>
                      <wps:wsp>
                        <wps:cNvPr id="10" name="Connector 10"/>
                        <wps:cNvCnPr/>
                        <wps:spPr>
                          <a:xfrm>
                            <a:off x="540000" y="1170000"/>
                            <a:ext cx="0" cy="162000"/>
                          </a:xfrm>
                          <a:prstGeom prst="straightConnector1">
                            <a:avLst/>
                          </a:prstGeom>
                          <a:ln w="19050">
                            <a:solidFill>
                              <a:srgbClr val="404040"/>
                            </a:solidFill>
                            <a:tailEnd type="triangle" w="med" len="med"/>
                          </a:ln>
                        </wps:spPr>
                        <wps:bodyPr/>
                      </wps:wsp>
                      <wps:wsp>
                        <wps:cNvPr id="11" name="Shape 11"/>
                        <wps:cNvSpPr/>
                        <wps:spPr>
                          <a:xfrm>
                            <a:off x="36000" y="1332000"/>
                            <a:ext cx="1008000" cy="486000"/>
                          </a:xfrm>
                          <a:prstGeom prst="roundRect">
                            <a:avLst>
                              <a:gd name="adj" fmla="val 10000"/>
                            </a:avLst>
                          </a:prstGeom>
                          <a:solidFill>
                            <a:srgbClr val="70AD47"/>
                          </a:solidFill>
                          <a:ln w="12700">
                            <a:solidFill>
                              <a:srgbClr val="70AD47"/>
                            </a:solidFill>
                          </a:ln>
                        </wps:spPr>
                        <wps:txbx>
                          <w:txbxContent>
                            <w:p>
                              <w:pPr>
                                <w:spacing w:before="0" w:after="0" w:line="228" w:lineRule="auto"/>
                                <w:jc w:val="center"/>
                                <w:ind w:firstLine="0"/>
                              </w:pPr>
                              <w:r>
                                <w:rPr>
                                  <w:rFonts w:ascii="Times New Roman" w:hAnsi="Times New Roman" w:cs="Times New Roman"/>
                                  <w:b/>
                                  <w:color w:val="FFFFFF"/>
                                  <w:sz w:val="22"/>
                                  <w:szCs w:val="22"/>
                                </w:rPr>
                                <w:t xml:space="preserve">Ichki boshqaruv</w:t>
                              </w:r>
                            </w:p>
                            <w:p>
                              <w:pPr>
                                <w:spacing w:before="0" w:after="0" w:line="228" w:lineRule="auto"/>
                                <w:jc w:val="center"/>
                                <w:ind w:firstLine="0"/>
                              </w:pPr>
                              <w:r>
                                <w:rPr>
                                  <w:rFonts w:ascii="Times New Roman" w:hAnsi="Times New Roman" w:cs="Times New Roman"/>
                                  <w:b/>
                                  <w:color w:val="FFFFFF"/>
                                  <w:sz w:val="22"/>
                                  <w:szCs w:val="22"/>
                                </w:rPr>
                                <w:t xml:space="preserve">talablari</w:t>
                              </w:r>
                            </w:p>
                          </w:txbxContent>
                        </wps:txbx>
                        <wps:bodyPr rot="0" vert="horz" wrap="square" lIns="36000" tIns="18000" rIns="36000" bIns="18000" anchor="ctr" anchorCtr="0">
                          <a:noAutofit/>
                        </wps:bodyPr>
                      </wps:wsp>
                      <wps:wsp>
                        <wps:cNvPr id="12" name="Shape 12"/>
                        <wps:cNvSpPr/>
                        <wps:spPr>
                          <a:xfrm>
                            <a:off x="1116000" y="1332000"/>
                            <a:ext cx="1548000" cy="486000"/>
                          </a:xfrm>
                          <a:prstGeom prst="roundRect">
                            <a:avLst>
                              <a:gd name="adj" fmla="val 10000"/>
                            </a:avLst>
                          </a:prstGeom>
                          <a:solidFill>
                            <a:srgbClr val="F2F2F2"/>
                          </a:solidFill>
                          <a:ln w="12700">
                            <a:solidFill>
                              <a:srgbClr val="70AD47"/>
                            </a:solidFill>
                          </a:ln>
                        </wps:spPr>
                        <wps:txbx>
                          <w:txbxContent>
                            <w:p>
                              <w:pPr>
                                <w:spacing w:before="0" w:after="0" w:line="228" w:lineRule="auto"/>
                                <w:jc w:val="center"/>
                                <w:ind w:firstLine="0"/>
                              </w:pPr>
                              <w:r>
                                <w:rPr>
                                  <w:rFonts w:ascii="Times New Roman" w:hAnsi="Times New Roman" w:cs="Times New Roman"/>
                                  <w:color w:val="000000"/>
                                  <w:sz w:val="20"/>
                                  <w:szCs w:val="20"/>
                                </w:rPr>
                                <w:t xml:space="preserve">Korporativ boshqaruv</w:t>
                              </w:r>
                            </w:p>
                            <w:p>
                              <w:pPr>
                                <w:spacing w:before="0" w:after="0" w:line="228" w:lineRule="auto"/>
                                <w:jc w:val="center"/>
                                <w:ind w:firstLine="0"/>
                              </w:pPr>
                              <w:r>
                                <w:rPr>
                                  <w:rFonts w:ascii="Times New Roman" w:hAnsi="Times New Roman" w:cs="Times New Roman"/>
                                  <w:color w:val="000000"/>
                                  <w:sz w:val="20"/>
                                  <w:szCs w:val="20"/>
                                </w:rPr>
                                <w:t xml:space="preserve">(№ 3254, 2020)</w:t>
                              </w:r>
                            </w:p>
                          </w:txbxContent>
                        </wps:txbx>
                        <wps:bodyPr rot="0" vert="horz" wrap="square" lIns="36000" tIns="18000" rIns="36000" bIns="18000" anchor="ctr" anchorCtr="0">
                          <a:noAutofit/>
                        </wps:bodyPr>
                      </wps:wsp>
                      <wps:wsp>
                        <wps:cNvPr id="13" name="Shape 13"/>
                        <wps:cNvSpPr/>
                        <wps:spPr>
                          <a:xfrm>
                            <a:off x="2736000" y="1332000"/>
                            <a:ext cx="1548000" cy="486000"/>
                          </a:xfrm>
                          <a:prstGeom prst="roundRect">
                            <a:avLst>
                              <a:gd name="adj" fmla="val 10000"/>
                            </a:avLst>
                          </a:prstGeom>
                          <a:solidFill>
                            <a:srgbClr val="F2F2F2"/>
                          </a:solidFill>
                          <a:ln w="12700">
                            <a:solidFill>
                              <a:srgbClr val="70AD47"/>
                            </a:solidFill>
                          </a:ln>
                        </wps:spPr>
                        <wps:txbx>
                          <w:txbxContent>
                            <w:p>
                              <w:pPr>
                                <w:spacing w:before="0" w:after="0" w:line="228" w:lineRule="auto"/>
                                <w:jc w:val="center"/>
                                <w:ind w:firstLine="0"/>
                              </w:pPr>
                              <w:r>
                                <w:rPr>
                                  <w:rFonts w:ascii="Times New Roman" w:hAnsi="Times New Roman" w:cs="Times New Roman"/>
                                  <w:color w:val="000000"/>
                                  <w:sz w:val="20"/>
                                  <w:szCs w:val="20"/>
                                </w:rPr>
                                <w:t xml:space="preserve">Risklarni boshqarish</w:t>
                              </w:r>
                            </w:p>
                            <w:p>
                              <w:pPr>
                                <w:spacing w:before="0" w:after="0" w:line="228" w:lineRule="auto"/>
                                <w:jc w:val="center"/>
                                <w:ind w:firstLine="0"/>
                              </w:pPr>
                              <w:r>
                                <w:rPr>
                                  <w:rFonts w:ascii="Times New Roman" w:hAnsi="Times New Roman" w:cs="Times New Roman"/>
                                  <w:color w:val="000000"/>
                                  <w:sz w:val="20"/>
                                  <w:szCs w:val="20"/>
                                </w:rPr>
                                <w:t xml:space="preserve">tizimi (№ 3427, 2023)</w:t>
                              </w:r>
                            </w:p>
                          </w:txbxContent>
                        </wps:txbx>
                        <wps:bodyPr rot="0" vert="horz" wrap="square" lIns="36000" tIns="18000" rIns="36000" bIns="18000" anchor="ctr" anchorCtr="0">
                          <a:noAutofit/>
                        </wps:bodyPr>
                      </wps:wsp>
                      <wps:wsp>
                        <wps:cNvPr id="14" name="Shape 14"/>
                        <wps:cNvSpPr/>
                        <wps:spPr>
                          <a:xfrm>
                            <a:off x="4356000" y="1332000"/>
                            <a:ext cx="1548000" cy="486000"/>
                          </a:xfrm>
                          <a:prstGeom prst="roundRect">
                            <a:avLst>
                              <a:gd name="adj" fmla="val 10000"/>
                            </a:avLst>
                          </a:prstGeom>
                          <a:solidFill>
                            <a:srgbClr val="F2F2F2"/>
                          </a:solidFill>
                          <a:ln w="12700">
                            <a:solidFill>
                              <a:srgbClr val="70AD47"/>
                            </a:solidFill>
                          </a:ln>
                        </wps:spPr>
                        <wps:txbx>
                          <w:txbxContent>
                            <w:p>
                              <w:pPr>
                                <w:spacing w:before="0" w:after="0" w:line="228" w:lineRule="auto"/>
                                <w:jc w:val="center"/>
                                <w:ind w:firstLine="0"/>
                              </w:pPr>
                              <w:r>
                                <w:rPr>
                                  <w:rFonts w:ascii="Times New Roman" w:hAnsi="Times New Roman" w:cs="Times New Roman"/>
                                  <w:color w:val="000000"/>
                                  <w:sz w:val="20"/>
                                  <w:szCs w:val="20"/>
                                </w:rPr>
                                <w:t xml:space="preserve">Ichki audit</w:t>
                              </w:r>
                            </w:p>
                            <w:p>
                              <w:pPr>
                                <w:spacing w:before="0" w:after="0" w:line="228" w:lineRule="auto"/>
                                <w:jc w:val="center"/>
                                <w:ind w:firstLine="0"/>
                              </w:pPr>
                              <w:r>
                                <w:rPr>
                                  <w:rFonts w:ascii="Times New Roman" w:hAnsi="Times New Roman" w:cs="Times New Roman"/>
                                  <w:color w:val="000000"/>
                                  <w:sz w:val="20"/>
                                  <w:szCs w:val="20"/>
                                </w:rPr>
                                <w:t xml:space="preserve">(№ 3302, 2021)</w:t>
                              </w:r>
                            </w:p>
                          </w:txbxContent>
                        </wps:txbx>
                        <wps:bodyPr rot="0" vert="horz" wrap="square" lIns="36000" tIns="18000" rIns="36000" bIns="18000" anchor="ctr" anchorCtr="0">
                          <a:noAutofit/>
                        </wps:bodyPr>
                      </wps:wsp>
                      <wps:wsp>
                        <wps:cNvPr id="15" name="Connector 15"/>
                        <wps:cNvCnPr/>
                        <wps:spPr>
                          <a:xfrm>
                            <a:off x="540000" y="1818000"/>
                            <a:ext cx="0" cy="162000"/>
                          </a:xfrm>
                          <a:prstGeom prst="straightConnector1">
                            <a:avLst/>
                          </a:prstGeom>
                          <a:ln w="19050">
                            <a:solidFill>
                              <a:srgbClr val="404040"/>
                            </a:solidFill>
                            <a:tailEnd type="triangle" w="med" len="med"/>
                          </a:ln>
                        </wps:spPr>
                        <wps:bodyPr/>
                      </wps:wsp>
                      <wps:wsp>
                        <wps:cNvPr id="16" name="Shape 16"/>
                        <wps:cNvSpPr/>
                        <wps:spPr>
                          <a:xfrm>
                            <a:off x="36000" y="1980000"/>
                            <a:ext cx="1008000" cy="486000"/>
                          </a:xfrm>
                          <a:prstGeom prst="roundRect">
                            <a:avLst>
                              <a:gd name="adj" fmla="val 10000"/>
                            </a:avLst>
                          </a:prstGeom>
                          <a:solidFill>
                            <a:srgbClr val="EB6834"/>
                          </a:solidFill>
                          <a:ln w="12700">
                            <a:solidFill>
                              <a:srgbClr val="EB6834"/>
                            </a:solidFill>
                          </a:ln>
                        </wps:spPr>
                        <wps:txbx>
                          <w:txbxContent>
                            <w:p>
                              <w:pPr>
                                <w:spacing w:before="0" w:after="0" w:line="228" w:lineRule="auto"/>
                                <w:jc w:val="center"/>
                                <w:ind w:firstLine="0"/>
                              </w:pPr>
                              <w:r>
                                <w:rPr>
                                  <w:rFonts w:ascii="Times New Roman" w:hAnsi="Times New Roman" w:cs="Times New Roman"/>
                                  <w:b/>
                                  <w:color w:val="FFFFFF"/>
                                  <w:sz w:val="22"/>
                                  <w:szCs w:val="22"/>
                                </w:rPr>
                                <w:t xml:space="preserve">Nazorat</w:t>
                              </w:r>
                            </w:p>
                            <w:p>
                              <w:pPr>
                                <w:spacing w:before="0" w:after="0" w:line="228" w:lineRule="auto"/>
                                <w:jc w:val="center"/>
                                <w:ind w:firstLine="0"/>
                              </w:pPr>
                              <w:r>
                                <w:rPr>
                                  <w:rFonts w:ascii="Times New Roman" w:hAnsi="Times New Roman" w:cs="Times New Roman"/>
                                  <w:b/>
                                  <w:color w:val="FFFFFF"/>
                                  <w:sz w:val="22"/>
                                  <w:szCs w:val="22"/>
                                </w:rPr>
                                <w:t xml:space="preserve">jarayonlari</w:t>
                              </w:r>
                            </w:p>
                          </w:txbxContent>
                        </wps:txbx>
                        <wps:bodyPr rot="0" vert="horz" wrap="square" lIns="36000" tIns="18000" rIns="36000" bIns="18000" anchor="ctr" anchorCtr="0">
                          <a:noAutofit/>
                        </wps:bodyPr>
                      </wps:wsp>
                      <wps:wsp>
                        <wps:cNvPr id="17" name="Shape 17"/>
                        <wps:cNvSpPr/>
                        <wps:spPr>
                          <a:xfrm>
                            <a:off x="1116000" y="1980000"/>
                            <a:ext cx="1143000" cy="486000"/>
                          </a:xfrm>
                          <a:prstGeom prst="roundRect">
                            <a:avLst>
                              <a:gd name="adj" fmla="val 10000"/>
                            </a:avLst>
                          </a:prstGeom>
                          <a:solidFill>
                            <a:srgbClr val="F2F2F2"/>
                          </a:solidFill>
                          <a:ln w="12700">
                            <a:solidFill>
                              <a:srgbClr val="EB6834"/>
                            </a:solidFill>
                          </a:ln>
                        </wps:spPr>
                        <wps:txbx>
                          <w:txbxContent>
                            <w:p>
                              <w:pPr>
                                <w:spacing w:before="0" w:after="0" w:line="228" w:lineRule="auto"/>
                                <w:jc w:val="center"/>
                                <w:ind w:firstLine="0"/>
                              </w:pPr>
                              <w:r>
                                <w:rPr>
                                  <w:rFonts w:ascii="Times New Roman" w:hAnsi="Times New Roman" w:cs="Times New Roman"/>
                                  <w:color w:val="000000"/>
                                  <w:sz w:val="20"/>
                                  <w:szCs w:val="20"/>
                                </w:rPr>
                                <w:t xml:space="preserve">Risklarga asoslangan</w:t>
                              </w:r>
                            </w:p>
                            <w:p>
                              <w:pPr>
                                <w:spacing w:before="0" w:after="0" w:line="228" w:lineRule="auto"/>
                                <w:jc w:val="center"/>
                                <w:ind w:firstLine="0"/>
                              </w:pPr>
                              <w:r>
                                <w:rPr>
                                  <w:rFonts w:ascii="Times New Roman" w:hAnsi="Times New Roman" w:cs="Times New Roman"/>
                                  <w:color w:val="000000"/>
                                  <w:sz w:val="20"/>
                                  <w:szCs w:val="20"/>
                                </w:rPr>
                                <w:t xml:space="preserve">nazorat (42/29, 2023)</w:t>
                              </w:r>
                            </w:p>
                          </w:txbxContent>
                        </wps:txbx>
                        <wps:bodyPr rot="0" vert="horz" wrap="square" lIns="36000" tIns="18000" rIns="36000" bIns="18000" anchor="ctr" anchorCtr="0">
                          <a:noAutofit/>
                        </wps:bodyPr>
                      </wps:wsp>
                      <wps:wsp>
                        <wps:cNvPr id="18" name="Shape 18"/>
                        <wps:cNvSpPr/>
                        <wps:spPr>
                          <a:xfrm>
                            <a:off x="2331000" y="1980000"/>
                            <a:ext cx="1143000" cy="486000"/>
                          </a:xfrm>
                          <a:prstGeom prst="roundRect">
                            <a:avLst>
                              <a:gd name="adj" fmla="val 10000"/>
                            </a:avLst>
                          </a:prstGeom>
                          <a:solidFill>
                            <a:srgbClr val="F2F2F2"/>
                          </a:solidFill>
                          <a:ln w="12700">
                            <a:solidFill>
                              <a:srgbClr val="EB6834"/>
                            </a:solidFill>
                          </a:ln>
                        </wps:spPr>
                        <wps:txbx>
                          <w:txbxContent>
                            <w:p>
                              <w:pPr>
                                <w:spacing w:before="0" w:after="0" w:line="228" w:lineRule="auto"/>
                                <w:jc w:val="center"/>
                                <w:ind w:firstLine="0"/>
                              </w:pPr>
                              <w:r>
                                <w:rPr>
                                  <w:rFonts w:ascii="Times New Roman" w:hAnsi="Times New Roman" w:cs="Times New Roman"/>
                                  <w:color w:val="000000"/>
                                  <w:sz w:val="20"/>
                                  <w:szCs w:val="20"/>
                                </w:rPr>
                                <w:t xml:space="preserve">Asoslangan mulohaza</w:t>
                              </w:r>
                            </w:p>
                            <w:p>
                              <w:pPr>
                                <w:spacing w:before="0" w:after="0" w:line="228" w:lineRule="auto"/>
                                <w:jc w:val="center"/>
                                <w:ind w:firstLine="0"/>
                              </w:pPr>
                              <w:r>
                                <w:rPr>
                                  <w:rFonts w:ascii="Times New Roman" w:hAnsi="Times New Roman" w:cs="Times New Roman"/>
                                  <w:color w:val="000000"/>
                                  <w:sz w:val="20"/>
                                  <w:szCs w:val="20"/>
                                </w:rPr>
                                <w:t xml:space="preserve">(34/3, 2023)</w:t>
                              </w:r>
                            </w:p>
                          </w:txbxContent>
                        </wps:txbx>
                        <wps:bodyPr rot="0" vert="horz" wrap="square" lIns="36000" tIns="18000" rIns="36000" bIns="18000" anchor="ctr" anchorCtr="0">
                          <a:noAutofit/>
                        </wps:bodyPr>
                      </wps:wsp>
                      <wps:wsp>
                        <wps:cNvPr id="19" name="Shape 19"/>
                        <wps:cNvSpPr/>
                        <wps:spPr>
                          <a:xfrm>
                            <a:off x="3546000" y="1980000"/>
                            <a:ext cx="1143000" cy="486000"/>
                          </a:xfrm>
                          <a:prstGeom prst="roundRect">
                            <a:avLst>
                              <a:gd name="adj" fmla="val 10000"/>
                            </a:avLst>
                          </a:prstGeom>
                          <a:solidFill>
                            <a:srgbClr val="F2F2F2"/>
                          </a:solidFill>
                          <a:ln w="12700">
                            <a:solidFill>
                              <a:srgbClr val="EB6834"/>
                            </a:solidFill>
                          </a:ln>
                        </wps:spPr>
                        <wps:txbx>
                          <w:txbxContent>
                            <w:p>
                              <w:pPr>
                                <w:spacing w:before="0" w:after="0" w:line="228" w:lineRule="auto"/>
                                <w:jc w:val="center"/>
                                <w:ind w:firstLine="0"/>
                              </w:pPr>
                              <w:r>
                                <w:rPr>
                                  <w:rFonts w:ascii="Times New Roman" w:hAnsi="Times New Roman" w:cs="Times New Roman"/>
                                  <w:color w:val="000000"/>
                                  <w:sz w:val="20"/>
                                  <w:szCs w:val="20"/>
                                </w:rPr>
                                <w:t xml:space="preserve">Tizimli banklar</w:t>
                              </w:r>
                            </w:p>
                            <w:p>
                              <w:pPr>
                                <w:spacing w:before="0" w:after="0" w:line="228" w:lineRule="auto"/>
                                <w:jc w:val="center"/>
                                <w:ind w:firstLine="0"/>
                              </w:pPr>
                              <w:r>
                                <w:rPr>
                                  <w:rFonts w:ascii="Times New Roman" w:hAnsi="Times New Roman" w:cs="Times New Roman"/>
                                  <w:color w:val="000000"/>
                                  <w:sz w:val="20"/>
                                  <w:szCs w:val="20"/>
                                </w:rPr>
                                <w:t xml:space="preserve">(4/13, 2023)</w:t>
                              </w:r>
                            </w:p>
                          </w:txbxContent>
                        </wps:txbx>
                        <wps:bodyPr rot="0" vert="horz" wrap="square" lIns="36000" tIns="18000" rIns="36000" bIns="18000" anchor="ctr" anchorCtr="0">
                          <a:noAutofit/>
                        </wps:bodyPr>
                      </wps:wsp>
                      <wps:wsp>
                        <wps:cNvPr id="20" name="Shape 20"/>
                        <wps:cNvSpPr/>
                        <wps:spPr>
                          <a:xfrm>
                            <a:off x="4761000" y="1980000"/>
                            <a:ext cx="1143000" cy="486000"/>
                          </a:xfrm>
                          <a:prstGeom prst="roundRect">
                            <a:avLst>
                              <a:gd name="adj" fmla="val 10000"/>
                            </a:avLst>
                          </a:prstGeom>
                          <a:solidFill>
                            <a:srgbClr val="F2F2F2"/>
                          </a:solidFill>
                          <a:ln w="12700">
                            <a:solidFill>
                              <a:srgbClr val="EB6834"/>
                            </a:solidFill>
                          </a:ln>
                        </wps:spPr>
                        <wps:txbx>
                          <w:txbxContent>
                            <w:p>
                              <w:pPr>
                                <w:spacing w:before="0" w:after="0" w:line="228" w:lineRule="auto"/>
                                <w:jc w:val="center"/>
                                <w:ind w:firstLine="0"/>
                              </w:pPr>
                              <w:r>
                                <w:rPr>
                                  <w:rFonts w:ascii="Times New Roman" w:hAnsi="Times New Roman" w:cs="Times New Roman"/>
                                  <w:color w:val="000000"/>
                                  <w:sz w:val="20"/>
                                  <w:szCs w:val="20"/>
                                </w:rPr>
                                <w:t xml:space="preserve">Kontrsiklik</w:t>
                              </w:r>
                            </w:p>
                            <w:p>
                              <w:pPr>
                                <w:spacing w:before="0" w:after="0" w:line="228" w:lineRule="auto"/>
                                <w:jc w:val="center"/>
                                <w:ind w:firstLine="0"/>
                              </w:pPr>
                              <w:r>
                                <w:rPr>
                                  <w:rFonts w:ascii="Times New Roman" w:hAnsi="Times New Roman" w:cs="Times New Roman"/>
                                  <w:color w:val="000000"/>
                                  <w:sz w:val="20"/>
                                  <w:szCs w:val="20"/>
                                </w:rPr>
                                <w:t xml:space="preserve">bufer (2026)</w:t>
                              </w:r>
                            </w:p>
                          </w:txbxContent>
                        </wps:txbx>
                        <wps:bodyPr rot="0" vert="horz" wrap="square" lIns="36000" tIns="18000" rIns="36000" bIns="18000" anchor="ctr" anchorCtr="0">
                          <a:noAutofit/>
                        </wps:bodyPr>
                      </wps:wsp>
                    </wpg:wgp>
                  </a:graphicData>
                </a:graphic>
              </wp:inline>
            </w:drawing>
          </mc:Choice>
          <mc:Fallback/>
        </mc:AlternateContent>
      </w:r>
    </w:p>
    <w:p>
      <w:pPr>
        <w:pStyle w:val="BodyText"/>
        <w:spacing w:line="240" w:lineRule="auto" w:before="120" w:after="240"/>
        <w:ind w:firstLine="0"/>
        <w:jc w:val="center"/>
      </w:pPr>
      <w:r>
        <w:rPr>
          <w:rFonts w:ascii="Times New Roman" w:hAnsi="Times New Roman" w:cs="Times New Roman" w:eastAsia="Times New Roman"/>
          <w:b/>
          <w:sz w:val="28"/>
        </w:rPr>
        <w:t xml:space="preserve">2.1.1-rasm. O‘zbekistonda banklar moliyaviy barqarorligini baholashning me’yoriy-huquqiy asoslari</w:t>
      </w:r>
      <w:r>
        <w:rPr>
          <w:rStyle w:val="FootnoteReference"/>
        </w:rPr>
        <w:footnoteReference w:id="20"/>
      </w:r>
    </w:p>
    <w:p>
      <w:pPr>
        <w:pStyle w:val="BodyText"/>
        <w:spacing w:line="360" w:lineRule="auto" w:before="0" w:after="0"/>
        <w:ind w:firstLine="709"/>
        <w:jc w:val="both"/>
      </w:pPr>
      <w:r>
        <w:rPr>
          <w:rFonts w:ascii="Times New Roman" w:hAnsi="Times New Roman" w:cs="Times New Roman" w:eastAsia="Times New Roman"/>
          <w:sz w:val="28"/>
        </w:rPr>
        <w:t xml:space="preserve">Rasmdan ko‘rinadiki, me’yoriy tizim to‘rt darajadan iborat. Birinchi daraja – qonunlar. Ikkinchi daraja – prudensial talablar: kapital monandligi, likvidlik, aktivlarni tasniflash va zaxiralar to‘g‘risidagi nizomlar. Uchinchi daraja – bank ichki boshqaruviga qo‘yiladigan talablar: korporativ boshqaruv (2020-yil 30-iyundagi 3254-son), risklarni boshqarish tizimi (2023-yil 18-apreldagi 3427-son) va ichki audit (2021-yil 7-maydagi 3302-son) to‘g‘risidagi nizomlar. To‘rtinchi daraja – Markaziy bankning nazorat jarayonlarini tartibga soluvchi hujjatlar: risklarga asoslangan nazorat bo‘yicha qo‘llanma (2023-yil 23-dekabrdagi 42/29-son qaror), Markaziy bankning asoslangan mulohazasini shakllantirish tartibi (2023-yil 23-sentabrdagi 34/3-son qaror) va tizimli ahamiyatga molik banklarni aniqlash tartibi (2023-yil 18-fevraldagi 4/13-son qaror)</w:t>
      </w:r>
      <w:r>
        <w:rPr>
          <w:rStyle w:val="FootnoteReference"/>
        </w:rPr>
        <w:footnoteReference w:id="21"/>
      </w:r>
      <w:r>
        <w:rPr>
          <w:rFonts w:ascii="Times New Roman" w:hAnsi="Times New Roman" w:cs="Times New Roman" w:eastAsia="Times New Roman"/>
          <w:sz w:val="28"/>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Me’yoriy bazaning eng muhim yangilanishi 2025-yilda yuz berdi. Markaziy bank Boshqaruvining 2025-yil 2-oktabrdagi 21/6-son qarori bilan «Banklar kapitalining monandligiga qo‘yiladigan talablar to‘g‘risida»gi yangi nizom tasdiqlandi (ro‘yxat raqami 3697) va 2015-yildan beri amal qilib kelgan 2693-son nizom 2026-yil 1-yanvardan o‘z kuchini yo‘qotdi</w:t>
      </w:r>
      <w:r>
        <w:rPr>
          <w:rStyle w:val="FootnoteReference"/>
        </w:rPr>
        <w:footnoteReference w:id="22"/>
      </w:r>
      <w:r>
        <w:rPr>
          <w:rFonts w:ascii="Times New Roman" w:hAnsi="Times New Roman" w:cs="Times New Roman" w:eastAsia="Times New Roman"/>
          <w:sz w:val="28"/>
        </w:rPr>
        <w:t xml:space="preserve">. Shu bilan Bazel III ning makroprudensial elementlari – kapital buferlari ham joriy etildi.</w:t>
      </w:r>
    </w:p>
    <w:bookmarkEnd w:id="23"/>
    <w:bookmarkStart w:id="33" w:name="amaldagi-baholash-tizimining-tarkibi"/>
    <w:p>
      <w:pPr>
        <w:pStyle w:val="Heading3"/>
        <w:keepNext/>
        <w:spacing w:line="360" w:lineRule="auto" w:before="240" w:after="120"/>
        <w:ind w:firstLine="709"/>
        <w:jc w:val="both"/>
      </w:pPr>
      <w:r>
        <w:rPr>
          <w:rFonts w:ascii="Times New Roman" w:hAnsi="Times New Roman" w:cs="Times New Roman" w:eastAsia="Times New Roman"/>
          <w:b/>
          <w:i w:val="0"/>
          <w:sz w:val="28"/>
        </w:rPr>
        <w:t xml:space="preserve">2. Amaldagi baholash tizimining tarkibi</w:t>
      </w:r>
    </w:p>
    <w:p>
      <w:pPr>
        <w:pStyle w:val="FirstParagraph"/>
        <w:spacing w:line="360" w:lineRule="auto" w:before="0" w:after="0"/>
        <w:ind w:firstLine="709"/>
        <w:jc w:val="both"/>
      </w:pPr>
      <w:r>
        <w:rPr>
          <w:rFonts w:ascii="Times New Roman" w:hAnsi="Times New Roman" w:cs="Times New Roman" w:eastAsia="Times New Roman"/>
          <w:sz w:val="28"/>
        </w:rPr>
        <w:t xml:space="preserve">O‘zbekistonda banklar moliyaviy barqarorligini baholash bugungi kunda uch darajada amalga oshiriladi: prudensial normativlarga rioya etilishini nazorat qilish, alohida banklar risk profilini baholash va bank tizimi barqarorligini makroprudensial monitoring qilish (2.1.2-rasm).</w:t>
      </w:r>
    </w:p>
    <w:p>
      <w:pPr>
        <w:pStyle w:val="BodyText"/>
        <w:keepNext/>
        <w:spacing w:line="240" w:lineRule="auto" w:before="0" w:after="0"/>
        <w:ind w:firstLine="0"/>
        <w:jc w:val="center"/>
      </w:pPr>
      <w:r xmlns:mc="http://schemas.openxmlformats.org/markup-compatibility/2006" xmlns:wpg="http://schemas.microsoft.com/office/word/2010/wordprocessingGroup" xmlns:wps="http://schemas.microsoft.com/office/word/2010/wordprocessingShape">
        <w:rPr>
          <w:noProof/>
        </w:rPr>
        <mc:AlternateContent>
          <mc:Choice Requires="wpg">
            <w:drawing>
              <wp:inline distT="0" distB="0" distL="0" distR="0">
                <wp:extent cx="5904000" cy="2628000"/>
                <wp:effectExtent l="0" t="0" r="0" b="0"/>
                <wp:docPr id="1002" name="2.1.2-rasm"/>
                <wp:cNvGraphicFramePr/>
                <a:graphic>
                  <a:graphicData uri="http://schemas.microsoft.com/office/word/2010/wordprocessingGroup">
                    <wpg:wgp>
                      <wpg:cNvGrpSpPr/>
                      <wpg:grpSpPr>
                        <a:xfrm>
                          <a:off x="0" y="0"/>
                          <a:ext cx="5904000" cy="2628000"/>
                          <a:chOff x="0" y="0"/>
                          <a:chExt cx="5904000" cy="2628000"/>
                        </a:xfrm>
                      </wpg:grpSpPr>
                      <wps:wsp>
                        <wps:cNvPr id="21" name="Shape 21"/>
                        <wps:cNvSpPr/>
                        <wps:spPr>
                          <a:xfrm>
                            <a:off x="2052000" y="36000"/>
                            <a:ext cx="1800000" cy="324000"/>
                          </a:xfrm>
                          <a:prstGeom prst="roundRect">
                            <a:avLst>
                              <a:gd name="adj" fmla="val 10000"/>
                            </a:avLst>
                          </a:prstGeom>
                          <a:solidFill>
                            <a:srgbClr val="1F4E79"/>
                          </a:solidFill>
                          <a:ln w="12700">
                            <a:solidFill>
                              <a:srgbClr val="1F4E79"/>
                            </a:solidFill>
                          </a:ln>
                        </wps:spPr>
                        <wps:txbx>
                          <w:txbxContent>
                            <w:p>
                              <w:pPr>
                                <w:spacing w:before="0" w:after="0" w:line="228" w:lineRule="auto"/>
                                <w:jc w:val="center"/>
                                <w:ind w:firstLine="0"/>
                              </w:pPr>
                              <w:r>
                                <w:rPr>
                                  <w:rFonts w:ascii="Times New Roman" w:hAnsi="Times New Roman" w:cs="Times New Roman"/>
                                  <w:b/>
                                  <w:color w:val="FFFFFF"/>
                                  <w:sz w:val="22"/>
                                  <w:szCs w:val="22"/>
                                </w:rPr>
                                <w:t xml:space="preserve">O‘zbekiston Respublikasi</w:t>
                              </w:r>
                            </w:p>
                            <w:p>
                              <w:pPr>
                                <w:spacing w:before="0" w:after="0" w:line="228" w:lineRule="auto"/>
                                <w:jc w:val="center"/>
                                <w:ind w:firstLine="0"/>
                              </w:pPr>
                              <w:r>
                                <w:rPr>
                                  <w:rFonts w:ascii="Times New Roman" w:hAnsi="Times New Roman" w:cs="Times New Roman"/>
                                  <w:b/>
                                  <w:color w:val="FFFFFF"/>
                                  <w:sz w:val="22"/>
                                  <w:szCs w:val="22"/>
                                </w:rPr>
                                <w:t xml:space="preserve">Markaziy banki</w:t>
                              </w:r>
                            </w:p>
                          </w:txbxContent>
                        </wps:txbx>
                        <wps:bodyPr rot="0" vert="horz" wrap="square" lIns="36000" tIns="18000" rIns="36000" bIns="18000" anchor="ctr" anchorCtr="0">
                          <a:noAutofit/>
                        </wps:bodyPr>
                      </wps:wsp>
                      <wps:wsp>
                        <wps:cNvPr id="22" name="Connector 22"/>
                        <wps:cNvCnPr/>
                        <wps:spPr>
                          <a:xfrm flipH="1">
                            <a:off x="954000" y="360000"/>
                            <a:ext cx="1998000" cy="216000"/>
                          </a:xfrm>
                          <a:prstGeom prst="straightConnector1">
                            <a:avLst/>
                          </a:prstGeom>
                          <a:ln w="15875">
                            <a:solidFill>
                              <a:srgbClr val="404040"/>
                            </a:solidFill>
                            <a:tailEnd type="triangle" w="med" len="med"/>
                          </a:ln>
                        </wps:spPr>
                        <wps:bodyPr/>
                      </wps:wsp>
                      <wps:wsp>
                        <wps:cNvPr id="23" name="Shape 23"/>
                        <wps:cNvSpPr/>
                        <wps:spPr>
                          <a:xfrm>
                            <a:off x="36000" y="576000"/>
                            <a:ext cx="1836000" cy="360000"/>
                          </a:xfrm>
                          <a:prstGeom prst="roundRect">
                            <a:avLst>
                              <a:gd name="adj" fmla="val 10000"/>
                            </a:avLst>
                          </a:prstGeom>
                          <a:solidFill>
                            <a:srgbClr val="2A78D6"/>
                          </a:solidFill>
                          <a:ln w="12700">
                            <a:solidFill>
                              <a:srgbClr val="2A78D6"/>
                            </a:solidFill>
                          </a:ln>
                        </wps:spPr>
                        <wps:txbx>
                          <w:txbxContent>
                            <w:p>
                              <w:pPr>
                                <w:spacing w:before="0" w:after="0" w:line="228" w:lineRule="auto"/>
                                <w:jc w:val="center"/>
                                <w:ind w:firstLine="0"/>
                              </w:pPr>
                              <w:r>
                                <w:rPr>
                                  <w:rFonts w:ascii="Times New Roman" w:hAnsi="Times New Roman" w:cs="Times New Roman"/>
                                  <w:b/>
                                  <w:color w:val="FFFFFF"/>
                                  <w:sz w:val="22"/>
                                  <w:szCs w:val="22"/>
                                </w:rPr>
                                <w:t xml:space="preserve">Prudensial normativlar</w:t>
                              </w:r>
                            </w:p>
                          </w:txbxContent>
                        </wps:txbx>
                        <wps:bodyPr rot="0" vert="horz" wrap="square" lIns="36000" tIns="18000" rIns="36000" bIns="18000" anchor="ctr" anchorCtr="0">
                          <a:noAutofit/>
                        </wps:bodyPr>
                      </wps:wsp>
                      <wps:wsp>
                        <wps:cNvPr id="24" name="Shape 24"/>
                        <wps:cNvSpPr/>
                        <wps:spPr>
                          <a:xfrm>
                            <a:off x="36000" y="990000"/>
                            <a:ext cx="1836000" cy="936000"/>
                          </a:xfrm>
                          <a:prstGeom prst="roundRect">
                            <a:avLst>
                              <a:gd name="adj" fmla="val 10000"/>
                            </a:avLst>
                          </a:prstGeom>
                          <a:solidFill>
                            <a:srgbClr val="F2F2F2"/>
                          </a:solidFill>
                          <a:ln w="12700">
                            <a:solidFill>
                              <a:srgbClr val="2A78D6"/>
                            </a:solidFill>
                          </a:ln>
                        </wps:spPr>
                        <wps:txbx>
                          <w:txbxContent>
                            <w:p>
                              <w:pPr>
                                <w:spacing w:before="0" w:after="0" w:line="228" w:lineRule="auto"/>
                                <w:jc w:val="center"/>
                                <w:ind w:firstLine="0"/>
                              </w:pPr>
                              <w:r>
                                <w:rPr>
                                  <w:rFonts w:ascii="Times New Roman" w:hAnsi="Times New Roman" w:cs="Times New Roman"/>
                                  <w:color w:val="000000"/>
                                  <w:sz w:val="20"/>
                                  <w:szCs w:val="20"/>
                                </w:rPr>
                                <w:t xml:space="preserve">Kapital monandligi;</w:t>
                              </w:r>
                            </w:p>
                            <w:p>
                              <w:pPr>
                                <w:spacing w:before="0" w:after="0" w:line="228" w:lineRule="auto"/>
                                <w:jc w:val="center"/>
                                <w:ind w:firstLine="0"/>
                              </w:pPr>
                              <w:r>
                                <w:rPr>
                                  <w:rFonts w:ascii="Times New Roman" w:hAnsi="Times New Roman" w:cs="Times New Roman"/>
                                  <w:color w:val="000000"/>
                                  <w:sz w:val="20"/>
                                  <w:szCs w:val="20"/>
                                </w:rPr>
                                <w:t xml:space="preserve">leverej;</w:t>
                              </w:r>
                            </w:p>
                            <w:p>
                              <w:pPr>
                                <w:spacing w:before="0" w:after="0" w:line="228" w:lineRule="auto"/>
                                <w:jc w:val="center"/>
                                <w:ind w:firstLine="0"/>
                              </w:pPr>
                              <w:r>
                                <w:rPr>
                                  <w:rFonts w:ascii="Times New Roman" w:hAnsi="Times New Roman" w:cs="Times New Roman"/>
                                  <w:color w:val="000000"/>
                                  <w:sz w:val="20"/>
                                  <w:szCs w:val="20"/>
                                </w:rPr>
                                <w:t xml:space="preserve">LCR, NSFR va milliy</w:t>
                              </w:r>
                            </w:p>
                            <w:p>
                              <w:pPr>
                                <w:spacing w:before="0" w:after="0" w:line="228" w:lineRule="auto"/>
                                <w:jc w:val="center"/>
                                <w:ind w:firstLine="0"/>
                              </w:pPr>
                              <w:r>
                                <w:rPr>
                                  <w:rFonts w:ascii="Times New Roman" w:hAnsi="Times New Roman" w:cs="Times New Roman"/>
                                  <w:color w:val="000000"/>
                                  <w:sz w:val="20"/>
                                  <w:szCs w:val="20"/>
                                </w:rPr>
                                <w:t xml:space="preserve">likvidlik normativlari;</w:t>
                              </w:r>
                            </w:p>
                            <w:p>
                              <w:pPr>
                                <w:spacing w:before="0" w:after="0" w:line="228" w:lineRule="auto"/>
                                <w:jc w:val="center"/>
                                <w:ind w:firstLine="0"/>
                              </w:pPr>
                              <w:r>
                                <w:rPr>
                                  <w:rFonts w:ascii="Times New Roman" w:hAnsi="Times New Roman" w:cs="Times New Roman"/>
                                  <w:color w:val="000000"/>
                                  <w:sz w:val="20"/>
                                  <w:szCs w:val="20"/>
                                </w:rPr>
                                <w:t xml:space="preserve">hisobotlar asosida</w:t>
                              </w:r>
                            </w:p>
                            <w:p>
                              <w:pPr>
                                <w:spacing w:before="0" w:after="0" w:line="228" w:lineRule="auto"/>
                                <w:jc w:val="center"/>
                                <w:ind w:firstLine="0"/>
                              </w:pPr>
                              <w:r>
                                <w:rPr>
                                  <w:rFonts w:ascii="Times New Roman" w:hAnsi="Times New Roman" w:cs="Times New Roman"/>
                                  <w:color w:val="000000"/>
                                  <w:sz w:val="20"/>
                                  <w:szCs w:val="20"/>
                                </w:rPr>
                                <w:t xml:space="preserve">muntazam nazorat</w:t>
                              </w:r>
                            </w:p>
                          </w:txbxContent>
                        </wps:txbx>
                        <wps:bodyPr rot="0" vert="horz" wrap="square" lIns="36000" tIns="18000" rIns="36000" bIns="18000" anchor="ctr" anchorCtr="0">
                          <a:noAutofit/>
                        </wps:bodyPr>
                      </wps:wsp>
                      <wps:wsp>
                        <wps:cNvPr id="25" name="Connector 25"/>
                        <wps:cNvCnPr/>
                        <wps:spPr>
                          <a:xfrm flipH="1">
                            <a:off x="2934000" y="360000"/>
                            <a:ext cx="18000" cy="216000"/>
                          </a:xfrm>
                          <a:prstGeom prst="straightConnector1">
                            <a:avLst/>
                          </a:prstGeom>
                          <a:ln w="15875">
                            <a:solidFill>
                              <a:srgbClr val="404040"/>
                            </a:solidFill>
                            <a:tailEnd type="triangle" w="med" len="med"/>
                          </a:ln>
                        </wps:spPr>
                        <wps:bodyPr/>
                      </wps:wsp>
                      <wps:wsp>
                        <wps:cNvPr id="26" name="Shape 26"/>
                        <wps:cNvSpPr/>
                        <wps:spPr>
                          <a:xfrm>
                            <a:off x="2016000" y="576000"/>
                            <a:ext cx="1836000" cy="360000"/>
                          </a:xfrm>
                          <a:prstGeom prst="roundRect">
                            <a:avLst>
                              <a:gd name="adj" fmla="val 10000"/>
                            </a:avLst>
                          </a:prstGeom>
                          <a:solidFill>
                            <a:srgbClr val="70AD47"/>
                          </a:solidFill>
                          <a:ln w="12700">
                            <a:solidFill>
                              <a:srgbClr val="70AD47"/>
                            </a:solidFill>
                          </a:ln>
                        </wps:spPr>
                        <wps:txbx>
                          <w:txbxContent>
                            <w:p>
                              <w:pPr>
                                <w:spacing w:before="0" w:after="0" w:line="228" w:lineRule="auto"/>
                                <w:jc w:val="center"/>
                                <w:ind w:firstLine="0"/>
                              </w:pPr>
                              <w:r>
                                <w:rPr>
                                  <w:rFonts w:ascii="Times New Roman" w:hAnsi="Times New Roman" w:cs="Times New Roman"/>
                                  <w:b/>
                                  <w:color w:val="FFFFFF"/>
                                  <w:sz w:val="22"/>
                                  <w:szCs w:val="22"/>
                                </w:rPr>
                                <w:t xml:space="preserve">Risklarga asoslangan</w:t>
                              </w:r>
                            </w:p>
                            <w:p>
                              <w:pPr>
                                <w:spacing w:before="0" w:after="0" w:line="228" w:lineRule="auto"/>
                                <w:jc w:val="center"/>
                                <w:ind w:firstLine="0"/>
                              </w:pPr>
                              <w:r>
                                <w:rPr>
                                  <w:rFonts w:ascii="Times New Roman" w:hAnsi="Times New Roman" w:cs="Times New Roman"/>
                                  <w:b/>
                                  <w:color w:val="FFFFFF"/>
                                  <w:sz w:val="22"/>
                                  <w:szCs w:val="22"/>
                                </w:rPr>
                                <w:t xml:space="preserve">nazorat</w:t>
                              </w:r>
                            </w:p>
                          </w:txbxContent>
                        </wps:txbx>
                        <wps:bodyPr rot="0" vert="horz" wrap="square" lIns="36000" tIns="18000" rIns="36000" bIns="18000" anchor="ctr" anchorCtr="0">
                          <a:noAutofit/>
                        </wps:bodyPr>
                      </wps:wsp>
                      <wps:wsp>
                        <wps:cNvPr id="27" name="Shape 27"/>
                        <wps:cNvSpPr/>
                        <wps:spPr>
                          <a:xfrm>
                            <a:off x="2016000" y="990000"/>
                            <a:ext cx="1836000" cy="936000"/>
                          </a:xfrm>
                          <a:prstGeom prst="roundRect">
                            <a:avLst>
                              <a:gd name="adj" fmla="val 10000"/>
                            </a:avLst>
                          </a:prstGeom>
                          <a:solidFill>
                            <a:srgbClr val="F2F2F2"/>
                          </a:solidFill>
                          <a:ln w="12700">
                            <a:solidFill>
                              <a:srgbClr val="70AD47"/>
                            </a:solidFill>
                          </a:ln>
                        </wps:spPr>
                        <wps:txbx>
                          <w:txbxContent>
                            <w:p>
                              <w:pPr>
                                <w:spacing w:before="0" w:after="0" w:line="228" w:lineRule="auto"/>
                                <w:jc w:val="center"/>
                                <w:ind w:firstLine="0"/>
                              </w:pPr>
                              <w:r>
                                <w:rPr>
                                  <w:rFonts w:ascii="Times New Roman" w:hAnsi="Times New Roman" w:cs="Times New Roman"/>
                                  <w:color w:val="000000"/>
                                  <w:sz w:val="20"/>
                                  <w:szCs w:val="20"/>
                                </w:rPr>
                                <w:t xml:space="preserve">Bank risk profili va</w:t>
                              </w:r>
                            </w:p>
                            <w:p>
                              <w:pPr>
                                <w:spacing w:before="0" w:after="0" w:line="228" w:lineRule="auto"/>
                                <w:jc w:val="center"/>
                                <w:ind w:firstLine="0"/>
                              </w:pPr>
                              <w:r>
                                <w:rPr>
                                  <w:rFonts w:ascii="Times New Roman" w:hAnsi="Times New Roman" w:cs="Times New Roman"/>
                                  <w:color w:val="000000"/>
                                  <w:sz w:val="20"/>
                                  <w:szCs w:val="20"/>
                                </w:rPr>
                                <w:t xml:space="preserve">ichki nazoratining</w:t>
                              </w:r>
                            </w:p>
                            <w:p>
                              <w:pPr>
                                <w:spacing w:before="0" w:after="0" w:line="228" w:lineRule="auto"/>
                                <w:jc w:val="center"/>
                                <w:ind w:firstLine="0"/>
                              </w:pPr>
                              <w:r>
                                <w:rPr>
                                  <w:rFonts w:ascii="Times New Roman" w:hAnsi="Times New Roman" w:cs="Times New Roman"/>
                                  <w:color w:val="000000"/>
                                  <w:sz w:val="20"/>
                                  <w:szCs w:val="20"/>
                                </w:rPr>
                                <w:t xml:space="preserve">avtomatik reytingi;</w:t>
                              </w:r>
                            </w:p>
                            <w:p>
                              <w:pPr>
                                <w:spacing w:before="0" w:after="0" w:line="228" w:lineRule="auto"/>
                                <w:jc w:val="center"/>
                                <w:ind w:firstLine="0"/>
                              </w:pPr>
                              <w:r>
                                <w:rPr>
                                  <w:rFonts w:ascii="Times New Roman" w:hAnsi="Times New Roman" w:cs="Times New Roman"/>
                                  <w:color w:val="000000"/>
                                  <w:sz w:val="20"/>
                                  <w:szCs w:val="20"/>
                                </w:rPr>
                                <w:t xml:space="preserve">kuratorlar tuzatishi;</w:t>
                              </w:r>
                            </w:p>
                            <w:p>
                              <w:pPr>
                                <w:spacing w:before="0" w:after="0" w:line="228" w:lineRule="auto"/>
                                <w:jc w:val="center"/>
                                <w:ind w:firstLine="0"/>
                              </w:pPr>
                              <w:r>
                                <w:rPr>
                                  <w:rFonts w:ascii="Times New Roman" w:hAnsi="Times New Roman" w:cs="Times New Roman"/>
                                  <w:color w:val="000000"/>
                                  <w:sz w:val="20"/>
                                  <w:szCs w:val="20"/>
                                </w:rPr>
                                <w:t xml:space="preserve">asoslangan mulohaza;</w:t>
                              </w:r>
                            </w:p>
                            <w:p>
                              <w:pPr>
                                <w:spacing w:before="0" w:after="0" w:line="228" w:lineRule="auto"/>
                                <w:jc w:val="center"/>
                                <w:ind w:firstLine="0"/>
                              </w:pPr>
                              <w:r>
                                <w:rPr>
                                  <w:rFonts w:ascii="Times New Roman" w:hAnsi="Times New Roman" w:cs="Times New Roman"/>
                                  <w:color w:val="000000"/>
                                  <w:sz w:val="20"/>
                                  <w:szCs w:val="20"/>
                                </w:rPr>
                                <w:t xml:space="preserve">joyida tekshiruv</w:t>
                              </w:r>
                            </w:p>
                          </w:txbxContent>
                        </wps:txbx>
                        <wps:bodyPr rot="0" vert="horz" wrap="square" lIns="36000" tIns="18000" rIns="36000" bIns="18000" anchor="ctr" anchorCtr="0">
                          <a:noAutofit/>
                        </wps:bodyPr>
                      </wps:wsp>
                      <wps:wsp>
                        <wps:cNvPr id="28" name="Connector 28"/>
                        <wps:cNvCnPr/>
                        <wps:spPr>
                          <a:xfrm>
                            <a:off x="2952000" y="360000"/>
                            <a:ext cx="1962000" cy="216000"/>
                          </a:xfrm>
                          <a:prstGeom prst="straightConnector1">
                            <a:avLst/>
                          </a:prstGeom>
                          <a:ln w="15875">
                            <a:solidFill>
                              <a:srgbClr val="404040"/>
                            </a:solidFill>
                            <a:tailEnd type="triangle" w="med" len="med"/>
                          </a:ln>
                        </wps:spPr>
                        <wps:bodyPr/>
                      </wps:wsp>
                      <wps:wsp>
                        <wps:cNvPr id="29" name="Shape 29"/>
                        <wps:cNvSpPr/>
                        <wps:spPr>
                          <a:xfrm>
                            <a:off x="3996000" y="576000"/>
                            <a:ext cx="1836000" cy="360000"/>
                          </a:xfrm>
                          <a:prstGeom prst="roundRect">
                            <a:avLst>
                              <a:gd name="adj" fmla="val 10000"/>
                            </a:avLst>
                          </a:prstGeom>
                          <a:solidFill>
                            <a:srgbClr val="EB6834"/>
                          </a:solidFill>
                          <a:ln w="12700">
                            <a:solidFill>
                              <a:srgbClr val="EB6834"/>
                            </a:solidFill>
                          </a:ln>
                        </wps:spPr>
                        <wps:txbx>
                          <w:txbxContent>
                            <w:p>
                              <w:pPr>
                                <w:spacing w:before="0" w:after="0" w:line="228" w:lineRule="auto"/>
                                <w:jc w:val="center"/>
                                <w:ind w:firstLine="0"/>
                              </w:pPr>
                              <w:r>
                                <w:rPr>
                                  <w:rFonts w:ascii="Times New Roman" w:hAnsi="Times New Roman" w:cs="Times New Roman"/>
                                  <w:b/>
                                  <w:color w:val="FFFFFF"/>
                                  <w:sz w:val="22"/>
                                  <w:szCs w:val="22"/>
                                </w:rPr>
                                <w:t xml:space="preserve">Makroprudensial</w:t>
                              </w:r>
                            </w:p>
                            <w:p>
                              <w:pPr>
                                <w:spacing w:before="0" w:after="0" w:line="228" w:lineRule="auto"/>
                                <w:jc w:val="center"/>
                                <w:ind w:firstLine="0"/>
                              </w:pPr>
                              <w:r>
                                <w:rPr>
                                  <w:rFonts w:ascii="Times New Roman" w:hAnsi="Times New Roman" w:cs="Times New Roman"/>
                                  <w:b/>
                                  <w:color w:val="FFFFFF"/>
                                  <w:sz w:val="22"/>
                                  <w:szCs w:val="22"/>
                                </w:rPr>
                                <w:t xml:space="preserve">monitoring</w:t>
                              </w:r>
                            </w:p>
                          </w:txbxContent>
                        </wps:txbx>
                        <wps:bodyPr rot="0" vert="horz" wrap="square" lIns="36000" tIns="18000" rIns="36000" bIns="18000" anchor="ctr" anchorCtr="0">
                          <a:noAutofit/>
                        </wps:bodyPr>
                      </wps:wsp>
                      <wps:wsp>
                        <wps:cNvPr id="30" name="Shape 30"/>
                        <wps:cNvSpPr/>
                        <wps:spPr>
                          <a:xfrm>
                            <a:off x="3996000" y="990000"/>
                            <a:ext cx="1836000" cy="936000"/>
                          </a:xfrm>
                          <a:prstGeom prst="roundRect">
                            <a:avLst>
                              <a:gd name="adj" fmla="val 10000"/>
                            </a:avLst>
                          </a:prstGeom>
                          <a:solidFill>
                            <a:srgbClr val="F2F2F2"/>
                          </a:solidFill>
                          <a:ln w="12700">
                            <a:solidFill>
                              <a:srgbClr val="EB6834"/>
                            </a:solidFill>
                          </a:ln>
                        </wps:spPr>
                        <wps:txbx>
                          <w:txbxContent>
                            <w:p>
                              <w:pPr>
                                <w:spacing w:before="0" w:after="0" w:line="228" w:lineRule="auto"/>
                                <w:jc w:val="center"/>
                                <w:ind w:firstLine="0"/>
                              </w:pPr>
                              <w:r>
                                <w:rPr>
                                  <w:rFonts w:ascii="Times New Roman" w:hAnsi="Times New Roman" w:cs="Times New Roman"/>
                                  <w:color w:val="000000"/>
                                  <w:sz w:val="20"/>
                                  <w:szCs w:val="20"/>
                                </w:rPr>
                                <w:t xml:space="preserve">Moliyaviy barqarorlik</w:t>
                              </w:r>
                            </w:p>
                            <w:p>
                              <w:pPr>
                                <w:spacing w:before="0" w:after="0" w:line="228" w:lineRule="auto"/>
                                <w:jc w:val="center"/>
                                <w:ind w:firstLine="0"/>
                              </w:pPr>
                              <w:r>
                                <w:rPr>
                                  <w:rFonts w:ascii="Times New Roman" w:hAnsi="Times New Roman" w:cs="Times New Roman"/>
                                  <w:color w:val="000000"/>
                                  <w:sz w:val="20"/>
                                  <w:szCs w:val="20"/>
                                </w:rPr>
                                <w:t xml:space="preserve">sharhi (yiliga 2 marta);</w:t>
                              </w:r>
                            </w:p>
                            <w:p>
                              <w:pPr>
                                <w:spacing w:before="0" w:after="0" w:line="228" w:lineRule="auto"/>
                                <w:jc w:val="center"/>
                                <w:ind w:firstLine="0"/>
                              </w:pPr>
                              <w:r>
                                <w:rPr>
                                  <w:rFonts w:ascii="Times New Roman" w:hAnsi="Times New Roman" w:cs="Times New Roman"/>
                                  <w:color w:val="000000"/>
                                  <w:sz w:val="20"/>
                                  <w:szCs w:val="20"/>
                                </w:rPr>
                                <w:t xml:space="preserve">to‘lov qobiliyati va</w:t>
                              </w:r>
                            </w:p>
                            <w:p>
                              <w:pPr>
                                <w:spacing w:before="0" w:after="0" w:line="228" w:lineRule="auto"/>
                                <w:jc w:val="center"/>
                                <w:ind w:firstLine="0"/>
                              </w:pPr>
                              <w:r>
                                <w:rPr>
                                  <w:rFonts w:ascii="Times New Roman" w:hAnsi="Times New Roman" w:cs="Times New Roman"/>
                                  <w:color w:val="000000"/>
                                  <w:sz w:val="20"/>
                                  <w:szCs w:val="20"/>
                                </w:rPr>
                                <w:t xml:space="preserve">likvidlik stress-testlari;</w:t>
                              </w:r>
                            </w:p>
                            <w:p>
                              <w:pPr>
                                <w:spacing w:before="0" w:after="0" w:line="228" w:lineRule="auto"/>
                                <w:jc w:val="center"/>
                                <w:ind w:firstLine="0"/>
                              </w:pPr>
                              <w:r>
                                <w:rPr>
                                  <w:rFonts w:ascii="Times New Roman" w:hAnsi="Times New Roman" w:cs="Times New Roman"/>
                                  <w:color w:val="000000"/>
                                  <w:sz w:val="20"/>
                                  <w:szCs w:val="20"/>
                                </w:rPr>
                                <w:t xml:space="preserve">kontrsiklik bufer;</w:t>
                              </w:r>
                            </w:p>
                            <w:p>
                              <w:pPr>
                                <w:spacing w:before="0" w:after="0" w:line="228" w:lineRule="auto"/>
                                <w:jc w:val="center"/>
                                <w:ind w:firstLine="0"/>
                              </w:pPr>
                              <w:r>
                                <w:rPr>
                                  <w:rFonts w:ascii="Times New Roman" w:hAnsi="Times New Roman" w:cs="Times New Roman"/>
                                  <w:color w:val="000000"/>
                                  <w:sz w:val="20"/>
                                  <w:szCs w:val="20"/>
                                </w:rPr>
                                <w:t xml:space="preserve">tizimli banklar</w:t>
                              </w:r>
                            </w:p>
                          </w:txbxContent>
                        </wps:txbx>
                        <wps:bodyPr rot="0" vert="horz" wrap="square" lIns="36000" tIns="18000" rIns="36000" bIns="18000" anchor="ctr" anchorCtr="0">
                          <a:noAutofit/>
                        </wps:bodyPr>
                      </wps:wsp>
                      <wps:wsp>
                        <wps:cNvPr id="31" name="Shape 31"/>
                        <wps:cNvSpPr/>
                        <wps:spPr>
                          <a:xfrm>
                            <a:off x="36000" y="1998000"/>
                            <a:ext cx="3816000" cy="234000"/>
                          </a:xfrm>
                          <a:prstGeom prst="roundRect">
                            <a:avLst>
                              <a:gd name="adj" fmla="val 10000"/>
                            </a:avLst>
                          </a:prstGeom>
                          <a:solidFill>
                            <a:srgbClr val="DEEBF7"/>
                          </a:solidFill>
                          <a:ln w="12700">
                            <a:solidFill>
                              <a:srgbClr val="9DC3E6"/>
                            </a:solidFill>
                          </a:ln>
                        </wps:spPr>
                        <wps:txbx>
                          <w:txbxContent>
                            <w:p>
                              <w:pPr>
                                <w:spacing w:before="0" w:after="0" w:line="228" w:lineRule="auto"/>
                                <w:jc w:val="center"/>
                                <w:ind w:firstLine="0"/>
                              </w:pPr>
                              <w:r>
                                <w:rPr>
                                  <w:rFonts w:ascii="Times New Roman" w:hAnsi="Times New Roman" w:cs="Times New Roman"/>
                                  <w:b/>
                                  <w:color w:val="000000"/>
                                  <w:sz w:val="20"/>
                                  <w:szCs w:val="20"/>
                                </w:rPr>
                                <w:t xml:space="preserve">Mikro daraja – alohida bank</w:t>
                              </w:r>
                            </w:p>
                          </w:txbxContent>
                        </wps:txbx>
                        <wps:bodyPr rot="0" vert="horz" wrap="square" lIns="36000" tIns="18000" rIns="36000" bIns="18000" anchor="ctr" anchorCtr="0">
                          <a:noAutofit/>
                        </wps:bodyPr>
                      </wps:wsp>
                      <wps:wsp>
                        <wps:cNvPr id="32" name="Shape 32"/>
                        <wps:cNvSpPr/>
                        <wps:spPr>
                          <a:xfrm>
                            <a:off x="3996000" y="1998000"/>
                            <a:ext cx="1836000" cy="234000"/>
                          </a:xfrm>
                          <a:prstGeom prst="roundRect">
                            <a:avLst>
                              <a:gd name="adj" fmla="val 10000"/>
                            </a:avLst>
                          </a:prstGeom>
                          <a:solidFill>
                            <a:srgbClr val="FBE5D6"/>
                          </a:solidFill>
                          <a:ln w="12700">
                            <a:solidFill>
                              <a:srgbClr val="F4B183"/>
                            </a:solidFill>
                          </a:ln>
                        </wps:spPr>
                        <wps:txbx>
                          <w:txbxContent>
                            <w:p>
                              <w:pPr>
                                <w:spacing w:before="0" w:after="0" w:line="228" w:lineRule="auto"/>
                                <w:jc w:val="center"/>
                                <w:ind w:firstLine="0"/>
                              </w:pPr>
                              <w:r>
                                <w:rPr>
                                  <w:rFonts w:ascii="Times New Roman" w:hAnsi="Times New Roman" w:cs="Times New Roman"/>
                                  <w:b/>
                                  <w:color w:val="000000"/>
                                  <w:sz w:val="20"/>
                                  <w:szCs w:val="20"/>
                                </w:rPr>
                                <w:t xml:space="preserve">Makro daraja – bank tizimi</w:t>
                              </w:r>
                            </w:p>
                          </w:txbxContent>
                        </wps:txbx>
                        <wps:bodyPr rot="0" vert="horz" wrap="square" lIns="36000" tIns="18000" rIns="36000" bIns="18000" anchor="ctr" anchorCtr="0">
                          <a:noAutofit/>
                        </wps:bodyPr>
                      </wps:wsp>
                      <wps:wsp>
                        <wps:cNvPr id="33" name="Shape 33"/>
                        <wps:cNvSpPr/>
                        <wps:spPr>
                          <a:xfrm>
                            <a:off x="36000" y="2304000"/>
                            <a:ext cx="5796000" cy="270000"/>
                          </a:xfrm>
                          <a:prstGeom prst="roundRect">
                            <a:avLst>
                              <a:gd name="adj" fmla="val 10000"/>
                            </a:avLst>
                          </a:prstGeom>
                          <a:solidFill>
                            <a:srgbClr val="FFFFFF"/>
                          </a:solidFill>
                          <a:ln w="12700">
                            <a:solidFill>
                              <a:srgbClr val="7F7F7F"/>
                            </a:solidFill>
                          </a:ln>
                        </wps:spPr>
                        <wps:txbx>
                          <w:txbxContent>
                            <w:p>
                              <w:pPr>
                                <w:spacing w:before="0" w:after="0" w:line="228" w:lineRule="auto"/>
                                <w:jc w:val="center"/>
                                <w:ind w:firstLine="0"/>
                              </w:pPr>
                              <w:r>
                                <w:rPr>
                                  <w:rFonts w:ascii="Times New Roman" w:hAnsi="Times New Roman" w:cs="Times New Roman"/>
                                  <w:i/>
                                  <w:color w:val="000000"/>
                                  <w:sz w:val="20"/>
                                  <w:szCs w:val="20"/>
                                </w:rPr>
                                <w:t xml:space="preserve">Tashqi baholash: xalqaro reyting agentliklari, auditorlar (MHXS bo‘yicha hisobot), XVJ va Jahon banki (FSAP)</w:t>
                              </w:r>
                            </w:p>
                          </w:txbxContent>
                        </wps:txbx>
                        <wps:bodyPr rot="0" vert="horz" wrap="square" lIns="36000" tIns="18000" rIns="36000" bIns="18000" anchor="ctr" anchorCtr="0">
                          <a:noAutofit/>
                        </wps:bodyPr>
                      </wps:wsp>
                    </wpg:wgp>
                  </a:graphicData>
                </a:graphic>
              </wp:inline>
            </w:drawing>
          </mc:Choice>
          <mc:Fallback/>
        </mc:AlternateContent>
      </w:r>
    </w:p>
    <w:p>
      <w:pPr>
        <w:pStyle w:val="BodyText"/>
        <w:spacing w:line="240" w:lineRule="auto" w:before="120" w:after="240"/>
        <w:ind w:firstLine="0"/>
        <w:jc w:val="center"/>
      </w:pPr>
      <w:r>
        <w:rPr>
          <w:rFonts w:ascii="Times New Roman" w:hAnsi="Times New Roman" w:cs="Times New Roman" w:eastAsia="Times New Roman"/>
          <w:b/>
          <w:sz w:val="28"/>
        </w:rPr>
        <w:t xml:space="preserve">2.1.2-rasm. O‘zbekistonda banklar moliyaviy barqarorligini baholashning amaldagi tizimi</w:t>
      </w:r>
      <w:r>
        <w:rPr>
          <w:rStyle w:val="FootnoteReference"/>
        </w:rPr>
        <w:footnoteReference w:id="24"/>
      </w:r>
    </w:p>
    <w:p>
      <w:pPr>
        <w:pStyle w:val="BodyText"/>
        <w:spacing w:line="360" w:lineRule="auto" w:before="0" w:after="0"/>
        <w:ind w:firstLine="709"/>
        <w:jc w:val="both"/>
      </w:pPr>
      <w:r>
        <w:rPr>
          <w:bCs/>
          <w:rFonts w:ascii="Times New Roman" w:hAnsi="Times New Roman" w:cs="Times New Roman" w:eastAsia="Times New Roman"/>
          <w:b/>
          <w:sz w:val="28"/>
        </w:rPr>
        <w:t xml:space="preserve">Prudensial normativlar.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Baholashning birinchi va eng rasmiylashgan darajasi – banklarning majburiy prudensial normativlarga rioya etishini nazorat qilish. Amaldagi asosiy talablar 2.1.1-jadvalda umumlashtirilgan.</w:t>
      </w:r>
    </w:p>
    <w:p>
      <w:pPr>
        <w:pStyle w:val="BodyText"/>
        <w:keepNext/>
        <w:spacing w:line="360" w:lineRule="auto" w:before="120" w:after="0"/>
        <w:ind w:firstLine="0"/>
        <w:jc w:val="right"/>
      </w:pPr>
      <w:r>
        <w:rPr>
          <w:rFonts w:ascii="Times New Roman" w:hAnsi="Times New Roman" w:cs="Times New Roman" w:eastAsia="Times New Roman"/>
          <w:i/>
          <w:sz w:val="28"/>
        </w:rPr>
        <w:t xml:space="preserve">2.1.1-jadval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O‘zbekistonda tijorat banklariga qo‘yiladigan asosiy prudensial talablar</w:t>
      </w:r>
      <w:r>
        <w:rPr>
          <w:rStyle w:val="FootnoteReference"/>
        </w:rPr>
        <w:footnoteReference w:id="25"/>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980"/>
        <w:gridCol w:w="1980"/>
        <w:gridCol w:w="1980"/>
        <w:gridCol w:w="1980"/>
      </w:tblGrid>
      <w:tr>
        <w:trPr>
          <w:tblHeader w:val="true"/>
          <w:cantSplit/>
          <w:tblHeader/>
        </w:trPr>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Ko‘rsatkich</w:t>
            </w:r>
          </w:p>
        </w:tc>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Talab</w:t>
            </w:r>
          </w:p>
        </w:tc>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Bazel III minimumi</w:t>
            </w:r>
          </w:p>
        </w:tc>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Izoh</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I darajali asosiy kapital (CET1) monandligi</w:t>
            </w:r>
          </w:p>
        </w:tc>
        <w:tc>
          <w:tcPr/>
          <w:p>
            <w:pPr>
              <w:pStyle w:val="Compact"/>
              <w:spacing w:line="240" w:lineRule="auto"/>
              <w:ind w:firstLine="0"/>
              <w:jc w:val="left"/>
            </w:pPr>
            <w:r>
              <w:rPr>
                <w:rFonts w:ascii="Times New Roman" w:hAnsi="Times New Roman" w:cs="Times New Roman" w:eastAsia="Times New Roman"/>
                <w:sz w:val="22"/>
              </w:rPr>
              <w:t xml:space="preserve">≥ 8%</w:t>
            </w:r>
          </w:p>
        </w:tc>
        <w:tc>
          <w:tcPr/>
          <w:p>
            <w:pPr>
              <w:pStyle w:val="Compact"/>
              <w:spacing w:line="240" w:lineRule="auto"/>
              <w:ind w:firstLine="0"/>
              <w:jc w:val="left"/>
            </w:pPr>
            <w:r>
              <w:rPr>
                <w:rFonts w:ascii="Times New Roman" w:hAnsi="Times New Roman" w:cs="Times New Roman" w:eastAsia="Times New Roman"/>
                <w:sz w:val="22"/>
              </w:rPr>
              <w:t xml:space="preserve">≥ 4,5%</w:t>
            </w:r>
          </w:p>
        </w:tc>
        <w:tc>
          <w:tcPr/>
          <w:p>
            <w:pPr>
              <w:pStyle w:val="Compact"/>
              <w:spacing w:line="240" w:lineRule="auto"/>
              <w:ind w:firstLine="0"/>
              <w:jc w:val="left"/>
            </w:pPr>
            <w:r>
              <w:rPr>
                <w:rFonts w:ascii="Times New Roman" w:hAnsi="Times New Roman" w:cs="Times New Roman" w:eastAsia="Times New Roman"/>
                <w:sz w:val="22"/>
              </w:rPr>
              <w:t xml:space="preserve">2026-yildan yangi nizom bo‘yicha</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Regulyativ kapital monandligi</w:t>
            </w:r>
          </w:p>
        </w:tc>
        <w:tc>
          <w:tcPr/>
          <w:p>
            <w:pPr>
              <w:pStyle w:val="Compact"/>
              <w:spacing w:line="240" w:lineRule="auto"/>
              <w:ind w:firstLine="0"/>
              <w:jc w:val="left"/>
            </w:pPr>
            <w:r>
              <w:rPr>
                <w:rFonts w:ascii="Times New Roman" w:hAnsi="Times New Roman" w:cs="Times New Roman" w:eastAsia="Times New Roman"/>
                <w:sz w:val="22"/>
              </w:rPr>
              <w:t xml:space="preserve">≥ 13% (2020–2025-yillar)</w:t>
            </w:r>
          </w:p>
        </w:tc>
        <w:tc>
          <w:tcPr/>
          <w:p>
            <w:pPr>
              <w:pStyle w:val="Compact"/>
              <w:spacing w:line="240" w:lineRule="auto"/>
              <w:ind w:firstLine="0"/>
              <w:jc w:val="left"/>
            </w:pPr>
            <w:r>
              <w:rPr>
                <w:rFonts w:ascii="Times New Roman" w:hAnsi="Times New Roman" w:cs="Times New Roman" w:eastAsia="Times New Roman"/>
                <w:sz w:val="22"/>
              </w:rPr>
              <w:t xml:space="preserve">≥ 8%</w:t>
            </w:r>
          </w:p>
        </w:tc>
        <w:tc>
          <w:tcPr/>
          <w:p>
            <w:pPr>
              <w:pStyle w:val="Compact"/>
              <w:spacing w:line="240" w:lineRule="auto"/>
              <w:ind w:firstLine="0"/>
              <w:jc w:val="left"/>
            </w:pPr>
            <w:r>
              <w:rPr>
                <w:rFonts w:ascii="Times New Roman" w:hAnsi="Times New Roman" w:cs="Times New Roman" w:eastAsia="Times New Roman"/>
                <w:sz w:val="22"/>
              </w:rPr>
              <w:t xml:space="preserve">3% lik saqlash buferini o‘z ichiga olgan</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Leverej koeffitsiyenti</w:t>
            </w:r>
          </w:p>
        </w:tc>
        <w:tc>
          <w:tcPr/>
          <w:p>
            <w:pPr>
              <w:pStyle w:val="Compact"/>
              <w:spacing w:line="240" w:lineRule="auto"/>
              <w:ind w:firstLine="0"/>
              <w:jc w:val="left"/>
            </w:pPr>
            <w:r>
              <w:rPr>
                <w:rFonts w:ascii="Times New Roman" w:hAnsi="Times New Roman" w:cs="Times New Roman" w:eastAsia="Times New Roman"/>
                <w:sz w:val="22"/>
              </w:rPr>
              <w:t xml:space="preserve">≥ 6%</w:t>
            </w:r>
          </w:p>
        </w:tc>
        <w:tc>
          <w:tcPr/>
          <w:p>
            <w:pPr>
              <w:pStyle w:val="Compact"/>
              <w:spacing w:line="240" w:lineRule="auto"/>
              <w:ind w:firstLine="0"/>
              <w:jc w:val="left"/>
            </w:pPr>
            <w:r>
              <w:rPr>
                <w:rFonts w:ascii="Times New Roman" w:hAnsi="Times New Roman" w:cs="Times New Roman" w:eastAsia="Times New Roman"/>
                <w:sz w:val="22"/>
              </w:rPr>
              <w:t xml:space="preserve">≥ 3%</w:t>
            </w:r>
          </w:p>
        </w:tc>
        <w:tc>
          <w:tcPr/>
          <w:p>
            <w:pPr>
              <w:pStyle w:val="Compact"/>
              <w:spacing w:line="240" w:lineRule="auto"/>
              <w:ind w:firstLine="0"/>
              <w:jc w:val="left"/>
            </w:pPr>
            <w:r>
              <w:rPr>
                <w:rFonts w:ascii="Times New Roman" w:hAnsi="Times New Roman" w:cs="Times New Roman" w:eastAsia="Times New Roman"/>
                <w:sz w:val="22"/>
              </w:rPr>
              <w:t xml:space="preserve">Bazel minimumidan ikki baravar yuqori</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Kapitalni saqlash buferi</w:t>
            </w:r>
          </w:p>
        </w:tc>
        <w:tc>
          <w:tcPr/>
          <w:p>
            <w:pPr>
              <w:pStyle w:val="Compact"/>
              <w:spacing w:line="240" w:lineRule="auto"/>
              <w:ind w:firstLine="0"/>
              <w:jc w:val="left"/>
            </w:pPr>
            <w:r>
              <w:rPr>
                <w:rFonts w:ascii="Times New Roman" w:hAnsi="Times New Roman" w:cs="Times New Roman" w:eastAsia="Times New Roman"/>
                <w:sz w:val="22"/>
              </w:rPr>
              <w:t xml:space="preserve">2,5%</w:t>
            </w:r>
          </w:p>
        </w:tc>
        <w:tc>
          <w:tcPr/>
          <w:p>
            <w:pPr>
              <w:pStyle w:val="Compact"/>
              <w:spacing w:line="240" w:lineRule="auto"/>
              <w:ind w:firstLine="0"/>
              <w:jc w:val="left"/>
            </w:pPr>
            <w:r>
              <w:rPr>
                <w:rFonts w:ascii="Times New Roman" w:hAnsi="Times New Roman" w:cs="Times New Roman" w:eastAsia="Times New Roman"/>
                <w:sz w:val="22"/>
              </w:rPr>
              <w:t xml:space="preserve">2,5%</w:t>
            </w:r>
          </w:p>
        </w:tc>
        <w:tc>
          <w:tcPr/>
          <w:p>
            <w:pPr>
              <w:pStyle w:val="Compact"/>
              <w:spacing w:line="240" w:lineRule="auto"/>
              <w:ind w:firstLine="0"/>
              <w:jc w:val="left"/>
            </w:pPr>
            <w:r>
              <w:rPr>
                <w:rFonts w:ascii="Times New Roman" w:hAnsi="Times New Roman" w:cs="Times New Roman" w:eastAsia="Times New Roman"/>
                <w:sz w:val="22"/>
              </w:rPr>
              <w:t xml:space="preserve">2025-yildan</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Kontrsiklik bufer</w:t>
            </w:r>
          </w:p>
        </w:tc>
        <w:tc>
          <w:tcPr/>
          <w:p>
            <w:pPr>
              <w:pStyle w:val="Compact"/>
              <w:spacing w:line="240" w:lineRule="auto"/>
              <w:ind w:firstLine="0"/>
              <w:jc w:val="left"/>
            </w:pPr>
            <w:r>
              <w:rPr>
                <w:rFonts w:ascii="Times New Roman" w:hAnsi="Times New Roman" w:cs="Times New Roman" w:eastAsia="Times New Roman"/>
                <w:sz w:val="22"/>
              </w:rPr>
              <w:t xml:space="preserve">1,5%</w:t>
            </w:r>
          </w:p>
        </w:tc>
        <w:tc>
          <w:tcPr/>
          <w:p>
            <w:pPr>
              <w:pStyle w:val="Compact"/>
              <w:spacing w:line="240" w:lineRule="auto"/>
              <w:ind w:firstLine="0"/>
              <w:jc w:val="left"/>
            </w:pPr>
            <w:r>
              <w:rPr>
                <w:rFonts w:ascii="Times New Roman" w:hAnsi="Times New Roman" w:cs="Times New Roman" w:eastAsia="Times New Roman"/>
                <w:sz w:val="22"/>
              </w:rPr>
              <w:t xml:space="preserve">0–2,5%</w:t>
            </w:r>
          </w:p>
        </w:tc>
        <w:tc>
          <w:tcPr/>
          <w:p>
            <w:pPr>
              <w:pStyle w:val="Compact"/>
              <w:spacing w:line="240" w:lineRule="auto"/>
              <w:ind w:firstLine="0"/>
              <w:jc w:val="left"/>
            </w:pPr>
            <w:r>
              <w:rPr>
                <w:rFonts w:ascii="Times New Roman" w:hAnsi="Times New Roman" w:cs="Times New Roman" w:eastAsia="Times New Roman"/>
                <w:sz w:val="22"/>
              </w:rPr>
              <w:t xml:space="preserve">2026-yil 1-yanvardan</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Tizimli ahamiyatli banklar buferi</w:t>
            </w:r>
          </w:p>
        </w:tc>
        <w:tc>
          <w:tcPr/>
          <w:p>
            <w:pPr>
              <w:pStyle w:val="Compact"/>
              <w:spacing w:line="240" w:lineRule="auto"/>
              <w:ind w:firstLine="0"/>
              <w:jc w:val="left"/>
            </w:pPr>
            <w:r>
              <w:rPr>
                <w:rFonts w:ascii="Times New Roman" w:hAnsi="Times New Roman" w:cs="Times New Roman" w:eastAsia="Times New Roman"/>
                <w:sz w:val="22"/>
              </w:rPr>
              <w:t xml:space="preserve">1%</w:t>
            </w:r>
          </w:p>
        </w:tc>
        <w:tc>
          <w:tcPr/>
          <w:p>
            <w:pPr>
              <w:pStyle w:val="Compact"/>
              <w:spacing w:line="240" w:lineRule="auto"/>
              <w:ind w:firstLine="0"/>
              <w:jc w:val="left"/>
            </w:pPr>
            <w:r>
              <w:rPr>
                <w:rFonts w:ascii="Times New Roman" w:hAnsi="Times New Roman" w:cs="Times New Roman" w:eastAsia="Times New Roman"/>
                <w:sz w:val="22"/>
              </w:rPr>
              <w:t xml:space="preserve">1–3,5% (G-SIB)</w:t>
            </w:r>
          </w:p>
        </w:tc>
        <w:tc>
          <w:tcPr/>
          <w:p>
            <w:pPr>
              <w:pStyle w:val="Compact"/>
              <w:spacing w:line="240" w:lineRule="auto"/>
              <w:ind w:firstLine="0"/>
              <w:jc w:val="left"/>
            </w:pPr>
            <w:r>
              <w:rPr>
                <w:rFonts w:ascii="Times New Roman" w:hAnsi="Times New Roman" w:cs="Times New Roman" w:eastAsia="Times New Roman"/>
                <w:sz w:val="22"/>
              </w:rPr>
              <w:t xml:space="preserve">7 ta bank uchun</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LCR</w:t>
            </w:r>
          </w:p>
        </w:tc>
        <w:tc>
          <w:tcPr/>
          <w:p>
            <w:pPr>
              <w:pStyle w:val="Compact"/>
              <w:spacing w:line="240" w:lineRule="auto"/>
              <w:ind w:firstLine="0"/>
              <w:jc w:val="left"/>
            </w:pPr>
            <w:r>
              <w:rPr>
                <w:rFonts w:ascii="Times New Roman" w:hAnsi="Times New Roman" w:cs="Times New Roman" w:eastAsia="Times New Roman"/>
                <w:sz w:val="22"/>
              </w:rPr>
              <w:t xml:space="preserve">≥ 100%</w:t>
            </w:r>
          </w:p>
        </w:tc>
        <w:tc>
          <w:tcPr/>
          <w:p>
            <w:pPr>
              <w:pStyle w:val="Compact"/>
              <w:spacing w:line="240" w:lineRule="auto"/>
              <w:ind w:firstLine="0"/>
              <w:jc w:val="left"/>
            </w:pPr>
            <w:r>
              <w:rPr>
                <w:rFonts w:ascii="Times New Roman" w:hAnsi="Times New Roman" w:cs="Times New Roman" w:eastAsia="Times New Roman"/>
                <w:sz w:val="22"/>
              </w:rPr>
              <w:t xml:space="preserve">≥ 100%</w:t>
            </w:r>
          </w:p>
        </w:tc>
        <w:tc>
          <w:tcPr/>
          <w:p>
            <w:pPr>
              <w:pStyle w:val="Compact"/>
              <w:spacing w:line="240" w:lineRule="auto"/>
              <w:ind w:firstLine="0"/>
              <w:jc w:val="left"/>
            </w:pPr>
            <w:r>
              <w:rPr>
                <w:rFonts w:ascii="Times New Roman" w:hAnsi="Times New Roman" w:cs="Times New Roman" w:eastAsia="Times New Roman"/>
                <w:sz w:val="22"/>
              </w:rPr>
              <w:t xml:space="preserve">2018-yildan to‘liq</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NSFR</w:t>
            </w:r>
          </w:p>
        </w:tc>
        <w:tc>
          <w:tcPr/>
          <w:p>
            <w:pPr>
              <w:pStyle w:val="Compact"/>
              <w:spacing w:line="240" w:lineRule="auto"/>
              <w:ind w:firstLine="0"/>
              <w:jc w:val="left"/>
            </w:pPr>
            <w:r>
              <w:rPr>
                <w:rFonts w:ascii="Times New Roman" w:hAnsi="Times New Roman" w:cs="Times New Roman" w:eastAsia="Times New Roman"/>
                <w:sz w:val="22"/>
              </w:rPr>
              <w:t xml:space="preserve">≥ 100%</w:t>
            </w:r>
          </w:p>
        </w:tc>
        <w:tc>
          <w:tcPr/>
          <w:p>
            <w:pPr>
              <w:pStyle w:val="Compact"/>
              <w:spacing w:line="240" w:lineRule="auto"/>
              <w:ind w:firstLine="0"/>
              <w:jc w:val="left"/>
            </w:pPr>
            <w:r>
              <w:rPr>
                <w:rFonts w:ascii="Times New Roman" w:hAnsi="Times New Roman" w:cs="Times New Roman" w:eastAsia="Times New Roman"/>
                <w:sz w:val="22"/>
              </w:rPr>
              <w:t xml:space="preserve">≥ 100%</w:t>
            </w:r>
          </w:p>
        </w:tc>
        <w:tc>
          <w:tcPr/>
          <w:p>
            <w:pPr>
              <w:pStyle w:val="Compact"/>
              <w:spacing w:line="240" w:lineRule="auto"/>
              <w:ind w:firstLine="0"/>
              <w:jc w:val="left"/>
            </w:pPr>
            <w:r>
              <w:rPr>
                <w:rFonts w:ascii="Times New Roman" w:hAnsi="Times New Roman" w:cs="Times New Roman" w:eastAsia="Times New Roman"/>
                <w:sz w:val="22"/>
              </w:rPr>
              <w:t xml:space="preserve">2018-yildan</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Joriy likvidlik</w:t>
            </w:r>
          </w:p>
        </w:tc>
        <w:tc>
          <w:tcPr/>
          <w:p>
            <w:pPr>
              <w:pStyle w:val="Compact"/>
              <w:spacing w:line="240" w:lineRule="auto"/>
              <w:ind w:firstLine="0"/>
              <w:jc w:val="left"/>
            </w:pPr>
            <w:r>
              <w:rPr>
                <w:rFonts w:ascii="Times New Roman" w:hAnsi="Times New Roman" w:cs="Times New Roman" w:eastAsia="Times New Roman"/>
                <w:sz w:val="22"/>
              </w:rPr>
              <w:t xml:space="preserve">≥ 30%</w:t>
            </w:r>
          </w:p>
        </w:tc>
        <w:tc>
          <w:tcPr/>
          <w:p>
            <w:pPr>
              <w:pStyle w:val="Compact"/>
              <w:spacing w:line="240" w:lineRule="auto"/>
              <w:ind w:firstLine="0"/>
              <w:jc w:val="left"/>
            </w:pPr>
            <w:r>
              <w:rPr>
                <w:rFonts w:ascii="Times New Roman" w:hAnsi="Times New Roman" w:cs="Times New Roman" w:eastAsia="Times New Roman"/>
                <w:sz w:val="22"/>
              </w:rPr>
              <w:t xml:space="preserve">–</w:t>
            </w:r>
          </w:p>
        </w:tc>
        <w:tc>
          <w:tcPr/>
          <w:p>
            <w:pPr>
              <w:pStyle w:val="Compact"/>
              <w:spacing w:line="240" w:lineRule="auto"/>
              <w:ind w:firstLine="0"/>
              <w:jc w:val="left"/>
            </w:pPr>
            <w:r>
              <w:rPr>
                <w:rFonts w:ascii="Times New Roman" w:hAnsi="Times New Roman" w:cs="Times New Roman" w:eastAsia="Times New Roman"/>
                <w:sz w:val="22"/>
              </w:rPr>
              <w:t xml:space="preserve">Milliy normativ</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Lahzali likvidlik</w:t>
            </w:r>
          </w:p>
        </w:tc>
        <w:tc>
          <w:tcPr/>
          <w:p>
            <w:pPr>
              <w:pStyle w:val="Compact"/>
              <w:spacing w:line="240" w:lineRule="auto"/>
              <w:ind w:firstLine="0"/>
              <w:jc w:val="left"/>
            </w:pPr>
            <w:r>
              <w:rPr>
                <w:rFonts w:ascii="Times New Roman" w:hAnsi="Times New Roman" w:cs="Times New Roman" w:eastAsia="Times New Roman"/>
                <w:sz w:val="22"/>
              </w:rPr>
              <w:t xml:space="preserve">≥ 10%</w:t>
            </w:r>
          </w:p>
        </w:tc>
        <w:tc>
          <w:tcPr/>
          <w:p>
            <w:pPr>
              <w:pStyle w:val="Compact"/>
              <w:spacing w:line="240" w:lineRule="auto"/>
              <w:ind w:firstLine="0"/>
              <w:jc w:val="left"/>
            </w:pPr>
            <w:r>
              <w:rPr>
                <w:rFonts w:ascii="Times New Roman" w:hAnsi="Times New Roman" w:cs="Times New Roman" w:eastAsia="Times New Roman"/>
                <w:sz w:val="22"/>
              </w:rPr>
              <w:t xml:space="preserve">–</w:t>
            </w:r>
          </w:p>
        </w:tc>
        <w:tc>
          <w:tcPr/>
          <w:p>
            <w:pPr>
              <w:pStyle w:val="Compact"/>
              <w:spacing w:line="240" w:lineRule="auto"/>
              <w:ind w:firstLine="0"/>
              <w:jc w:val="left"/>
            </w:pPr>
            <w:r>
              <w:rPr>
                <w:rFonts w:ascii="Times New Roman" w:hAnsi="Times New Roman" w:cs="Times New Roman" w:eastAsia="Times New Roman"/>
                <w:sz w:val="22"/>
              </w:rPr>
              <w:t xml:space="preserve">Milliy normativ</w:t>
            </w:r>
          </w:p>
        </w:tc>
      </w:tr>
    </w:tbl>
    <w:p>
      <w:pPr>
        <w:pStyle w:val="BodyText"/>
        <w:spacing w:line="360" w:lineRule="auto" w:before="0" w:after="0"/>
        <w:ind w:firstLine="709"/>
        <w:jc w:val="both"/>
      </w:pPr>
      <w:r>
        <w:rPr>
          <w:rFonts w:ascii="Times New Roman" w:hAnsi="Times New Roman" w:cs="Times New Roman" w:eastAsia="Times New Roman"/>
          <w:sz w:val="28"/>
        </w:rPr>
        <w:t xml:space="preserve">Jadvaldan ko‘rinadiki, O‘zbekistonda miqdoriy kapital talablari Bazel III minimumlaridan yuqori belgilangan, likvidlik bo‘yicha esa xalqaro koeffitsiyentlar bilan bir qatorda milliy normativlar ham saqlanib qolgan. B.T. Berdiyarov aynan shu milliy likvidlik normativlarini XVJ ning moliyaviy barqarorlik ko‘rsatkichlari bilan birgalikda baholash tizimiga kiritishni taklif etgan edi</w:t>
      </w:r>
      <w:r>
        <w:rPr>
          <w:rStyle w:val="FootnoteReference"/>
        </w:rPr>
        <w:footnoteReference w:id="26"/>
      </w:r>
      <w:r>
        <w:rPr>
          <w:rFonts w:ascii="Times New Roman" w:hAnsi="Times New Roman" w:cs="Times New Roman" w:eastAsia="Times New Roman"/>
          <w:sz w:val="28"/>
        </w:rPr>
        <w:t xml:space="preserve">.</w:t>
      </w:r>
    </w:p>
    <w:p>
      <w:pPr>
        <w:pStyle w:val="BodyText"/>
        <w:spacing w:line="360" w:lineRule="auto" w:before="0" w:after="0"/>
        <w:ind w:firstLine="709"/>
        <w:jc w:val="both"/>
      </w:pPr>
      <w:r>
        <w:rPr>
          <w:bCs/>
          <w:rFonts w:ascii="Times New Roman" w:hAnsi="Times New Roman" w:cs="Times New Roman" w:eastAsia="Times New Roman"/>
          <w:b/>
          <w:sz w:val="28"/>
        </w:rPr>
        <w:t xml:space="preserve">Risklarga asoslangan nazorat.</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Baholashning ikkinchi darajasi – alohida banklar risk profilini baholash. O‘zbekistonda CAMEL reyting tizimi 1997–1998-yillarda joriy etilgan bo‘lib</w:t>
      </w:r>
      <w:r>
        <w:rPr>
          <w:rStyle w:val="FootnoteReference"/>
        </w:rPr>
        <w:footnoteReference w:id="27"/>
      </w:r>
      <w:r>
        <w:rPr>
          <w:rFonts w:ascii="Times New Roman" w:hAnsi="Times New Roman" w:cs="Times New Roman" w:eastAsia="Times New Roman"/>
          <w:sz w:val="28"/>
        </w:rPr>
        <w:t xml:space="preserve">, hozirgi kunda u Markaziy bankning 2023-yilda tasdiqlangan risklarga asoslangan nazorat bo‘yicha qo‘llanmasiga asoslangan tizim bilan almashtirilgan. Bu tizimda banklar risk profili va ichki nazorat tizimi avtomatik reyting baholari asosida baholanadi, «kuratorlar» esa bu baholarga tuzatish kiritadi</w:t>
      </w:r>
      <w:r>
        <w:rPr>
          <w:rStyle w:val="FootnoteReference"/>
        </w:rPr>
        <w:footnoteReference w:id="28"/>
      </w:r>
      <w:r>
        <w:rPr>
          <w:rFonts w:ascii="Times New Roman" w:hAnsi="Times New Roman" w:cs="Times New Roman" w:eastAsia="Times New Roman"/>
          <w:sz w:val="28"/>
        </w:rPr>
        <w:t xml:space="preserve">. Markaziy bankning asoslangan mulohazasi ham shu darajada qo‘llanadi.</w:t>
      </w:r>
    </w:p>
    <w:p>
      <w:pPr>
        <w:pStyle w:val="BodyText"/>
        <w:spacing w:line="360" w:lineRule="auto" w:before="0" w:after="0"/>
        <w:ind w:firstLine="709"/>
        <w:jc w:val="both"/>
      </w:pPr>
      <w:r>
        <w:rPr>
          <w:rFonts w:ascii="Times New Roman" w:hAnsi="Times New Roman" w:cs="Times New Roman" w:eastAsia="Times New Roman"/>
          <w:sz w:val="28"/>
        </w:rPr>
        <w:t xml:space="preserve">Biroq bu baholashning natijalari oshkor qilinmaydi va ochiq ma’lumotlar asosida takrorlab bo‘lmaydi. T.M. Karaliyev va I.F. Sayfiddinov milliy CAMEL tizimida omillar uchun solishtirma vazn va qiyosiy baholash yo‘qligini qayd etgan edi</w:t>
      </w:r>
      <w:r>
        <w:rPr>
          <w:rStyle w:val="FootnoteReference"/>
        </w:rPr>
        <w:footnoteReference w:id="29"/>
      </w:r>
      <w:r>
        <w:rPr>
          <w:rFonts w:ascii="Times New Roman" w:hAnsi="Times New Roman" w:cs="Times New Roman" w:eastAsia="Times New Roman"/>
          <w:sz w:val="28"/>
        </w:rPr>
        <w:t xml:space="preserve">. Yo‘l xaritasida ham avtomatik reyting tuzatishlarini muntazam tekshirish va ularning asoslanganligini ta’minlash uchun alohida «sifat nazorati» bo‘linmasini tashkil etish ko‘zda tutilgani bu muammo hali dolzarbligini ko‘rsatadi</w:t>
      </w:r>
      <w:r>
        <w:rPr>
          <w:rStyle w:val="FootnoteReference"/>
        </w:rPr>
        <w:footnoteReference w:id="30"/>
      </w:r>
      <w:r>
        <w:rPr>
          <w:rFonts w:ascii="Times New Roman" w:hAnsi="Times New Roman" w:cs="Times New Roman" w:eastAsia="Times New Roman"/>
          <w:sz w:val="28"/>
        </w:rPr>
        <w:t xml:space="preserve">.</w:t>
      </w:r>
    </w:p>
    <w:p>
      <w:pPr>
        <w:pStyle w:val="BodyText"/>
        <w:spacing w:line="360" w:lineRule="auto" w:before="0" w:after="0"/>
        <w:ind w:firstLine="709"/>
        <w:jc w:val="both"/>
      </w:pPr>
      <w:r>
        <w:rPr>
          <w:bCs/>
          <w:rFonts w:ascii="Times New Roman" w:hAnsi="Times New Roman" w:cs="Times New Roman" w:eastAsia="Times New Roman"/>
          <w:b/>
          <w:sz w:val="28"/>
        </w:rPr>
        <w:t xml:space="preserve">Makroprudensial monitoring.</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Baholashning uchinchi darajasi – bank tizimi barqarorligini kuzatish. Markaziy bank yiliga ikki marta moliyaviy barqarorlik sharhini e’lon qiladi, to‘lov qobiliyati va likvidlik bo‘yicha makro stress-testlar o‘tkazadi va kontrsiklik bufer darajasini yiliga ikki marta qayta ko‘rib chiqadi</w:t>
      </w:r>
      <w:r>
        <w:rPr>
          <w:rStyle w:val="FootnoteReference"/>
        </w:rPr>
        <w:footnoteReference w:id="31"/>
      </w:r>
      <w:r>
        <w:rPr>
          <w:rFonts w:ascii="Times New Roman" w:hAnsi="Times New Roman" w:cs="Times New Roman" w:eastAsia="Times New Roman"/>
          <w:sz w:val="28"/>
        </w:rPr>
        <w:t xml:space="preserve">. 2023-yildan boshlab tizimli ahamiyatga molik banklar har yili aniqlanadi; 2026-yil uchun ro‘yxatga yetti bank – O‘zmilliybank, Agrobank, O‘zsanoatqurilishbank, Xalq banki, Ipoteka-bank, Kapitalbank va Asakabank kiritilgan</w:t>
      </w:r>
      <w:r>
        <w:rPr>
          <w:rStyle w:val="FootnoteReference"/>
        </w:rPr>
        <w:footnoteReference w:id="32"/>
      </w:r>
      <w:r>
        <w:rPr>
          <w:rFonts w:ascii="Times New Roman" w:hAnsi="Times New Roman" w:cs="Times New Roman" w:eastAsia="Times New Roman"/>
          <w:sz w:val="28"/>
        </w:rPr>
        <w:t xml:space="preserve">.</w:t>
      </w:r>
    </w:p>
    <w:bookmarkEnd w:id="33"/>
    <w:bookmarkStart w:id="41" w:name="Xd6eefd4cc7ba4b935b761c202625a21524724c6"/>
    <w:p>
      <w:pPr>
        <w:pStyle w:val="Heading3"/>
        <w:keepNext/>
        <w:spacing w:line="360" w:lineRule="auto" w:before="240" w:after="120"/>
        <w:ind w:firstLine="709"/>
        <w:jc w:val="both"/>
      </w:pPr>
      <w:r>
        <w:rPr>
          <w:rFonts w:ascii="Times New Roman" w:hAnsi="Times New Roman" w:cs="Times New Roman" w:eastAsia="Times New Roman"/>
          <w:b/>
          <w:i w:val="0"/>
          <w:sz w:val="28"/>
        </w:rPr>
        <w:t xml:space="preserve">3. Bank tizimi moliyaviy barqarorligining asosiy ko‘rsatkichlari</w:t>
      </w:r>
    </w:p>
    <w:p>
      <w:pPr>
        <w:pStyle w:val="FirstParagraph"/>
        <w:spacing w:line="360" w:lineRule="auto" w:before="0" w:after="0"/>
        <w:ind w:firstLine="709"/>
        <w:jc w:val="both"/>
      </w:pPr>
      <w:r>
        <w:rPr>
          <w:rFonts w:ascii="Times New Roman" w:hAnsi="Times New Roman" w:cs="Times New Roman" w:eastAsia="Times New Roman"/>
          <w:sz w:val="28"/>
        </w:rPr>
        <w:t xml:space="preserve">Amaldagi baholash tizimi natijalariga ko‘ra, O‘zbekiston bank tizimi kapital yetarliligi bo‘yicha barqaror holatda. Kapital monandligi 2021–2025-yillarda 17,4–18,3 foiz oralig‘ida bo‘lib, 2023-yil oxirida 17,5 foizni</w:t>
      </w:r>
      <w:r>
        <w:rPr>
          <w:rStyle w:val="FootnoteReference"/>
        </w:rPr>
        <w:footnoteReference w:id="34"/>
      </w:r>
      <w:r>
        <w:rPr>
          <w:rFonts w:ascii="Times New Roman" w:hAnsi="Times New Roman" w:cs="Times New Roman" w:eastAsia="Times New Roman"/>
          <w:sz w:val="28"/>
        </w:rPr>
        <w:t xml:space="preserve">, 2025-yil oxirida 18,3 foizni tashkil etgan; asosiy kapital (CET1) monandligi 2025-yil oxirida 14,7 foizga teng bo‘lgan</w:t>
      </w:r>
      <w:r>
        <w:rPr>
          <w:rStyle w:val="FootnoteReference"/>
        </w:rPr>
        <w:footnoteReference w:id="35"/>
      </w:r>
      <w:r>
        <w:rPr>
          <w:rFonts w:ascii="Times New Roman" w:hAnsi="Times New Roman" w:cs="Times New Roman" w:eastAsia="Times New Roman"/>
          <w:sz w:val="28"/>
        </w:rPr>
        <w:t xml:space="preserve">. Muammoli kreditlar ulushi esa 2021-yil oxiridagi 5,2 foizdan 2025-yil oxirida 3,0 foizgacha kamaygan</w:t>
      </w:r>
      <w:r>
        <w:rPr>
          <w:rStyle w:val="FootnoteReference"/>
        </w:rPr>
        <w:footnoteReference w:id="36"/>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(2.1.3-rasm).</w:t>
      </w:r>
    </w:p>
    <w:p>
      <w:pPr>
        <w:pStyle w:val="BodyText"/>
        <w:keepNext/>
        <w:spacing w:line="240" w:lineRule="auto" w:before="0" w:after="0"/>
        <w:ind w:firstLine="0"/>
        <w:jc w:val="center"/>
      </w:pPr>
      <w:r xmlns:c="http://schemas.openxmlformats.org/drawingml/2006/chart">
        <w:rPr>
          <w:noProof/>
        </w:rPr>
        <w:drawing>
          <wp:inline distT="0" distB="0" distL="0" distR="0">
            <wp:extent cx="5760000" cy="2880000"/>
            <wp:effectExtent l="0" t="0" r="0" b="0"/>
            <wp:docPr id="1003" name="2.1.3-rasm"/>
            <wp:cNvGraphicFramePr/>
            <a:graphic>
              <a:graphicData uri="http://schemas.openxmlformats.org/drawingml/2006/chart">
                <c:chart r:id="rId9"/>
              </a:graphicData>
            </a:graphic>
          </wp:inline>
        </w:drawing>
      </w:r>
    </w:p>
    <w:p>
      <w:pPr>
        <w:pStyle w:val="BodyText"/>
        <w:spacing w:line="240" w:lineRule="auto" w:before="120" w:after="240"/>
        <w:ind w:firstLine="0"/>
        <w:jc w:val="center"/>
      </w:pPr>
      <w:r>
        <w:rPr>
          <w:rFonts w:ascii="Times New Roman" w:hAnsi="Times New Roman" w:cs="Times New Roman" w:eastAsia="Times New Roman"/>
          <w:b/>
          <w:sz w:val="28"/>
        </w:rPr>
        <w:t xml:space="preserve">2.1.3-rasm. O‘zbekiston bank tizimida kapital monandligi ko‘rsatkichlari dinamikasi, %</w:t>
      </w:r>
      <w:r>
        <w:rPr>
          <w:rStyle w:val="FootnoteReference"/>
        </w:rPr>
        <w:footnoteReference w:id="37"/>
      </w:r>
    </w:p>
    <w:p>
      <w:pPr>
        <w:pStyle w:val="BodyText"/>
        <w:spacing w:line="360" w:lineRule="auto" w:before="0" w:after="0"/>
        <w:ind w:firstLine="709"/>
        <w:jc w:val="both"/>
      </w:pPr>
      <w:r>
        <w:rPr>
          <w:rFonts w:ascii="Times New Roman" w:hAnsi="Times New Roman" w:cs="Times New Roman" w:eastAsia="Times New Roman"/>
          <w:sz w:val="28"/>
        </w:rPr>
        <w:t xml:space="preserve">Shu bilan birga, stress-test natijalari bu ko‘rsatkichlarning yuqori darajasi mutlaq barqarorlik kafolati emasligini ko‘rsatadi. Markaziy bankning 2025-yil uchun moliyaviy barqarorlik sharhida keltirilgan salbiy ssenariyga ko‘ra, bank tizimida CET1 monandligi 2028-yil oxirigacha 5,6 foizgacha, jami kapital monandligi esa 6,8 foizgacha pasayishi mumkin</w:t>
      </w:r>
      <w:r>
        <w:rPr>
          <w:rStyle w:val="FootnoteReference"/>
        </w:rPr>
        <w:footnoteReference w:id="38"/>
      </w:r>
      <w:r>
        <w:rPr>
          <w:rFonts w:ascii="Times New Roman" w:hAnsi="Times New Roman" w:cs="Times New Roman" w:eastAsia="Times New Roman"/>
          <w:sz w:val="28"/>
        </w:rPr>
        <w:t xml:space="preserve">. 2025-yil birinchi yarmi bo‘yicha sharhda bu ko‘rsatkichlar mos ravishda 6,1 va 8,4 foiz, leverej koeffitsiyenti esa 5,3 foiz deb baholangan edi</w:t>
      </w:r>
      <w:r>
        <w:rPr>
          <w:rStyle w:val="FootnoteReference"/>
        </w:rPr>
        <w:footnoteReference w:id="39"/>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(2.1.4-rasm).</w:t>
      </w:r>
    </w:p>
    <w:p>
      <w:pPr>
        <w:pStyle w:val="BodyText"/>
        <w:keepNext/>
        <w:spacing w:line="240" w:lineRule="auto" w:before="0" w:after="0"/>
        <w:ind w:firstLine="0"/>
        <w:jc w:val="center"/>
      </w:pPr>
      <w:r xmlns:c="http://schemas.openxmlformats.org/drawingml/2006/chart">
        <w:rPr>
          <w:noProof/>
        </w:rPr>
        <w:drawing>
          <wp:inline distT="0" distB="0" distL="0" distR="0">
            <wp:extent cx="5760000" cy="2880000"/>
            <wp:effectExtent l="0" t="0" r="0" b="0"/>
            <wp:docPr id="1004" name="2.1.4-rasm"/>
            <wp:cNvGraphicFramePr/>
            <a:graphic>
              <a:graphicData uri="http://schemas.openxmlformats.org/drawingml/2006/chart">
                <c:chart r:id="rId10"/>
              </a:graphicData>
            </a:graphic>
          </wp:inline>
        </w:drawing>
      </w:r>
    </w:p>
    <w:p>
      <w:pPr>
        <w:pStyle w:val="BodyText"/>
        <w:spacing w:line="240" w:lineRule="auto" w:before="120" w:after="240"/>
        <w:ind w:firstLine="0"/>
        <w:jc w:val="center"/>
      </w:pPr>
      <w:r>
        <w:rPr>
          <w:rFonts w:ascii="Times New Roman" w:hAnsi="Times New Roman" w:cs="Times New Roman" w:eastAsia="Times New Roman"/>
          <w:b/>
          <w:sz w:val="28"/>
        </w:rPr>
        <w:t xml:space="preserve">2.1.4-rasm. Salbiy stress-ssenariyda bank tizimi kapital ko‘rsatkichlarining o‘zgarishi, %</w:t>
      </w:r>
      <w:r>
        <w:rPr>
          <w:rStyle w:val="FootnoteReference"/>
        </w:rPr>
        <w:footnoteReference w:id="40"/>
      </w:r>
    </w:p>
    <w:p>
      <w:pPr>
        <w:pStyle w:val="BodyText"/>
        <w:spacing w:line="360" w:lineRule="auto" w:before="0" w:after="0"/>
        <w:ind w:firstLine="709"/>
        <w:jc w:val="both"/>
      </w:pPr>
      <w:r>
        <w:rPr>
          <w:rFonts w:ascii="Times New Roman" w:hAnsi="Times New Roman" w:cs="Times New Roman" w:eastAsia="Times New Roman"/>
          <w:sz w:val="28"/>
        </w:rPr>
        <w:t xml:space="preserve">Rasmdan ko‘rinadiki, salbiy ssenariyda kapital ko‘rsatkichlari amaldagi regulyativ minimumlardan (CET1 bo‘yicha 8 foiz, jami kapital bo‘yicha 13 foiz) past darajaga tushishi mumkin. Bu ikki xulosaga olib keladi. Birinchidan, kapitalning hozirgi zaxirasi asosan bazaviy ssenariyda yetarli, ammo jiddiy makroiqtisodiy shokda uning katta qismi yo‘qolishi mumkin. Ikkinchidan, bir sanadagi kapital ko‘rsatkichiga tayanuvchi baholash bankning kelajakdagi barqarorligini to‘liq aks ettirmaydi, shuning uchun baholash metodikasi istiqbolli (prognoz) elementni ham o‘z ichiga olishi kerak.</w:t>
      </w:r>
    </w:p>
    <w:bookmarkEnd w:id="41"/>
    <w:bookmarkStart w:id="55" w:name="X1eb9f5556cdb29c45b5626a98aaf278fffe0b89"/>
    <w:p>
      <w:pPr>
        <w:pStyle w:val="Heading3"/>
        <w:keepNext/>
        <w:spacing w:line="360" w:lineRule="auto" w:before="240" w:after="120"/>
        <w:ind w:firstLine="709"/>
        <w:jc w:val="both"/>
      </w:pPr>
      <w:r>
        <w:rPr>
          <w:rFonts w:ascii="Times New Roman" w:hAnsi="Times New Roman" w:cs="Times New Roman" w:eastAsia="Times New Roman"/>
          <w:b/>
          <w:i w:val="0"/>
          <w:sz w:val="28"/>
        </w:rPr>
        <w:t xml:space="preserve">4. Xalqaro standartlarga moslashtirish muammolari</w:t>
      </w:r>
    </w:p>
    <w:p>
      <w:pPr>
        <w:pStyle w:val="FirstParagraph"/>
        <w:spacing w:line="360" w:lineRule="auto" w:before="0" w:after="0"/>
        <w:ind w:firstLine="709"/>
        <w:jc w:val="both"/>
      </w:pPr>
      <w:r>
        <w:rPr>
          <w:rFonts w:ascii="Times New Roman" w:hAnsi="Times New Roman" w:cs="Times New Roman" w:eastAsia="Times New Roman"/>
          <w:sz w:val="28"/>
        </w:rPr>
        <w:t xml:space="preserve">XVJ va Jahon banki FSAP doirasida O‘zbekiston bank nazoratining Bazel qo‘mitasi tamoyillariga muvofiqligini baholab, rasmiy va mazmuniy muvofiqlik o‘rtasida sezilarli tafovut borligini aniqladi. XVJ ta’kidlashicha, Markaziy bank Bazel III ga o‘tganini e’lon qilgan bo‘lsa-da, kapital ta’rifini va kredit riski bo‘yicha tortilgan aktivlarni hisoblash metodikasini kuchaytirish zarur</w:t>
      </w:r>
      <w:r>
        <w:rPr>
          <w:rStyle w:val="FootnoteReference"/>
        </w:rPr>
        <w:footnoteReference w:id="42"/>
      </w:r>
      <w:r>
        <w:rPr>
          <w:rFonts w:ascii="Times New Roman" w:hAnsi="Times New Roman" w:cs="Times New Roman" w:eastAsia="Times New Roman"/>
          <w:sz w:val="28"/>
        </w:rPr>
        <w:t xml:space="preserve">. FSAP topilmalari va ularga javoban yo‘l xaritasida belgilangan choralar 2.1.2-jadvalda tizimlashtirilgan.</w:t>
      </w:r>
    </w:p>
    <w:p>
      <w:pPr>
        <w:pStyle w:val="BodyText"/>
        <w:keepNext/>
        <w:spacing w:line="360" w:lineRule="auto" w:before="120" w:after="0"/>
        <w:ind w:firstLine="0"/>
        <w:jc w:val="right"/>
      </w:pPr>
      <w:r>
        <w:rPr>
          <w:rFonts w:ascii="Times New Roman" w:hAnsi="Times New Roman" w:cs="Times New Roman" w:eastAsia="Times New Roman"/>
          <w:i/>
          <w:sz w:val="28"/>
        </w:rPr>
        <w:t xml:space="preserve">2.1.2-jadval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O‘zbekistonda banklar moliyaviy barqarorligini baholashning xalqaro standartlarga muvofiqligi: tafovutlar va choralar</w:t>
      </w:r>
      <w:r>
        <w:rPr>
          <w:rStyle w:val="FootnoteReference"/>
        </w:rPr>
        <w:footnoteReference w:id="43"/>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584"/>
        <w:gridCol w:w="1584"/>
        <w:gridCol w:w="1584"/>
        <w:gridCol w:w="1584"/>
        <w:gridCol w:w="1584"/>
      </w:tblGrid>
      <w:tr>
        <w:trPr>
          <w:tblHeader w:val="true"/>
          <w:cantSplit/>
          <w:tblHeader/>
        </w:trPr>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Soha</w:t>
            </w:r>
          </w:p>
        </w:tc>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Xalqaro talab</w:t>
            </w:r>
          </w:p>
        </w:tc>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O‘zbekistondagi holat (FSAP)</w:t>
            </w:r>
          </w:p>
        </w:tc>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Yo‘l xaritasidagi chora</w:t>
            </w:r>
          </w:p>
        </w:tc>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Muddat</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Kapital ta’rifi</w:t>
            </w:r>
          </w:p>
        </w:tc>
        <w:tc>
          <w:tcPr/>
          <w:p>
            <w:pPr>
              <w:pStyle w:val="Compact"/>
              <w:spacing w:line="240" w:lineRule="auto"/>
              <w:ind w:firstLine="0"/>
              <w:jc w:val="left"/>
            </w:pPr>
            <w:r>
              <w:rPr>
                <w:rFonts w:ascii="Times New Roman" w:hAnsi="Times New Roman" w:cs="Times New Roman" w:eastAsia="Times New Roman"/>
                <w:sz w:val="22"/>
              </w:rPr>
              <w:t xml:space="preserve">Kapital instrumentlari yo‘qotishni qoplash qobiliyatiga ega bo‘lishi kerak</w:t>
            </w:r>
          </w:p>
        </w:tc>
        <w:tc>
          <w:tcPr/>
          <w:p>
            <w:pPr>
              <w:pStyle w:val="Compact"/>
              <w:spacing w:line="240" w:lineRule="auto"/>
              <w:ind w:firstLine="0"/>
              <w:jc w:val="left"/>
            </w:pPr>
            <w:r>
              <w:rPr>
                <w:rFonts w:ascii="Times New Roman" w:hAnsi="Times New Roman" w:cs="Times New Roman" w:eastAsia="Times New Roman"/>
                <w:sz w:val="22"/>
              </w:rPr>
              <w:t xml:space="preserve">II darajali kapitalning ~1/3 qismini tashkil etuvchi subordinar qarzlar hisobdan chiqarish yoki konvertatsiya xususiyatiga ega emas</w:t>
            </w:r>
          </w:p>
        </w:tc>
        <w:tc>
          <w:tcPr/>
          <w:p>
            <w:pPr>
              <w:pStyle w:val="Compact"/>
              <w:spacing w:line="240" w:lineRule="auto"/>
              <w:ind w:firstLine="0"/>
              <w:jc w:val="left"/>
            </w:pPr>
            <w:r>
              <w:rPr>
                <w:rFonts w:ascii="Times New Roman" w:hAnsi="Times New Roman" w:cs="Times New Roman" w:eastAsia="Times New Roman"/>
                <w:sz w:val="22"/>
              </w:rPr>
              <w:t xml:space="preserve">I va II darajali kapital tarkibi va mezonlarini takomillashtirish</w:t>
            </w:r>
          </w:p>
        </w:tc>
        <w:tc>
          <w:tcPr/>
          <w:p>
            <w:pPr>
              <w:pStyle w:val="Compact"/>
              <w:spacing w:line="240" w:lineRule="auto"/>
              <w:ind w:firstLine="0"/>
              <w:jc w:val="left"/>
            </w:pPr>
            <w:r>
              <w:rPr>
                <w:rFonts w:ascii="Times New Roman" w:hAnsi="Times New Roman" w:cs="Times New Roman" w:eastAsia="Times New Roman"/>
                <w:sz w:val="22"/>
              </w:rPr>
              <w:t xml:space="preserve">2026-y. I chorak</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Risk bo‘yicha tortilgan aktivlar</w:t>
            </w:r>
          </w:p>
        </w:tc>
        <w:tc>
          <w:tcPr/>
          <w:p>
            <w:pPr>
              <w:pStyle w:val="Compact"/>
              <w:spacing w:line="240" w:lineRule="auto"/>
              <w:ind w:firstLine="0"/>
              <w:jc w:val="left"/>
            </w:pPr>
            <w:r>
              <w:rPr>
                <w:rFonts w:ascii="Times New Roman" w:hAnsi="Times New Roman" w:cs="Times New Roman" w:eastAsia="Times New Roman"/>
                <w:sz w:val="22"/>
              </w:rPr>
              <w:t xml:space="preserve">Bazel metodikasi bo‘yicha kredit, operatsion va bozor risklarini hisoblash</w:t>
            </w:r>
          </w:p>
        </w:tc>
        <w:tc>
          <w:tcPr/>
          <w:p>
            <w:pPr>
              <w:pStyle w:val="Compact"/>
              <w:spacing w:line="240" w:lineRule="auto"/>
              <w:ind w:firstLine="0"/>
              <w:jc w:val="left"/>
            </w:pPr>
            <w:r>
              <w:rPr>
                <w:rFonts w:ascii="Times New Roman" w:hAnsi="Times New Roman" w:cs="Times New Roman" w:eastAsia="Times New Roman"/>
                <w:sz w:val="22"/>
              </w:rPr>
              <w:t xml:space="preserve">Ayrim jihatlarda Bazel metodikasidan chetlanish</w:t>
            </w:r>
          </w:p>
        </w:tc>
        <w:tc>
          <w:tcPr/>
          <w:p>
            <w:pPr>
              <w:pStyle w:val="Compact"/>
              <w:spacing w:line="240" w:lineRule="auto"/>
              <w:ind w:firstLine="0"/>
              <w:jc w:val="left"/>
            </w:pPr>
            <w:r>
              <w:rPr>
                <w:rFonts w:ascii="Times New Roman" w:hAnsi="Times New Roman" w:cs="Times New Roman" w:eastAsia="Times New Roman"/>
                <w:sz w:val="22"/>
              </w:rPr>
              <w:t xml:space="preserve">Ayrim kredit, operatsion va bozor risklarini hisoblash tartibini takomillashtirish</w:t>
            </w:r>
          </w:p>
        </w:tc>
        <w:tc>
          <w:tcPr/>
          <w:p>
            <w:pPr>
              <w:pStyle w:val="Compact"/>
              <w:spacing w:line="240" w:lineRule="auto"/>
              <w:ind w:firstLine="0"/>
              <w:jc w:val="left"/>
            </w:pPr>
            <w:r>
              <w:rPr>
                <w:rFonts w:ascii="Times New Roman" w:hAnsi="Times New Roman" w:cs="Times New Roman" w:eastAsia="Times New Roman"/>
                <w:sz w:val="22"/>
              </w:rPr>
              <w:t xml:space="preserve">2026-y. I chorak</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Kapital buferlari</w:t>
            </w:r>
          </w:p>
        </w:tc>
        <w:tc>
          <w:tcPr/>
          <w:p>
            <w:pPr>
              <w:pStyle w:val="Compact"/>
              <w:spacing w:line="240" w:lineRule="auto"/>
              <w:ind w:firstLine="0"/>
              <w:jc w:val="left"/>
            </w:pPr>
            <w:r>
              <w:rPr>
                <w:rFonts w:ascii="Times New Roman" w:hAnsi="Times New Roman" w:cs="Times New Roman" w:eastAsia="Times New Roman"/>
                <w:sz w:val="22"/>
              </w:rPr>
              <w:t xml:space="preserve">Saqlash, kontrsiklik va tizimli banklar buferlari</w:t>
            </w:r>
          </w:p>
        </w:tc>
        <w:tc>
          <w:tcPr/>
          <w:p>
            <w:pPr>
              <w:pStyle w:val="Compact"/>
              <w:spacing w:line="240" w:lineRule="auto"/>
              <w:ind w:firstLine="0"/>
              <w:jc w:val="left"/>
            </w:pPr>
            <w:r>
              <w:rPr>
                <w:rFonts w:ascii="Times New Roman" w:hAnsi="Times New Roman" w:cs="Times New Roman" w:eastAsia="Times New Roman"/>
                <w:sz w:val="22"/>
              </w:rPr>
              <w:t xml:space="preserve">Tizimli banklar aniqlangan, ammo ularga bufer qo‘llanmagan</w:t>
            </w:r>
          </w:p>
        </w:tc>
        <w:tc>
          <w:tcPr/>
          <w:p>
            <w:pPr>
              <w:pStyle w:val="Compact"/>
              <w:spacing w:line="240" w:lineRule="auto"/>
              <w:ind w:firstLine="0"/>
              <w:jc w:val="left"/>
            </w:pPr>
            <w:r>
              <w:rPr>
                <w:rFonts w:ascii="Times New Roman" w:hAnsi="Times New Roman" w:cs="Times New Roman" w:eastAsia="Times New Roman"/>
                <w:sz w:val="22"/>
              </w:rPr>
              <w:t xml:space="preserve">Uchala bufer joriy etildi (2025–2026)</w:t>
            </w:r>
          </w:p>
        </w:tc>
        <w:tc>
          <w:tcPr/>
          <w:p>
            <w:pPr>
              <w:pStyle w:val="Compact"/>
              <w:spacing w:line="240" w:lineRule="auto"/>
              <w:ind w:firstLine="0"/>
              <w:jc w:val="left"/>
            </w:pPr>
            <w:r>
              <w:rPr>
                <w:rFonts w:ascii="Times New Roman" w:hAnsi="Times New Roman" w:cs="Times New Roman" w:eastAsia="Times New Roman"/>
                <w:sz w:val="22"/>
              </w:rPr>
              <w:t xml:space="preserve">2025–2026-y.</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2-ustun (ICAAP, SREP)</w:t>
            </w:r>
          </w:p>
        </w:tc>
        <w:tc>
          <w:tcPr/>
          <w:p>
            <w:pPr>
              <w:pStyle w:val="Compact"/>
              <w:spacing w:line="240" w:lineRule="auto"/>
              <w:ind w:firstLine="0"/>
              <w:jc w:val="left"/>
            </w:pPr>
            <w:r>
              <w:rPr>
                <w:rFonts w:ascii="Times New Roman" w:hAnsi="Times New Roman" w:cs="Times New Roman" w:eastAsia="Times New Roman"/>
                <w:sz w:val="22"/>
              </w:rPr>
              <w:t xml:space="preserve">Kapital talabi bank risk profiliga moslashtiriladi</w:t>
            </w:r>
          </w:p>
        </w:tc>
        <w:tc>
          <w:tcPr/>
          <w:p>
            <w:pPr>
              <w:pStyle w:val="Compact"/>
              <w:spacing w:line="240" w:lineRule="auto"/>
              <w:ind w:firstLine="0"/>
              <w:jc w:val="left"/>
            </w:pPr>
            <w:r>
              <w:rPr>
                <w:rFonts w:ascii="Times New Roman" w:hAnsi="Times New Roman" w:cs="Times New Roman" w:eastAsia="Times New Roman"/>
                <w:sz w:val="22"/>
              </w:rPr>
              <w:t xml:space="preserve">2-ustun metodikasi yo‘q</w:t>
            </w:r>
          </w:p>
        </w:tc>
        <w:tc>
          <w:tcPr/>
          <w:p>
            <w:pPr>
              <w:pStyle w:val="Compact"/>
              <w:spacing w:line="240" w:lineRule="auto"/>
              <w:ind w:firstLine="0"/>
              <w:jc w:val="left"/>
            </w:pPr>
            <w:r>
              <w:rPr>
                <w:rFonts w:ascii="Times New Roman" w:hAnsi="Times New Roman" w:cs="Times New Roman" w:eastAsia="Times New Roman"/>
                <w:sz w:val="22"/>
              </w:rPr>
              <w:t xml:space="preserve">Tizimli banklarda ICAAP ni majburiy joriy etish; foiz riski asosida 2-ustunni joriy etish</w:t>
            </w:r>
          </w:p>
        </w:tc>
        <w:tc>
          <w:tcPr/>
          <w:p>
            <w:pPr>
              <w:pStyle w:val="Compact"/>
              <w:spacing w:line="240" w:lineRule="auto"/>
              <w:ind w:firstLine="0"/>
              <w:jc w:val="left"/>
            </w:pPr>
            <w:r>
              <w:rPr>
                <w:rFonts w:ascii="Times New Roman" w:hAnsi="Times New Roman" w:cs="Times New Roman" w:eastAsia="Times New Roman"/>
                <w:sz w:val="22"/>
              </w:rPr>
              <w:t xml:space="preserve">2026–2028-y.; ICAAP – 2027-y. III chorak</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Aktivlar sifati</w:t>
            </w:r>
          </w:p>
        </w:tc>
        <w:tc>
          <w:tcPr/>
          <w:p>
            <w:pPr>
              <w:pStyle w:val="Compact"/>
              <w:spacing w:line="240" w:lineRule="auto"/>
              <w:ind w:firstLine="0"/>
              <w:jc w:val="left"/>
            </w:pPr>
            <w:r>
              <w:rPr>
                <w:rFonts w:ascii="Times New Roman" w:hAnsi="Times New Roman" w:cs="Times New Roman" w:eastAsia="Times New Roman"/>
                <w:sz w:val="22"/>
              </w:rPr>
              <w:t xml:space="preserve">Muammoli kreditlar va restrukturizatsiya qilingan aktivlarning Bazel ta’riflari; MHXS 9</w:t>
            </w:r>
          </w:p>
        </w:tc>
        <w:tc>
          <w:tcPr/>
          <w:p>
            <w:pPr>
              <w:pStyle w:val="Compact"/>
              <w:spacing w:line="240" w:lineRule="auto"/>
              <w:ind w:firstLine="0"/>
              <w:jc w:val="left"/>
            </w:pPr>
            <w:r>
              <w:rPr>
                <w:rFonts w:ascii="Times New Roman" w:hAnsi="Times New Roman" w:cs="Times New Roman" w:eastAsia="Times New Roman"/>
                <w:sz w:val="22"/>
              </w:rPr>
              <w:t xml:space="preserve">Aktivlar sifati to‘g‘risida hisobotlarda kamsitib ko‘rsatish holatlari, ayniqsa imtiyozli va yo‘naltirilgan kreditlarda</w:t>
            </w:r>
          </w:p>
        </w:tc>
        <w:tc>
          <w:tcPr/>
          <w:p>
            <w:pPr>
              <w:pStyle w:val="Compact"/>
              <w:spacing w:line="240" w:lineRule="auto"/>
              <w:ind w:firstLine="0"/>
              <w:jc w:val="left"/>
            </w:pPr>
            <w:r>
              <w:rPr>
                <w:rFonts w:ascii="Times New Roman" w:hAnsi="Times New Roman" w:cs="Times New Roman" w:eastAsia="Times New Roman"/>
                <w:sz w:val="22"/>
              </w:rPr>
              <w:t xml:space="preserve">Muammoli kredit ta’rifini kengaytirish, MHXS 9 ning 3-bosqichini to‘liq qamrash, «forborne exposures» ta’rifini joriy etish</w:t>
            </w:r>
          </w:p>
        </w:tc>
        <w:tc>
          <w:tcPr/>
          <w:p>
            <w:pPr>
              <w:pStyle w:val="Compact"/>
              <w:spacing w:line="240" w:lineRule="auto"/>
              <w:ind w:firstLine="0"/>
              <w:jc w:val="left"/>
            </w:pPr>
            <w:r>
              <w:rPr>
                <w:rFonts w:ascii="Times New Roman" w:hAnsi="Times New Roman" w:cs="Times New Roman" w:eastAsia="Times New Roman"/>
                <w:sz w:val="22"/>
              </w:rPr>
              <w:t xml:space="preserve">2026-y. II chorak</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Likvidlik</w:t>
            </w:r>
          </w:p>
        </w:tc>
        <w:tc>
          <w:tcPr/>
          <w:p>
            <w:pPr>
              <w:pStyle w:val="Compact"/>
              <w:spacing w:line="240" w:lineRule="auto"/>
              <w:ind w:firstLine="0"/>
              <w:jc w:val="left"/>
            </w:pPr>
            <w:r>
              <w:rPr>
                <w:rFonts w:ascii="Times New Roman" w:hAnsi="Times New Roman" w:cs="Times New Roman" w:eastAsia="Times New Roman"/>
                <w:sz w:val="22"/>
              </w:rPr>
              <w:t xml:space="preserve">LCR va NSFR elementlari Bazel III ga to‘liq mos</w:t>
            </w:r>
          </w:p>
        </w:tc>
        <w:tc>
          <w:tcPr/>
          <w:p>
            <w:pPr>
              <w:pStyle w:val="Compact"/>
              <w:spacing w:line="240" w:lineRule="auto"/>
              <w:ind w:firstLine="0"/>
              <w:jc w:val="left"/>
            </w:pPr>
            <w:r>
              <w:rPr>
                <w:rFonts w:ascii="Times New Roman" w:hAnsi="Times New Roman" w:cs="Times New Roman" w:eastAsia="Times New Roman"/>
                <w:sz w:val="22"/>
              </w:rPr>
              <w:t xml:space="preserve">Ayrim elementlar va koeffitsiyentlar Bazel III dan farq qiladi</w:t>
            </w:r>
          </w:p>
        </w:tc>
        <w:tc>
          <w:tcPr/>
          <w:p>
            <w:pPr>
              <w:pStyle w:val="Compact"/>
              <w:spacing w:line="240" w:lineRule="auto"/>
              <w:ind w:firstLine="0"/>
              <w:jc w:val="left"/>
            </w:pPr>
            <w:r>
              <w:rPr>
                <w:rFonts w:ascii="Times New Roman" w:hAnsi="Times New Roman" w:cs="Times New Roman" w:eastAsia="Times New Roman"/>
                <w:sz w:val="22"/>
              </w:rPr>
              <w:t xml:space="preserve">LCR va NSFR elementlarini to‘liq moslashtirish, 2026-yil 1-yanvardan monitoring</w:t>
            </w:r>
          </w:p>
        </w:tc>
        <w:tc>
          <w:tcPr/>
          <w:p>
            <w:pPr>
              <w:pStyle w:val="Compact"/>
              <w:spacing w:line="240" w:lineRule="auto"/>
              <w:ind w:firstLine="0"/>
              <w:jc w:val="left"/>
            </w:pPr>
            <w:r>
              <w:rPr>
                <w:rFonts w:ascii="Times New Roman" w:hAnsi="Times New Roman" w:cs="Times New Roman" w:eastAsia="Times New Roman"/>
                <w:sz w:val="22"/>
              </w:rPr>
              <w:t xml:space="preserve">2026-y. I chorak</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3-ustun (oshkoralik)</w:t>
            </w:r>
          </w:p>
        </w:tc>
        <w:tc>
          <w:tcPr/>
          <w:p>
            <w:pPr>
              <w:pStyle w:val="Compact"/>
              <w:spacing w:line="240" w:lineRule="auto"/>
              <w:ind w:firstLine="0"/>
              <w:jc w:val="left"/>
            </w:pPr>
            <w:r>
              <w:rPr>
                <w:rFonts w:ascii="Times New Roman" w:hAnsi="Times New Roman" w:cs="Times New Roman" w:eastAsia="Times New Roman"/>
                <w:sz w:val="22"/>
              </w:rPr>
              <w:t xml:space="preserve">Moliyaviy va nazorat hisobotlarini oshkor qilish bo‘yicha minimal talablar</w:t>
            </w:r>
          </w:p>
        </w:tc>
        <w:tc>
          <w:tcPr/>
          <w:p>
            <w:pPr>
              <w:pStyle w:val="Compact"/>
              <w:spacing w:line="240" w:lineRule="auto"/>
              <w:ind w:firstLine="0"/>
              <w:jc w:val="left"/>
            </w:pPr>
            <w:r>
              <w:rPr>
                <w:rFonts w:ascii="Times New Roman" w:hAnsi="Times New Roman" w:cs="Times New Roman" w:eastAsia="Times New Roman"/>
                <w:sz w:val="22"/>
              </w:rPr>
              <w:t xml:space="preserve">Minimal talablar belgilanmagan</w:t>
            </w:r>
          </w:p>
        </w:tc>
        <w:tc>
          <w:tcPr/>
          <w:p>
            <w:pPr>
              <w:pStyle w:val="Compact"/>
              <w:spacing w:line="240" w:lineRule="auto"/>
              <w:ind w:firstLine="0"/>
              <w:jc w:val="left"/>
            </w:pPr>
            <w:r>
              <w:rPr>
                <w:rFonts w:ascii="Times New Roman" w:hAnsi="Times New Roman" w:cs="Times New Roman" w:eastAsia="Times New Roman"/>
                <w:sz w:val="22"/>
              </w:rPr>
              <w:t xml:space="preserve">Oshkoralik bo‘yicha minimal talablar nizomini ishlab chiqish</w:t>
            </w:r>
          </w:p>
        </w:tc>
        <w:tc>
          <w:tcPr/>
          <w:p>
            <w:pPr>
              <w:pStyle w:val="Compact"/>
              <w:spacing w:line="240" w:lineRule="auto"/>
              <w:ind w:firstLine="0"/>
              <w:jc w:val="left"/>
            </w:pPr>
            <w:r>
              <w:rPr>
                <w:rFonts w:ascii="Times New Roman" w:hAnsi="Times New Roman" w:cs="Times New Roman" w:eastAsia="Times New Roman"/>
                <w:sz w:val="22"/>
              </w:rPr>
              <w:t xml:space="preserve">2027-y. I chorak</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Konsolidatsiyalangan nazorat</w:t>
            </w:r>
          </w:p>
        </w:tc>
        <w:tc>
          <w:tcPr/>
          <w:p>
            <w:pPr>
              <w:pStyle w:val="Compact"/>
              <w:spacing w:line="240" w:lineRule="auto"/>
              <w:ind w:firstLine="0"/>
              <w:jc w:val="left"/>
            </w:pPr>
            <w:r>
              <w:rPr>
                <w:rFonts w:ascii="Times New Roman" w:hAnsi="Times New Roman" w:cs="Times New Roman" w:eastAsia="Times New Roman"/>
                <w:sz w:val="22"/>
              </w:rPr>
              <w:t xml:space="preserve">Bank guruhlari, shu jumladan nobank ona kompaniyalar ustidan nazorat</w:t>
            </w:r>
          </w:p>
        </w:tc>
        <w:tc>
          <w:tcPr/>
          <w:p>
            <w:pPr>
              <w:pStyle w:val="Compact"/>
              <w:spacing w:line="240" w:lineRule="auto"/>
              <w:ind w:firstLine="0"/>
              <w:jc w:val="left"/>
            </w:pPr>
            <w:r>
              <w:rPr>
                <w:rFonts w:ascii="Times New Roman" w:hAnsi="Times New Roman" w:cs="Times New Roman" w:eastAsia="Times New Roman"/>
                <w:sz w:val="22"/>
              </w:rPr>
              <w:t xml:space="preserve">Huquqiy asos to‘liq emas</w:t>
            </w:r>
          </w:p>
        </w:tc>
        <w:tc>
          <w:tcPr/>
          <w:p>
            <w:pPr>
              <w:pStyle w:val="Compact"/>
              <w:spacing w:line="240" w:lineRule="auto"/>
              <w:ind w:firstLine="0"/>
              <w:jc w:val="left"/>
            </w:pPr>
            <w:r>
              <w:rPr>
                <w:rFonts w:ascii="Times New Roman" w:hAnsi="Times New Roman" w:cs="Times New Roman" w:eastAsia="Times New Roman"/>
                <w:sz w:val="22"/>
              </w:rPr>
              <w:t xml:space="preserve">Qonunga o‘zgartirish; konsolidatsiyalangan nazorat nizomi</w:t>
            </w:r>
          </w:p>
        </w:tc>
        <w:tc>
          <w:tcPr/>
          <w:p>
            <w:pPr>
              <w:pStyle w:val="Compact"/>
              <w:spacing w:line="240" w:lineRule="auto"/>
              <w:ind w:firstLine="0"/>
              <w:jc w:val="left"/>
            </w:pPr>
            <w:r>
              <w:rPr>
                <w:rFonts w:ascii="Times New Roman" w:hAnsi="Times New Roman" w:cs="Times New Roman" w:eastAsia="Times New Roman"/>
                <w:sz w:val="22"/>
              </w:rPr>
              <w:t xml:space="preserve">2027-y. II chorak</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Erta aralashuv</w:t>
            </w:r>
          </w:p>
        </w:tc>
        <w:tc>
          <w:tcPr/>
          <w:p>
            <w:pPr>
              <w:pStyle w:val="Compact"/>
              <w:spacing w:line="240" w:lineRule="auto"/>
              <w:ind w:firstLine="0"/>
              <w:jc w:val="left"/>
            </w:pPr>
            <w:r>
              <w:rPr>
                <w:rFonts w:ascii="Times New Roman" w:hAnsi="Times New Roman" w:cs="Times New Roman" w:eastAsia="Times New Roman"/>
                <w:sz w:val="22"/>
              </w:rPr>
              <w:t xml:space="preserve">Erta ogohlantirish tizimi va tezkor tuzatuvchi choralar</w:t>
            </w:r>
          </w:p>
        </w:tc>
        <w:tc>
          <w:tcPr/>
          <w:p>
            <w:pPr>
              <w:pStyle w:val="Compact"/>
              <w:spacing w:line="240" w:lineRule="auto"/>
              <w:ind w:firstLine="0"/>
              <w:jc w:val="left"/>
            </w:pPr>
            <w:r>
              <w:rPr>
                <w:rFonts w:ascii="Times New Roman" w:hAnsi="Times New Roman" w:cs="Times New Roman" w:eastAsia="Times New Roman"/>
                <w:sz w:val="22"/>
              </w:rPr>
              <w:t xml:space="preserve">Mavjud emas</w:t>
            </w:r>
          </w:p>
        </w:tc>
        <w:tc>
          <w:tcPr/>
          <w:p>
            <w:pPr>
              <w:pStyle w:val="Compact"/>
              <w:spacing w:line="240" w:lineRule="auto"/>
              <w:ind w:firstLine="0"/>
              <w:jc w:val="left"/>
            </w:pPr>
            <w:r>
              <w:rPr>
                <w:rFonts w:ascii="Times New Roman" w:hAnsi="Times New Roman" w:cs="Times New Roman" w:eastAsia="Times New Roman"/>
                <w:sz w:val="22"/>
              </w:rPr>
              <w:t xml:space="preserve">Erta ogohlantirish tizimi (EWS) va tezkor tuzatuvchi choralar (PCA) tizimini joriy etish</w:t>
            </w:r>
          </w:p>
        </w:tc>
        <w:tc>
          <w:tcPr/>
          <w:p>
            <w:pPr>
              <w:pStyle w:val="Compact"/>
              <w:spacing w:line="240" w:lineRule="auto"/>
              <w:ind w:firstLine="0"/>
              <w:jc w:val="left"/>
            </w:pPr>
            <w:r>
              <w:rPr>
                <w:rFonts w:ascii="Times New Roman" w:hAnsi="Times New Roman" w:cs="Times New Roman" w:eastAsia="Times New Roman"/>
                <w:sz w:val="22"/>
              </w:rPr>
              <w:t xml:space="preserve">2026-y. I chorak – 2027-y. I chorak</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Banklarni sanatsiya qilish</w:t>
            </w:r>
          </w:p>
        </w:tc>
        <w:tc>
          <w:tcPr/>
          <w:p>
            <w:pPr>
              <w:pStyle w:val="Compact"/>
              <w:spacing w:line="240" w:lineRule="auto"/>
              <w:ind w:firstLine="0"/>
              <w:jc w:val="left"/>
            </w:pPr>
            <w:r>
              <w:rPr>
                <w:rFonts w:ascii="Times New Roman" w:hAnsi="Times New Roman" w:cs="Times New Roman" w:eastAsia="Times New Roman"/>
                <w:sz w:val="22"/>
              </w:rPr>
              <w:t xml:space="preserve">Sanatsiya rejimi, sanatsiya rejalari va jamg‘armasi</w:t>
            </w:r>
          </w:p>
        </w:tc>
        <w:tc>
          <w:tcPr/>
          <w:p>
            <w:pPr>
              <w:pStyle w:val="Compact"/>
              <w:spacing w:line="240" w:lineRule="auto"/>
              <w:ind w:firstLine="0"/>
              <w:jc w:val="left"/>
            </w:pPr>
            <w:r>
              <w:rPr>
                <w:rFonts w:ascii="Times New Roman" w:hAnsi="Times New Roman" w:cs="Times New Roman" w:eastAsia="Times New Roman"/>
                <w:sz w:val="22"/>
              </w:rPr>
              <w:t xml:space="preserve">Shakllanish bosqichida</w:t>
            </w:r>
          </w:p>
        </w:tc>
        <w:tc>
          <w:tcPr/>
          <w:p>
            <w:pPr>
              <w:pStyle w:val="Compact"/>
              <w:spacing w:line="240" w:lineRule="auto"/>
              <w:ind w:firstLine="0"/>
              <w:jc w:val="left"/>
            </w:pPr>
            <w:r>
              <w:rPr>
                <w:rFonts w:ascii="Times New Roman" w:hAnsi="Times New Roman" w:cs="Times New Roman" w:eastAsia="Times New Roman"/>
                <w:sz w:val="22"/>
              </w:rPr>
              <w:t xml:space="preserve">Sanatsiya tizimini yaratish; tizimli banklar uchun birinchi sanatsiya rejalari</w:t>
            </w:r>
          </w:p>
        </w:tc>
        <w:tc>
          <w:tcPr/>
          <w:p>
            <w:pPr>
              <w:pStyle w:val="Compact"/>
              <w:spacing w:line="240" w:lineRule="auto"/>
              <w:ind w:firstLine="0"/>
              <w:jc w:val="left"/>
            </w:pPr>
            <w:r>
              <w:rPr>
                <w:rFonts w:ascii="Times New Roman" w:hAnsi="Times New Roman" w:cs="Times New Roman" w:eastAsia="Times New Roman"/>
                <w:sz w:val="22"/>
              </w:rPr>
              <w:t xml:space="preserve">2026–2028-y.</w:t>
            </w:r>
          </w:p>
        </w:tc>
      </w:tr>
    </w:tbl>
    <w:p>
      <w:pPr>
        <w:pStyle w:val="BodyText"/>
        <w:spacing w:line="360" w:lineRule="auto" w:before="0" w:after="0"/>
        <w:ind w:firstLine="709"/>
        <w:jc w:val="both"/>
      </w:pPr>
      <w:r>
        <w:rPr>
          <w:rFonts w:ascii="Times New Roman" w:hAnsi="Times New Roman" w:cs="Times New Roman" w:eastAsia="Times New Roman"/>
          <w:sz w:val="28"/>
        </w:rPr>
        <w:t xml:space="preserve">Jadvalda keltirilgan tafovutlarni tahlil qilish ularni besh guruhga ajratish imkonini beradi (2.1.5-rasm).</w:t>
      </w:r>
    </w:p>
    <w:p>
      <w:pPr>
        <w:pStyle w:val="BodyText"/>
        <w:keepNext/>
        <w:spacing w:line="240" w:lineRule="auto" w:before="0" w:after="0"/>
        <w:ind w:firstLine="0"/>
        <w:jc w:val="center"/>
      </w:pPr>
      <w:r xmlns:mc="http://schemas.openxmlformats.org/markup-compatibility/2006" xmlns:wpg="http://schemas.microsoft.com/office/word/2010/wordprocessingGroup" xmlns:wps="http://schemas.microsoft.com/office/word/2010/wordprocessingShape">
        <w:rPr>
          <w:noProof/>
        </w:rPr>
        <mc:AlternateContent>
          <mc:Choice Requires="wpg">
            <w:drawing>
              <wp:inline distT="0" distB="0" distL="0" distR="0">
                <wp:extent cx="5904000" cy="2484000"/>
                <wp:effectExtent l="0" t="0" r="0" b="0"/>
                <wp:docPr id="1005" name="2.1.5-rasm"/>
                <wp:cNvGraphicFramePr/>
                <a:graphic>
                  <a:graphicData uri="http://schemas.microsoft.com/office/word/2010/wordprocessingGroup">
                    <wpg:wgp>
                      <wpg:cNvGrpSpPr/>
                      <wpg:grpSpPr>
                        <a:xfrm>
                          <a:off x="0" y="0"/>
                          <a:ext cx="5904000" cy="2484000"/>
                          <a:chOff x="0" y="0"/>
                          <a:chExt cx="5904000" cy="2484000"/>
                        </a:xfrm>
                      </wpg:grpSpPr>
                      <wps:wsp>
                        <wps:cNvPr id="34" name="Shape 34"/>
                        <wps:cNvSpPr/>
                        <wps:spPr>
                          <a:xfrm>
                            <a:off x="1692000" y="36000"/>
                            <a:ext cx="2520000" cy="360000"/>
                          </a:xfrm>
                          <a:prstGeom prst="roundRect">
                            <a:avLst>
                              <a:gd name="adj" fmla="val 10000"/>
                            </a:avLst>
                          </a:prstGeom>
                          <a:solidFill>
                            <a:srgbClr val="1F4E79"/>
                          </a:solidFill>
                          <a:ln w="12700">
                            <a:solidFill>
                              <a:srgbClr val="1F4E79"/>
                            </a:solidFill>
                          </a:ln>
                        </wps:spPr>
                        <wps:txbx>
                          <w:txbxContent>
                            <w:p>
                              <w:pPr>
                                <w:spacing w:before="0" w:after="0" w:line="228" w:lineRule="auto"/>
                                <w:jc w:val="center"/>
                                <w:ind w:firstLine="0"/>
                              </w:pPr>
                              <w:r>
                                <w:rPr>
                                  <w:rFonts w:ascii="Times New Roman" w:hAnsi="Times New Roman" w:cs="Times New Roman"/>
                                  <w:b/>
                                  <w:color w:val="FFFFFF"/>
                                  <w:sz w:val="22"/>
                                  <w:szCs w:val="22"/>
                                </w:rPr>
                                <w:t xml:space="preserve">Xalqaro standartlarga moslashtirish muammolari</w:t>
                              </w:r>
                            </w:p>
                          </w:txbxContent>
                        </wps:txbx>
                        <wps:bodyPr rot="0" vert="horz" wrap="square" lIns="36000" tIns="18000" rIns="36000" bIns="18000" anchor="ctr" anchorCtr="0">
                          <a:noAutofit/>
                        </wps:bodyPr>
                      </wps:wsp>
                      <wps:wsp>
                        <wps:cNvPr id="35" name="Connector 35"/>
                        <wps:cNvCnPr/>
                        <wps:spPr>
                          <a:xfrm flipH="1">
                            <a:off x="585000" y="396000"/>
                            <a:ext cx="2367000" cy="216000"/>
                          </a:xfrm>
                          <a:prstGeom prst="straightConnector1">
                            <a:avLst/>
                          </a:prstGeom>
                          <a:ln w="15875">
                            <a:solidFill>
                              <a:srgbClr val="404040"/>
                            </a:solidFill>
                            <a:tailEnd type="triangle" w="med" len="med"/>
                          </a:ln>
                        </wps:spPr>
                        <wps:bodyPr/>
                      </wps:wsp>
                      <wps:wsp>
                        <wps:cNvPr id="36" name="Shape 36"/>
                        <wps:cNvSpPr/>
                        <wps:spPr>
                          <a:xfrm>
                            <a:off x="36000" y="612000"/>
                            <a:ext cx="1098000" cy="360000"/>
                          </a:xfrm>
                          <a:prstGeom prst="roundRect">
                            <a:avLst>
                              <a:gd name="adj" fmla="val 10000"/>
                            </a:avLst>
                          </a:prstGeom>
                          <a:solidFill>
                            <a:srgbClr val="2A78D6"/>
                          </a:solidFill>
                          <a:ln w="12700">
                            <a:solidFill>
                              <a:srgbClr val="2A78D6"/>
                            </a:solidFill>
                          </a:ln>
                        </wps:spPr>
                        <wps:txbx>
                          <w:txbxContent>
                            <w:p>
                              <w:pPr>
                                <w:spacing w:before="0" w:after="0" w:line="228" w:lineRule="auto"/>
                                <w:jc w:val="center"/>
                                <w:ind w:firstLine="0"/>
                              </w:pPr>
                              <w:r>
                                <w:rPr>
                                  <w:rFonts w:ascii="Times New Roman" w:hAnsi="Times New Roman" w:cs="Times New Roman"/>
                                  <w:b/>
                                  <w:color w:val="FFFFFF"/>
                                  <w:sz w:val="20"/>
                                  <w:szCs w:val="20"/>
                                </w:rPr>
                                <w:t xml:space="preserve">Kapitalni o‘lchash</w:t>
                              </w:r>
                            </w:p>
                          </w:txbxContent>
                        </wps:txbx>
                        <wps:bodyPr rot="0" vert="horz" wrap="square" lIns="36000" tIns="18000" rIns="36000" bIns="18000" anchor="ctr" anchorCtr="0">
                          <a:noAutofit/>
                        </wps:bodyPr>
                      </wps:wsp>
                      <wps:wsp>
                        <wps:cNvPr id="37" name="Shape 37"/>
                        <wps:cNvSpPr/>
                        <wps:spPr>
                          <a:xfrm>
                            <a:off x="36000" y="1026000"/>
                            <a:ext cx="1098000" cy="828000"/>
                          </a:xfrm>
                          <a:prstGeom prst="roundRect">
                            <a:avLst>
                              <a:gd name="adj" fmla="val 10000"/>
                            </a:avLst>
                          </a:prstGeom>
                          <a:solidFill>
                            <a:srgbClr val="F2F2F2"/>
                          </a:solidFill>
                          <a:ln w="12700">
                            <a:solidFill>
                              <a:srgbClr val="2A78D6"/>
                            </a:solidFill>
                          </a:ln>
                        </wps:spPr>
                        <wps:txbx>
                          <w:txbxContent>
                            <w:p>
                              <w:pPr>
                                <w:spacing w:before="0" w:after="0" w:line="228" w:lineRule="auto"/>
                                <w:jc w:val="center"/>
                                <w:ind w:firstLine="0"/>
                              </w:pPr>
                              <w:r>
                                <w:rPr>
                                  <w:rFonts w:ascii="Times New Roman" w:hAnsi="Times New Roman" w:cs="Times New Roman"/>
                                  <w:color w:val="000000"/>
                                  <w:sz w:val="18"/>
                                  <w:szCs w:val="18"/>
                                </w:rPr>
                                <w:t xml:space="preserve">subordinar qarzlar Bazel</w:t>
                              </w:r>
                            </w:p>
                            <w:p>
                              <w:pPr>
                                <w:spacing w:before="0" w:after="0" w:line="228" w:lineRule="auto"/>
                                <w:jc w:val="center"/>
                                <w:ind w:firstLine="0"/>
                              </w:pPr>
                              <w:r>
                                <w:rPr>
                                  <w:rFonts w:ascii="Times New Roman" w:hAnsi="Times New Roman" w:cs="Times New Roman"/>
                                  <w:color w:val="000000"/>
                                  <w:sz w:val="18"/>
                                  <w:szCs w:val="18"/>
                                </w:rPr>
                                <w:t xml:space="preserve">mezonlariga mos emas;</w:t>
                              </w:r>
                            </w:p>
                            <w:p>
                              <w:pPr>
                                <w:spacing w:before="0" w:after="0" w:line="228" w:lineRule="auto"/>
                                <w:jc w:val="center"/>
                                <w:ind w:firstLine="0"/>
                              </w:pPr>
                              <w:r>
                                <w:rPr>
                                  <w:rFonts w:ascii="Times New Roman" w:hAnsi="Times New Roman" w:cs="Times New Roman"/>
                                  <w:color w:val="000000"/>
                                  <w:sz w:val="18"/>
                                  <w:szCs w:val="18"/>
                                </w:rPr>
                                <w:t xml:space="preserve">RWA metodikasida</w:t>
                              </w:r>
                            </w:p>
                            <w:p>
                              <w:pPr>
                                <w:spacing w:before="0" w:after="0" w:line="228" w:lineRule="auto"/>
                                <w:jc w:val="center"/>
                                <w:ind w:firstLine="0"/>
                              </w:pPr>
                              <w:r>
                                <w:rPr>
                                  <w:rFonts w:ascii="Times New Roman" w:hAnsi="Times New Roman" w:cs="Times New Roman"/>
                                  <w:color w:val="000000"/>
                                  <w:sz w:val="18"/>
                                  <w:szCs w:val="18"/>
                                </w:rPr>
                                <w:t xml:space="preserve">chetlanishlar</w:t>
                              </w:r>
                            </w:p>
                          </w:txbxContent>
                        </wps:txbx>
                        <wps:bodyPr rot="0" vert="horz" wrap="square" lIns="36000" tIns="18000" rIns="36000" bIns="18000" anchor="ctr" anchorCtr="0">
                          <a:noAutofit/>
                        </wps:bodyPr>
                      </wps:wsp>
                      <wps:wsp>
                        <wps:cNvPr id="38" name="Connector 38"/>
                        <wps:cNvCnPr/>
                        <wps:spPr>
                          <a:xfrm>
                            <a:off x="585000" y="1854000"/>
                            <a:ext cx="2367000" cy="216000"/>
                          </a:xfrm>
                          <a:prstGeom prst="straightConnector1">
                            <a:avLst/>
                          </a:prstGeom>
                          <a:ln w="12700">
                            <a:solidFill>
                              <a:srgbClr val="7F7F7F"/>
                            </a:solidFill>
                            <a:tailEnd type="triangle" w="med" len="med"/>
                          </a:ln>
                        </wps:spPr>
                        <wps:bodyPr/>
                      </wps:wsp>
                      <wps:wsp>
                        <wps:cNvPr id="39" name="Connector 39"/>
                        <wps:cNvCnPr/>
                        <wps:spPr>
                          <a:xfrm flipH="1">
                            <a:off x="1762200" y="396000"/>
                            <a:ext cx="1189800" cy="216000"/>
                          </a:xfrm>
                          <a:prstGeom prst="straightConnector1">
                            <a:avLst/>
                          </a:prstGeom>
                          <a:ln w="15875">
                            <a:solidFill>
                              <a:srgbClr val="404040"/>
                            </a:solidFill>
                            <a:tailEnd type="triangle" w="med" len="med"/>
                          </a:ln>
                        </wps:spPr>
                        <wps:bodyPr/>
                      </wps:wsp>
                      <wps:wsp>
                        <wps:cNvPr id="40" name="Shape 40"/>
                        <wps:cNvSpPr/>
                        <wps:spPr>
                          <a:xfrm>
                            <a:off x="1213200" y="612000"/>
                            <a:ext cx="1098000" cy="360000"/>
                          </a:xfrm>
                          <a:prstGeom prst="roundRect">
                            <a:avLst>
                              <a:gd name="adj" fmla="val 10000"/>
                            </a:avLst>
                          </a:prstGeom>
                          <a:solidFill>
                            <a:srgbClr val="EB6834"/>
                          </a:solidFill>
                          <a:ln w="12700">
                            <a:solidFill>
                              <a:srgbClr val="EB6834"/>
                            </a:solidFill>
                          </a:ln>
                        </wps:spPr>
                        <wps:txbx>
                          <w:txbxContent>
                            <w:p>
                              <w:pPr>
                                <w:spacing w:before="0" w:after="0" w:line="228" w:lineRule="auto"/>
                                <w:jc w:val="center"/>
                                <w:ind w:firstLine="0"/>
                              </w:pPr>
                              <w:r>
                                <w:rPr>
                                  <w:rFonts w:ascii="Times New Roman" w:hAnsi="Times New Roman" w:cs="Times New Roman"/>
                                  <w:b/>
                                  <w:color w:val="FFFFFF"/>
                                  <w:sz w:val="20"/>
                                  <w:szCs w:val="20"/>
                                </w:rPr>
                                <w:t xml:space="preserve">Aktivlar sifati</w:t>
                              </w:r>
                            </w:p>
                          </w:txbxContent>
                        </wps:txbx>
                        <wps:bodyPr rot="0" vert="horz" wrap="square" lIns="36000" tIns="18000" rIns="36000" bIns="18000" anchor="ctr" anchorCtr="0">
                          <a:noAutofit/>
                        </wps:bodyPr>
                      </wps:wsp>
                      <wps:wsp>
                        <wps:cNvPr id="41" name="Shape 41"/>
                        <wps:cNvSpPr/>
                        <wps:spPr>
                          <a:xfrm>
                            <a:off x="1213200" y="1026000"/>
                            <a:ext cx="1098000" cy="828000"/>
                          </a:xfrm>
                          <a:prstGeom prst="roundRect">
                            <a:avLst>
                              <a:gd name="adj" fmla="val 10000"/>
                            </a:avLst>
                          </a:prstGeom>
                          <a:solidFill>
                            <a:srgbClr val="F2F2F2"/>
                          </a:solidFill>
                          <a:ln w="12700">
                            <a:solidFill>
                              <a:srgbClr val="EB6834"/>
                            </a:solidFill>
                          </a:ln>
                        </wps:spPr>
                        <wps:txbx>
                          <w:txbxContent>
                            <w:p>
                              <w:pPr>
                                <w:spacing w:before="0" w:after="0" w:line="228" w:lineRule="auto"/>
                                <w:jc w:val="center"/>
                                <w:ind w:firstLine="0"/>
                              </w:pPr>
                              <w:r>
                                <w:rPr>
                                  <w:rFonts w:ascii="Times New Roman" w:hAnsi="Times New Roman" w:cs="Times New Roman"/>
                                  <w:color w:val="000000"/>
                                  <w:sz w:val="18"/>
                                  <w:szCs w:val="18"/>
                                </w:rPr>
                                <w:t xml:space="preserve">NPL va restrukturizatsiya</w:t>
                              </w:r>
                            </w:p>
                            <w:p>
                              <w:pPr>
                                <w:spacing w:before="0" w:after="0" w:line="228" w:lineRule="auto"/>
                                <w:jc w:val="center"/>
                                <w:ind w:firstLine="0"/>
                              </w:pPr>
                              <w:r>
                                <w:rPr>
                                  <w:rFonts w:ascii="Times New Roman" w:hAnsi="Times New Roman" w:cs="Times New Roman"/>
                                  <w:color w:val="000000"/>
                                  <w:sz w:val="18"/>
                                  <w:szCs w:val="18"/>
                                </w:rPr>
                                <w:t xml:space="preserve">ta’riflari tor;</w:t>
                              </w:r>
                            </w:p>
                            <w:p>
                              <w:pPr>
                                <w:spacing w:before="0" w:after="0" w:line="228" w:lineRule="auto"/>
                                <w:jc w:val="center"/>
                                <w:ind w:firstLine="0"/>
                              </w:pPr>
                              <w:r>
                                <w:rPr>
                                  <w:rFonts w:ascii="Times New Roman" w:hAnsi="Times New Roman" w:cs="Times New Roman"/>
                                  <w:color w:val="000000"/>
                                  <w:sz w:val="18"/>
                                  <w:szCs w:val="18"/>
                                </w:rPr>
                                <w:t xml:space="preserve">kamsitib ko‘rsatish;</w:t>
                              </w:r>
                            </w:p>
                            <w:p>
                              <w:pPr>
                                <w:spacing w:before="0" w:after="0" w:line="228" w:lineRule="auto"/>
                                <w:jc w:val="center"/>
                                <w:ind w:firstLine="0"/>
                              </w:pPr>
                              <w:r>
                                <w:rPr>
                                  <w:rFonts w:ascii="Times New Roman" w:hAnsi="Times New Roman" w:cs="Times New Roman"/>
                                  <w:color w:val="000000"/>
                                  <w:sz w:val="18"/>
                                  <w:szCs w:val="18"/>
                                </w:rPr>
                                <w:t xml:space="preserve">MHXS 9 to‘liq emas</w:t>
                              </w:r>
                            </w:p>
                          </w:txbxContent>
                        </wps:txbx>
                        <wps:bodyPr rot="0" vert="horz" wrap="square" lIns="36000" tIns="18000" rIns="36000" bIns="18000" anchor="ctr" anchorCtr="0">
                          <a:noAutofit/>
                        </wps:bodyPr>
                      </wps:wsp>
                      <wps:wsp>
                        <wps:cNvPr id="42" name="Connector 42"/>
                        <wps:cNvCnPr/>
                        <wps:spPr>
                          <a:xfrm>
                            <a:off x="1762200" y="1854000"/>
                            <a:ext cx="1189800" cy="216000"/>
                          </a:xfrm>
                          <a:prstGeom prst="straightConnector1">
                            <a:avLst/>
                          </a:prstGeom>
                          <a:ln w="12700">
                            <a:solidFill>
                              <a:srgbClr val="7F7F7F"/>
                            </a:solidFill>
                            <a:tailEnd type="triangle" w="med" len="med"/>
                          </a:ln>
                        </wps:spPr>
                        <wps:bodyPr/>
                      </wps:wsp>
                      <wps:wsp>
                        <wps:cNvPr id="43" name="Connector 43"/>
                        <wps:cNvCnPr/>
                        <wps:spPr>
                          <a:xfrm flipH="1">
                            <a:off x="2939400" y="396000"/>
                            <a:ext cx="12600" cy="216000"/>
                          </a:xfrm>
                          <a:prstGeom prst="straightConnector1">
                            <a:avLst/>
                          </a:prstGeom>
                          <a:ln w="15875">
                            <a:solidFill>
                              <a:srgbClr val="404040"/>
                            </a:solidFill>
                            <a:tailEnd type="triangle" w="med" len="med"/>
                          </a:ln>
                        </wps:spPr>
                        <wps:bodyPr/>
                      </wps:wsp>
                      <wps:wsp>
                        <wps:cNvPr id="44" name="Shape 44"/>
                        <wps:cNvSpPr/>
                        <wps:spPr>
                          <a:xfrm>
                            <a:off x="2390400" y="612000"/>
                            <a:ext cx="1098000" cy="360000"/>
                          </a:xfrm>
                          <a:prstGeom prst="roundRect">
                            <a:avLst>
                              <a:gd name="adj" fmla="val 10000"/>
                            </a:avLst>
                          </a:prstGeom>
                          <a:solidFill>
                            <a:srgbClr val="70AD47"/>
                          </a:solidFill>
                          <a:ln w="12700">
                            <a:solidFill>
                              <a:srgbClr val="70AD47"/>
                            </a:solidFill>
                          </a:ln>
                        </wps:spPr>
                        <wps:txbx>
                          <w:txbxContent>
                            <w:p>
                              <w:pPr>
                                <w:spacing w:before="0" w:after="0" w:line="228" w:lineRule="auto"/>
                                <w:jc w:val="center"/>
                                <w:ind w:firstLine="0"/>
                              </w:pPr>
                              <w:r>
                                <w:rPr>
                                  <w:rFonts w:ascii="Times New Roman" w:hAnsi="Times New Roman" w:cs="Times New Roman"/>
                                  <w:b/>
                                  <w:color w:val="FFFFFF"/>
                                  <w:sz w:val="20"/>
                                  <w:szCs w:val="20"/>
                                </w:rPr>
                                <w:t xml:space="preserve">Axborot va</w:t>
                              </w:r>
                            </w:p>
                            <w:p>
                              <w:pPr>
                                <w:spacing w:before="0" w:after="0" w:line="228" w:lineRule="auto"/>
                                <w:jc w:val="center"/>
                                <w:ind w:firstLine="0"/>
                              </w:pPr>
                              <w:r>
                                <w:rPr>
                                  <w:rFonts w:ascii="Times New Roman" w:hAnsi="Times New Roman" w:cs="Times New Roman"/>
                                  <w:b/>
                                  <w:color w:val="FFFFFF"/>
                                  <w:sz w:val="20"/>
                                  <w:szCs w:val="20"/>
                                </w:rPr>
                                <w:t xml:space="preserve">shaffoflik</w:t>
                              </w:r>
                            </w:p>
                          </w:txbxContent>
                        </wps:txbx>
                        <wps:bodyPr rot="0" vert="horz" wrap="square" lIns="36000" tIns="18000" rIns="36000" bIns="18000" anchor="ctr" anchorCtr="0">
                          <a:noAutofit/>
                        </wps:bodyPr>
                      </wps:wsp>
                      <wps:wsp>
                        <wps:cNvPr id="45" name="Shape 45"/>
                        <wps:cNvSpPr/>
                        <wps:spPr>
                          <a:xfrm>
                            <a:off x="2390400" y="1026000"/>
                            <a:ext cx="1098000" cy="828000"/>
                          </a:xfrm>
                          <a:prstGeom prst="roundRect">
                            <a:avLst>
                              <a:gd name="adj" fmla="val 10000"/>
                            </a:avLst>
                          </a:prstGeom>
                          <a:solidFill>
                            <a:srgbClr val="F2F2F2"/>
                          </a:solidFill>
                          <a:ln w="12700">
                            <a:solidFill>
                              <a:srgbClr val="70AD47"/>
                            </a:solidFill>
                          </a:ln>
                        </wps:spPr>
                        <wps:txbx>
                          <w:txbxContent>
                            <w:p>
                              <w:pPr>
                                <w:spacing w:before="0" w:after="0" w:line="228" w:lineRule="auto"/>
                                <w:jc w:val="center"/>
                                <w:ind w:firstLine="0"/>
                              </w:pPr>
                              <w:r>
                                <w:rPr>
                                  <w:rFonts w:ascii="Times New Roman" w:hAnsi="Times New Roman" w:cs="Times New Roman"/>
                                  <w:color w:val="000000"/>
                                  <w:sz w:val="18"/>
                                  <w:szCs w:val="18"/>
                                </w:rPr>
                                <w:t xml:space="preserve">oshkoralik bo‘yicha</w:t>
                              </w:r>
                            </w:p>
                            <w:p>
                              <w:pPr>
                                <w:spacing w:before="0" w:after="0" w:line="228" w:lineRule="auto"/>
                                <w:jc w:val="center"/>
                                <w:ind w:firstLine="0"/>
                              </w:pPr>
                              <w:r>
                                <w:rPr>
                                  <w:rFonts w:ascii="Times New Roman" w:hAnsi="Times New Roman" w:cs="Times New Roman"/>
                                  <w:color w:val="000000"/>
                                  <w:sz w:val="18"/>
                                  <w:szCs w:val="18"/>
                                </w:rPr>
                                <w:t xml:space="preserve">minimal talablar yo‘q;</w:t>
                              </w:r>
                            </w:p>
                            <w:p>
                              <w:pPr>
                                <w:spacing w:before="0" w:after="0" w:line="228" w:lineRule="auto"/>
                                <w:jc w:val="center"/>
                                <w:ind w:firstLine="0"/>
                              </w:pPr>
                              <w:r>
                                <w:rPr>
                                  <w:rFonts w:ascii="Times New Roman" w:hAnsi="Times New Roman" w:cs="Times New Roman"/>
                                  <w:color w:val="000000"/>
                                  <w:sz w:val="18"/>
                                  <w:szCs w:val="18"/>
                                </w:rPr>
                                <w:t xml:space="preserve">milliy hisobot va MHXS</w:t>
                              </w:r>
                            </w:p>
                            <w:p>
                              <w:pPr>
                                <w:spacing w:before="0" w:after="0" w:line="228" w:lineRule="auto"/>
                                <w:jc w:val="center"/>
                                <w:ind w:firstLine="0"/>
                              </w:pPr>
                              <w:r>
                                <w:rPr>
                                  <w:rFonts w:ascii="Times New Roman" w:hAnsi="Times New Roman" w:cs="Times New Roman"/>
                                  <w:color w:val="000000"/>
                                  <w:sz w:val="18"/>
                                  <w:szCs w:val="18"/>
                                </w:rPr>
                                <w:t xml:space="preserve">farqi</w:t>
                              </w:r>
                            </w:p>
                          </w:txbxContent>
                        </wps:txbx>
                        <wps:bodyPr rot="0" vert="horz" wrap="square" lIns="36000" tIns="18000" rIns="36000" bIns="18000" anchor="ctr" anchorCtr="0">
                          <a:noAutofit/>
                        </wps:bodyPr>
                      </wps:wsp>
                      <wps:wsp>
                        <wps:cNvPr id="46" name="Connector 46"/>
                        <wps:cNvCnPr/>
                        <wps:spPr>
                          <a:xfrm>
                            <a:off x="2939400" y="1854000"/>
                            <a:ext cx="12600" cy="216000"/>
                          </a:xfrm>
                          <a:prstGeom prst="straightConnector1">
                            <a:avLst/>
                          </a:prstGeom>
                          <a:ln w="12700">
                            <a:solidFill>
                              <a:srgbClr val="7F7F7F"/>
                            </a:solidFill>
                            <a:tailEnd type="triangle" w="med" len="med"/>
                          </a:ln>
                        </wps:spPr>
                        <wps:bodyPr/>
                      </wps:wsp>
                      <wps:wsp>
                        <wps:cNvPr id="47" name="Connector 47"/>
                        <wps:cNvCnPr/>
                        <wps:spPr>
                          <a:xfrm>
                            <a:off x="2952000" y="396000"/>
                            <a:ext cx="1164600" cy="216000"/>
                          </a:xfrm>
                          <a:prstGeom prst="straightConnector1">
                            <a:avLst/>
                          </a:prstGeom>
                          <a:ln w="15875">
                            <a:solidFill>
                              <a:srgbClr val="404040"/>
                            </a:solidFill>
                            <a:tailEnd type="triangle" w="med" len="med"/>
                          </a:ln>
                        </wps:spPr>
                        <wps:bodyPr/>
                      </wps:wsp>
                      <wps:wsp>
                        <wps:cNvPr id="48" name="Shape 48"/>
                        <wps:cNvSpPr/>
                        <wps:spPr>
                          <a:xfrm>
                            <a:off x="3567600" y="612000"/>
                            <a:ext cx="1098000" cy="360000"/>
                          </a:xfrm>
                          <a:prstGeom prst="roundRect">
                            <a:avLst>
                              <a:gd name="adj" fmla="val 10000"/>
                            </a:avLst>
                          </a:prstGeom>
                          <a:solidFill>
                            <a:srgbClr val="A5A5A5"/>
                          </a:solidFill>
                          <a:ln w="12700">
                            <a:solidFill>
                              <a:srgbClr val="A5A5A5"/>
                            </a:solidFill>
                          </a:ln>
                        </wps:spPr>
                        <wps:txbx>
                          <w:txbxContent>
                            <w:p>
                              <w:pPr>
                                <w:spacing w:before="0" w:after="0" w:line="228" w:lineRule="auto"/>
                                <w:jc w:val="center"/>
                                <w:ind w:firstLine="0"/>
                              </w:pPr>
                              <w:r>
                                <w:rPr>
                                  <w:rFonts w:ascii="Times New Roman" w:hAnsi="Times New Roman" w:cs="Times New Roman"/>
                                  <w:b/>
                                  <w:color w:val="000000"/>
                                  <w:sz w:val="20"/>
                                  <w:szCs w:val="20"/>
                                </w:rPr>
                                <w:t xml:space="preserve">Institutsional</w:t>
                              </w:r>
                            </w:p>
                          </w:txbxContent>
                        </wps:txbx>
                        <wps:bodyPr rot="0" vert="horz" wrap="square" lIns="36000" tIns="18000" rIns="36000" bIns="18000" anchor="ctr" anchorCtr="0">
                          <a:noAutofit/>
                        </wps:bodyPr>
                      </wps:wsp>
                      <wps:wsp>
                        <wps:cNvPr id="49" name="Shape 49"/>
                        <wps:cNvSpPr/>
                        <wps:spPr>
                          <a:xfrm>
                            <a:off x="3567600" y="1026000"/>
                            <a:ext cx="1098000" cy="828000"/>
                          </a:xfrm>
                          <a:prstGeom prst="roundRect">
                            <a:avLst>
                              <a:gd name="adj" fmla="val 10000"/>
                            </a:avLst>
                          </a:prstGeom>
                          <a:solidFill>
                            <a:srgbClr val="F2F2F2"/>
                          </a:solidFill>
                          <a:ln w="12700">
                            <a:solidFill>
                              <a:srgbClr val="A5A5A5"/>
                            </a:solidFill>
                          </a:ln>
                        </wps:spPr>
                        <wps:txbx>
                          <w:txbxContent>
                            <w:p>
                              <w:pPr>
                                <w:spacing w:before="0" w:after="0" w:line="228" w:lineRule="auto"/>
                                <w:jc w:val="center"/>
                                <w:ind w:firstLine="0"/>
                              </w:pPr>
                              <w:r>
                                <w:rPr>
                                  <w:rFonts w:ascii="Times New Roman" w:hAnsi="Times New Roman" w:cs="Times New Roman"/>
                                  <w:color w:val="000000"/>
                                  <w:sz w:val="18"/>
                                  <w:szCs w:val="18"/>
                                </w:rPr>
                                <w:t xml:space="preserve">davlat ulushi yuqori;</w:t>
                              </w:r>
                            </w:p>
                            <w:p>
                              <w:pPr>
                                <w:spacing w:before="0" w:after="0" w:line="228" w:lineRule="auto"/>
                                <w:jc w:val="center"/>
                                <w:ind w:firstLine="0"/>
                              </w:pPr>
                              <w:r>
                                <w:rPr>
                                  <w:rFonts w:ascii="Times New Roman" w:hAnsi="Times New Roman" w:cs="Times New Roman"/>
                                  <w:color w:val="000000"/>
                                  <w:sz w:val="18"/>
                                  <w:szCs w:val="18"/>
                                </w:rPr>
                                <w:t xml:space="preserve">konsolidatsiyalangan</w:t>
                              </w:r>
                            </w:p>
                            <w:p>
                              <w:pPr>
                                <w:spacing w:before="0" w:after="0" w:line="228" w:lineRule="auto"/>
                                <w:jc w:val="center"/>
                                <w:ind w:firstLine="0"/>
                              </w:pPr>
                              <w:r>
                                <w:rPr>
                                  <w:rFonts w:ascii="Times New Roman" w:hAnsi="Times New Roman" w:cs="Times New Roman"/>
                                  <w:color w:val="000000"/>
                                  <w:sz w:val="18"/>
                                  <w:szCs w:val="18"/>
                                </w:rPr>
                                <w:t xml:space="preserve">nazorat va sanatsiya</w:t>
                              </w:r>
                            </w:p>
                            <w:p>
                              <w:pPr>
                                <w:spacing w:before="0" w:after="0" w:line="228" w:lineRule="auto"/>
                                <w:jc w:val="center"/>
                                <w:ind w:firstLine="0"/>
                              </w:pPr>
                              <w:r>
                                <w:rPr>
                                  <w:rFonts w:ascii="Times New Roman" w:hAnsi="Times New Roman" w:cs="Times New Roman"/>
                                  <w:color w:val="000000"/>
                                  <w:sz w:val="18"/>
                                  <w:szCs w:val="18"/>
                                </w:rPr>
                                <w:t xml:space="preserve">rejimi shakllanmoqda</w:t>
                              </w:r>
                            </w:p>
                          </w:txbxContent>
                        </wps:txbx>
                        <wps:bodyPr rot="0" vert="horz" wrap="square" lIns="36000" tIns="18000" rIns="36000" bIns="18000" anchor="ctr" anchorCtr="0">
                          <a:noAutofit/>
                        </wps:bodyPr>
                      </wps:wsp>
                      <wps:wsp>
                        <wps:cNvPr id="50" name="Connector 50"/>
                        <wps:cNvCnPr/>
                        <wps:spPr>
                          <a:xfrm flipH="1">
                            <a:off x="2952000" y="1854000"/>
                            <a:ext cx="1164600" cy="216000"/>
                          </a:xfrm>
                          <a:prstGeom prst="straightConnector1">
                            <a:avLst/>
                          </a:prstGeom>
                          <a:ln w="12700">
                            <a:solidFill>
                              <a:srgbClr val="7F7F7F"/>
                            </a:solidFill>
                            <a:tailEnd type="triangle" w="med" len="med"/>
                          </a:ln>
                        </wps:spPr>
                        <wps:bodyPr/>
                      </wps:wsp>
                      <wps:wsp>
                        <wps:cNvPr id="51" name="Connector 51"/>
                        <wps:cNvCnPr/>
                        <wps:spPr>
                          <a:xfrm>
                            <a:off x="2952000" y="396000"/>
                            <a:ext cx="2341800" cy="216000"/>
                          </a:xfrm>
                          <a:prstGeom prst="straightConnector1">
                            <a:avLst/>
                          </a:prstGeom>
                          <a:ln w="15875">
                            <a:solidFill>
                              <a:srgbClr val="404040"/>
                            </a:solidFill>
                            <a:tailEnd type="triangle" w="med" len="med"/>
                          </a:ln>
                        </wps:spPr>
                        <wps:bodyPr/>
                      </wps:wsp>
                      <wps:wsp>
                        <wps:cNvPr id="52" name="Shape 52"/>
                        <wps:cNvSpPr/>
                        <wps:spPr>
                          <a:xfrm>
                            <a:off x="4744800" y="612000"/>
                            <a:ext cx="1098000" cy="360000"/>
                          </a:xfrm>
                          <a:prstGeom prst="roundRect">
                            <a:avLst>
                              <a:gd name="adj" fmla="val 10000"/>
                            </a:avLst>
                          </a:prstGeom>
                          <a:solidFill>
                            <a:srgbClr val="FFC000"/>
                          </a:solidFill>
                          <a:ln w="12700">
                            <a:solidFill>
                              <a:srgbClr val="FFC000"/>
                            </a:solidFill>
                          </a:ln>
                        </wps:spPr>
                        <wps:txbx>
                          <w:txbxContent>
                            <w:p>
                              <w:pPr>
                                <w:spacing w:before="0" w:after="0" w:line="228" w:lineRule="auto"/>
                                <w:jc w:val="center"/>
                                <w:ind w:firstLine="0"/>
                              </w:pPr>
                              <w:r>
                                <w:rPr>
                                  <w:rFonts w:ascii="Times New Roman" w:hAnsi="Times New Roman" w:cs="Times New Roman"/>
                                  <w:b/>
                                  <w:color w:val="000000"/>
                                  <w:sz w:val="20"/>
                                  <w:szCs w:val="20"/>
                                </w:rPr>
                                <w:t xml:space="preserve">Baholash vositalari</w:t>
                              </w:r>
                            </w:p>
                          </w:txbxContent>
                        </wps:txbx>
                        <wps:bodyPr rot="0" vert="horz" wrap="square" lIns="36000" tIns="18000" rIns="36000" bIns="18000" anchor="ctr" anchorCtr="0">
                          <a:noAutofit/>
                        </wps:bodyPr>
                      </wps:wsp>
                      <wps:wsp>
                        <wps:cNvPr id="53" name="Shape 53"/>
                        <wps:cNvSpPr/>
                        <wps:spPr>
                          <a:xfrm>
                            <a:off x="4744800" y="1026000"/>
                            <a:ext cx="1098000" cy="828000"/>
                          </a:xfrm>
                          <a:prstGeom prst="roundRect">
                            <a:avLst>
                              <a:gd name="adj" fmla="val 10000"/>
                            </a:avLst>
                          </a:prstGeom>
                          <a:solidFill>
                            <a:srgbClr val="F2F2F2"/>
                          </a:solidFill>
                          <a:ln w="12700">
                            <a:solidFill>
                              <a:srgbClr val="FFC000"/>
                            </a:solidFill>
                          </a:ln>
                        </wps:spPr>
                        <wps:txbx>
                          <w:txbxContent>
                            <w:p>
                              <w:pPr>
                                <w:spacing w:before="0" w:after="0" w:line="228" w:lineRule="auto"/>
                                <w:jc w:val="center"/>
                                <w:ind w:firstLine="0"/>
                              </w:pPr>
                              <w:r>
                                <w:rPr>
                                  <w:rFonts w:ascii="Times New Roman" w:hAnsi="Times New Roman" w:cs="Times New Roman"/>
                                  <w:color w:val="000000"/>
                                  <w:sz w:val="18"/>
                                  <w:szCs w:val="18"/>
                                </w:rPr>
                                <w:t xml:space="preserve">erta ogohlantirish va</w:t>
                              </w:r>
                            </w:p>
                            <w:p>
                              <w:pPr>
                                <w:spacing w:before="0" w:after="0" w:line="228" w:lineRule="auto"/>
                                <w:jc w:val="center"/>
                                <w:ind w:firstLine="0"/>
                              </w:pPr>
                              <w:r>
                                <w:rPr>
                                  <w:rFonts w:ascii="Times New Roman" w:hAnsi="Times New Roman" w:cs="Times New Roman"/>
                                  <w:color w:val="000000"/>
                                  <w:sz w:val="18"/>
                                  <w:szCs w:val="18"/>
                                </w:rPr>
                                <w:t xml:space="preserve">PCA yo‘q; 2-ustun yo‘q;</w:t>
                              </w:r>
                            </w:p>
                            <w:p>
                              <w:pPr>
                                <w:spacing w:before="0" w:after="0" w:line="228" w:lineRule="auto"/>
                                <w:jc w:val="center"/>
                                <w:ind w:firstLine="0"/>
                              </w:pPr>
                              <w:r>
                                <w:rPr>
                                  <w:rFonts w:ascii="Times New Roman" w:hAnsi="Times New Roman" w:cs="Times New Roman"/>
                                  <w:color w:val="000000"/>
                                  <w:sz w:val="18"/>
                                  <w:szCs w:val="18"/>
                                </w:rPr>
                                <w:t xml:space="preserve">reytinglar yopiq; integral</w:t>
                              </w:r>
                            </w:p>
                            <w:p>
                              <w:pPr>
                                <w:spacing w:before="0" w:after="0" w:line="228" w:lineRule="auto"/>
                                <w:jc w:val="center"/>
                                <w:ind w:firstLine="0"/>
                              </w:pPr>
                              <w:r>
                                <w:rPr>
                                  <w:rFonts w:ascii="Times New Roman" w:hAnsi="Times New Roman" w:cs="Times New Roman"/>
                                  <w:color w:val="000000"/>
                                  <w:sz w:val="18"/>
                                  <w:szCs w:val="18"/>
                                </w:rPr>
                                <w:t xml:space="preserve">ko‘rsatkich yo‘q</w:t>
                              </w:r>
                            </w:p>
                          </w:txbxContent>
                        </wps:txbx>
                        <wps:bodyPr rot="0" vert="horz" wrap="square" lIns="36000" tIns="18000" rIns="36000" bIns="18000" anchor="ctr" anchorCtr="0">
                          <a:noAutofit/>
                        </wps:bodyPr>
                      </wps:wsp>
                      <wps:wsp>
                        <wps:cNvPr id="54" name="Connector 54"/>
                        <wps:cNvCnPr/>
                        <wps:spPr>
                          <a:xfrm flipH="1">
                            <a:off x="2952000" y="1854000"/>
                            <a:ext cx="2341800" cy="216000"/>
                          </a:xfrm>
                          <a:prstGeom prst="straightConnector1">
                            <a:avLst/>
                          </a:prstGeom>
                          <a:ln w="12700">
                            <a:solidFill>
                              <a:srgbClr val="7F7F7F"/>
                            </a:solidFill>
                            <a:tailEnd type="triangle" w="med" len="med"/>
                          </a:ln>
                        </wps:spPr>
                        <wps:bodyPr/>
                      </wps:wsp>
                      <wps:wsp>
                        <wps:cNvPr id="55" name="Shape 55"/>
                        <wps:cNvSpPr/>
                        <wps:spPr>
                          <a:xfrm>
                            <a:off x="972000" y="2070000"/>
                            <a:ext cx="3960000" cy="360000"/>
                          </a:xfrm>
                          <a:prstGeom prst="roundRect">
                            <a:avLst>
                              <a:gd name="adj" fmla="val 10000"/>
                            </a:avLst>
                          </a:prstGeom>
                          <a:solidFill>
                            <a:srgbClr val="DEEBF7"/>
                          </a:solidFill>
                          <a:ln w="12700">
                            <a:solidFill>
                              <a:srgbClr val="2A78D6"/>
                            </a:solidFill>
                          </a:ln>
                        </wps:spPr>
                        <wps:txbx>
                          <w:txbxContent>
                            <w:p>
                              <w:pPr>
                                <w:spacing w:before="0" w:after="0" w:line="228" w:lineRule="auto"/>
                                <w:jc w:val="center"/>
                                <w:ind w:firstLine="0"/>
                              </w:pPr>
                              <w:r>
                                <w:rPr>
                                  <w:rFonts w:ascii="Times New Roman" w:hAnsi="Times New Roman" w:cs="Times New Roman"/>
                                  <w:b/>
                                  <w:color w:val="000000"/>
                                  <w:sz w:val="22"/>
                                  <w:szCs w:val="22"/>
                                </w:rPr>
                                <w:t xml:space="preserve">Ochiq ma’lumotlarga asoslangan integral baholash va erta ogohlantirish vositasiga ehtiyoj</w:t>
                              </w:r>
                            </w:p>
                          </w:txbxContent>
                        </wps:txbx>
                        <wps:bodyPr rot="0" vert="horz" wrap="square" lIns="36000" tIns="18000" rIns="36000" bIns="18000" anchor="ctr" anchorCtr="0">
                          <a:noAutofit/>
                        </wps:bodyPr>
                      </wps:wsp>
                    </wpg:wgp>
                  </a:graphicData>
                </a:graphic>
              </wp:inline>
            </w:drawing>
          </mc:Choice>
          <mc:Fallback/>
        </mc:AlternateContent>
      </w:r>
    </w:p>
    <w:p>
      <w:pPr>
        <w:pStyle w:val="BodyText"/>
        <w:spacing w:line="240" w:lineRule="auto" w:before="120" w:after="240"/>
        <w:ind w:firstLine="0"/>
        <w:jc w:val="center"/>
      </w:pPr>
      <w:r>
        <w:rPr>
          <w:rFonts w:ascii="Times New Roman" w:hAnsi="Times New Roman" w:cs="Times New Roman" w:eastAsia="Times New Roman"/>
          <w:b/>
          <w:sz w:val="28"/>
        </w:rPr>
        <w:t xml:space="preserve">2.1.5-rasm. Banklar moliyaviy barqarorligini baholashni xalqaro standartlarga moslashtirish muammolari</w:t>
      </w:r>
      <w:r>
        <w:rPr>
          <w:rStyle w:val="FootnoteReference"/>
        </w:rPr>
        <w:footnoteReference w:id="44"/>
      </w:r>
    </w:p>
    <w:p>
      <w:pPr>
        <w:pStyle w:val="BodyText"/>
        <w:spacing w:line="360" w:lineRule="auto" w:before="0" w:after="0"/>
        <w:ind w:firstLine="709"/>
        <w:jc w:val="both"/>
      </w:pPr>
      <w:r>
        <w:rPr>
          <w:bCs/>
          <w:rFonts w:ascii="Times New Roman" w:hAnsi="Times New Roman" w:cs="Times New Roman" w:eastAsia="Times New Roman"/>
          <w:b/>
          <w:sz w:val="28"/>
        </w:rPr>
        <w:t xml:space="preserve">Birinchi guruh – kapitalni o‘lchash muammolari.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O‘zbekistonda miqdoriy kapital talablari xalqaro minimumlardan yuqori, ammo kapitalning</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sifati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ularga to‘liq mos emas. Subordinar qarzlarning sezilarli qismi Bazel talab qiladigan yo‘qotishni qoplash xususiyatiga ega emas, risk bo‘yicha tortilgan aktivlarni hisoblashda ham Bazel metodikasidan chetlanishlar bor</w:t>
      </w:r>
      <w:r>
        <w:rPr>
          <w:rStyle w:val="FootnoteReference"/>
        </w:rPr>
        <w:footnoteReference w:id="45"/>
      </w:r>
      <w:r>
        <w:rPr>
          <w:rFonts w:ascii="Times New Roman" w:hAnsi="Times New Roman" w:cs="Times New Roman" w:eastAsia="Times New Roman"/>
          <w:sz w:val="28"/>
        </w:rPr>
        <w:t xml:space="preserve">. Natijada e’lon qilinadigan yuqori kapital monandligi ko‘rsatkichi bankning yo‘qotishlarni qoplash qobiliyatini qisman oshirib ko‘rsatishi mumkin. Bu holat moliyaviy barqarorlikni baholashda kapital ko‘rsatkichini yagona yoki asosiy mezon sifatida qo‘llash xavfli ekanini ko‘rsatadi.</w:t>
      </w:r>
    </w:p>
    <w:p>
      <w:pPr>
        <w:pStyle w:val="BodyText"/>
        <w:spacing w:line="360" w:lineRule="auto" w:before="0" w:after="0"/>
        <w:ind w:firstLine="709"/>
        <w:jc w:val="both"/>
      </w:pPr>
      <w:r>
        <w:rPr>
          <w:bCs/>
          <w:rFonts w:ascii="Times New Roman" w:hAnsi="Times New Roman" w:cs="Times New Roman" w:eastAsia="Times New Roman"/>
          <w:b/>
          <w:sz w:val="28"/>
        </w:rPr>
        <w:t xml:space="preserve">Ikkinchi guruh – aktivlar sifatini baholash muammolari.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FSAP Markaziy bankka banklarni aktivlar sifati to‘g‘risida aniq hisobot berishga majburlash, aktivlar sifati va zaxiralar to‘g‘risidagi nizomni takomillashtirish va joyida tekshiruvlar hamda aktivlar sifatini ko‘rib chiqish orqali portfellarni tekshirishni tavsiya qilgan; bunda kamsitib ko‘rsatish holatlari ko‘proq uchraydigan imtiyozli va yo‘naltirilgan kreditlarga alohida e’tibor qaratish kerakligi ta’kidlangan</w:t>
      </w:r>
      <w:r>
        <w:rPr>
          <w:rStyle w:val="FootnoteReference"/>
        </w:rPr>
        <w:footnoteReference w:id="46"/>
      </w:r>
      <w:r>
        <w:rPr>
          <w:rFonts w:ascii="Times New Roman" w:hAnsi="Times New Roman" w:cs="Times New Roman" w:eastAsia="Times New Roman"/>
          <w:sz w:val="28"/>
        </w:rPr>
        <w:t xml:space="preserve">. Yo‘l xaritasida bu muammoning aniq sabablari ham ko‘rsatilgan: amaldagi tartibda kredit shartlarining birinchi o‘zgartirilishi (masalan, imtiyozli davrni olti oygacha uzaytirish yoki foiz stavkasini pasaytirish) kreditni qayta tasniflashga olib kelmaydi; muammoli holatdan standart holatga qaytarish uchun aniq «sog‘lomlashish davri» talabi yo‘q; restrukturizatsiya qilingan aktivlar ta’rifi Bazel standartidagi «forborne exposures» ta’rifiga mos emas</w:t>
      </w:r>
      <w:r>
        <w:rPr>
          <w:rStyle w:val="FootnoteReference"/>
        </w:rPr>
        <w:footnoteReference w:id="47"/>
      </w:r>
      <w:r>
        <w:rPr>
          <w:rFonts w:ascii="Times New Roman" w:hAnsi="Times New Roman" w:cs="Times New Roman" w:eastAsia="Times New Roman"/>
          <w:sz w:val="28"/>
        </w:rPr>
        <w:t xml:space="preserve">. Bu kamchiliklar e’lon qilinadigan muammoli kreditlar ulushining haqiqiy riskni to‘liq aks ettirmasligiga olib kelishi mumkin.</w:t>
      </w:r>
    </w:p>
    <w:p>
      <w:pPr>
        <w:pStyle w:val="BodyText"/>
        <w:spacing w:line="360" w:lineRule="auto" w:before="0" w:after="0"/>
        <w:ind w:firstLine="709"/>
        <w:jc w:val="both"/>
      </w:pPr>
      <w:r>
        <w:rPr>
          <w:bCs/>
          <w:rFonts w:ascii="Times New Roman" w:hAnsi="Times New Roman" w:cs="Times New Roman" w:eastAsia="Times New Roman"/>
          <w:b/>
          <w:sz w:val="28"/>
        </w:rPr>
        <w:t xml:space="preserve">Uchinchi guruh – axborot va shaffoflik muammolari.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Moliyaviy barqarorlikni tashqi tomondan baholash uchun bank ma’lumotlarining ochiqligi va ishonchliligi hal qiluvchi ahamiyatga ega. Hozircha O‘zbekistonda banklar tomonidan moliyaviy va nazorat hisobotlarini oshkor qilish bo‘yicha minimal talablar belgilanmagan, nazorat hisobotlari esa MHXS asosida qayta ko‘rib chiqilishi kerak</w:t>
      </w:r>
      <w:r>
        <w:rPr>
          <w:rStyle w:val="FootnoteReference"/>
        </w:rPr>
        <w:footnoteReference w:id="48"/>
      </w:r>
      <w:r>
        <w:rPr>
          <w:rFonts w:ascii="Times New Roman" w:hAnsi="Times New Roman" w:cs="Times New Roman" w:eastAsia="Times New Roman"/>
          <w:sz w:val="28"/>
        </w:rPr>
        <w:t xml:space="preserve">. Hukumat va Markaziy bank barcha tijorat banklarini MHXS ga to‘liq o‘tkazishni maqsad qilib qo‘ygan</w:t>
      </w:r>
      <w:r>
        <w:rPr>
          <w:rStyle w:val="FootnoteReference"/>
        </w:rPr>
        <w:footnoteReference w:id="49"/>
      </w:r>
      <w:r>
        <w:rPr>
          <w:rFonts w:ascii="Times New Roman" w:hAnsi="Times New Roman" w:cs="Times New Roman" w:eastAsia="Times New Roman"/>
          <w:sz w:val="28"/>
        </w:rPr>
        <w:t xml:space="preserve">. Bu jarayon yakunlanmaguncha milliy hisobot va MHXS bo‘yicha ko‘rsatkichlar farq qilishi davom etadi, bu esa baholash natijalarining taqqoslanuvchanligini pasaytiradi.</w:t>
      </w:r>
    </w:p>
    <w:p>
      <w:pPr>
        <w:pStyle w:val="BodyText"/>
        <w:spacing w:line="360" w:lineRule="auto" w:before="0" w:after="0"/>
        <w:ind w:firstLine="709"/>
        <w:jc w:val="both"/>
      </w:pPr>
      <w:r>
        <w:rPr>
          <w:bCs/>
          <w:rFonts w:ascii="Times New Roman" w:hAnsi="Times New Roman" w:cs="Times New Roman" w:eastAsia="Times New Roman"/>
          <w:b/>
          <w:sz w:val="28"/>
        </w:rPr>
        <w:t xml:space="preserve">To‘rtinchi guruh – institutsional muammolar.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O‘zbekiston bank tizimida davlat ulushi yuqori, bu esa xalqaro standartlarni qo‘llashda o‘ziga xos muammolarni keltirib chiqaradi. Yo‘l xaritasida banklar tomonidan davlat korxonalari bilan bog‘liq risklarni muntazam baholash va stress-test qilish, davlat banklari va davlat korxonalari o‘rtasidagi o‘zaro bog‘liqlikni monitoring qilish hamda davlat banklari tomonidan bu risklar haqidagi axborotni oshkor qilish talablari belgilangan</w:t>
      </w:r>
      <w:r>
        <w:rPr>
          <w:rStyle w:val="FootnoteReference"/>
        </w:rPr>
        <w:footnoteReference w:id="50"/>
      </w:r>
      <w:r>
        <w:rPr>
          <w:rFonts w:ascii="Times New Roman" w:hAnsi="Times New Roman" w:cs="Times New Roman" w:eastAsia="Times New Roman"/>
          <w:sz w:val="28"/>
        </w:rPr>
        <w:t xml:space="preserve">. XVJ ning 2026-yilgi missiyasi davlat tijorat banklariga har qanday kapital yordami ko‘rsatishdan oldin ishonchli restrukturizatsiya rejalari bo‘lishi muhimligini ta’kidlagan va qarz oluvchilarga nisbatan makroprudensial cheklovlardan istisnolarni (hozirda kreditlarning taxminan 15 foizini qamraydi) bosqichma-bosqich bekor qilishni tavsiya etgan</w:t>
      </w:r>
      <w:r>
        <w:rPr>
          <w:rStyle w:val="FootnoteReference"/>
        </w:rPr>
        <w:footnoteReference w:id="51"/>
      </w:r>
      <w:r>
        <w:rPr>
          <w:rFonts w:ascii="Times New Roman" w:hAnsi="Times New Roman" w:cs="Times New Roman" w:eastAsia="Times New Roman"/>
          <w:sz w:val="28"/>
        </w:rPr>
        <w:t xml:space="preserve">. Bundan tashqari, konsolidatsiyalangan nazorat, banklarni sanatsiya qilish rejimi va Moliyaviy barqarorlik kengashi hali shakllanish bosqichida.</w:t>
      </w:r>
    </w:p>
    <w:p>
      <w:pPr>
        <w:pStyle w:val="BodyText"/>
        <w:spacing w:line="360" w:lineRule="auto" w:before="0" w:after="0"/>
        <w:ind w:firstLine="709"/>
        <w:jc w:val="both"/>
      </w:pPr>
      <w:r>
        <w:rPr>
          <w:bCs/>
          <w:rFonts w:ascii="Times New Roman" w:hAnsi="Times New Roman" w:cs="Times New Roman" w:eastAsia="Times New Roman"/>
          <w:b/>
          <w:sz w:val="28"/>
        </w:rPr>
        <w:t xml:space="preserve">Beshinchi guruh – baholash vositalari muammolari.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Bu guruh dissertatsiya mavzusi uchun alohida ahamiyatga ega. Amaldagi tizimda Markaziy bank prudensial normativlar buzilishidan oldin nazorat choralarini ko‘rish imkonini beruvchi erta ogohlantirish tizimi va tezkor tuzatuvchi choralar tizimiga ega emas; ularni joriy etish yo‘l xaritasida alohida vazifa sifatida belgilangan</w:t>
      </w:r>
      <w:r>
        <w:rPr>
          <w:rStyle w:val="FootnoteReference"/>
        </w:rPr>
        <w:footnoteReference w:id="52"/>
      </w:r>
      <w:r>
        <w:rPr>
          <w:rFonts w:ascii="Times New Roman" w:hAnsi="Times New Roman" w:cs="Times New Roman" w:eastAsia="Times New Roman"/>
          <w:sz w:val="28"/>
        </w:rPr>
        <w:t xml:space="preserve">. To‘lov qobiliyati bo‘yicha makro stress-test MHXS 9 asosidagi muammoli kreditlar ma’lumotlari to‘liq shakllangandan keyingina shu ma’lumotlarga tayanadigan bo‘ladi</w:t>
      </w:r>
      <w:r>
        <w:rPr>
          <w:rStyle w:val="FootnoteReference"/>
        </w:rPr>
        <w:footnoteReference w:id="53"/>
      </w:r>
      <w:r>
        <w:rPr>
          <w:rFonts w:ascii="Times New Roman" w:hAnsi="Times New Roman" w:cs="Times New Roman" w:eastAsia="Times New Roman"/>
          <w:sz w:val="28"/>
        </w:rPr>
        <w:t xml:space="preserve">. Risklarga asoslangan nazorat doirasidagi reyting baholari esa yopiq. Natijada bank barqarorligini ochiq ma’lumotlar asosida, yagona integral ko‘rsatkich bilan va bashorat elementi bilan baholaydigan vosita mavjud emas.</w:t>
      </w:r>
    </w:p>
    <w:p>
      <w:pPr>
        <w:pStyle w:val="BodyText"/>
        <w:spacing w:line="360" w:lineRule="auto" w:before="0" w:after="0"/>
        <w:ind w:firstLine="709"/>
        <w:jc w:val="both"/>
      </w:pPr>
      <w:r>
        <w:rPr>
          <w:rFonts w:ascii="Times New Roman" w:hAnsi="Times New Roman" w:cs="Times New Roman" w:eastAsia="Times New Roman"/>
          <w:sz w:val="28"/>
        </w:rPr>
        <w:t xml:space="preserve">Islohotlarning yakunlanish muddatlari 2.1.2-jadvalning oxirgi ustunida keltirilgan. Markaziy bank FSAP natijalari asosida 2025–2028-yillarga mo‘ljallangan «yo‘l xaritasi»ni qabul qilgan bo‘lib, unda kapital va likvidlik talablarini Bazel III ga moslashtirish 2026-yil birinchi choragida, aktivlarni tasniflash va zaxiralarni MHXS 9 ga moslashtirish 2026-yil ikkinchi choragida, erta ogohlantirish va tezkor tuzatuvchi choralar tizimini joriy etish 2027-yil birinchi choragida, tizimli banklarda ICAAP ni majburiy joriy etish esa 2027-yil uchinchi choragida yakunlanishi rejalashtirilgan</w:t>
      </w:r>
      <w:r>
        <w:rPr>
          <w:rStyle w:val="FootnoteReference"/>
        </w:rPr>
        <w:footnoteReference w:id="54"/>
      </w:r>
      <w:r>
        <w:rPr>
          <w:rFonts w:ascii="Times New Roman" w:hAnsi="Times New Roman" w:cs="Times New Roman" w:eastAsia="Times New Roman"/>
          <w:sz w:val="28"/>
        </w:rPr>
        <w:t xml:space="preserve">. Demak, baholash tizimining mazmuniy elementlarini xalqaro standartlarga moslashtirish o‘tish davri kamida 2027–2028-yillargacha davom etadi.</w:t>
      </w:r>
    </w:p>
    <w:bookmarkEnd w:id="55"/>
    <w:bookmarkStart w:id="56" w:name="paragraf-boyicha-xulosa"/>
    <w:p>
      <w:pPr>
        <w:pStyle w:val="Heading3"/>
        <w:keepNext/>
        <w:spacing w:line="360" w:lineRule="auto" w:before="240" w:after="120"/>
        <w:ind w:firstLine="709"/>
        <w:jc w:val="both"/>
      </w:pPr>
      <w:r>
        <w:rPr>
          <w:rFonts w:ascii="Times New Roman" w:hAnsi="Times New Roman" w:cs="Times New Roman" w:eastAsia="Times New Roman"/>
          <w:b/>
          <w:i w:val="0"/>
          <w:sz w:val="28"/>
        </w:rPr>
        <w:t xml:space="preserve">Paragraf bo‘yicha xulosa</w:t>
      </w:r>
    </w:p>
    <w:p>
      <w:pPr>
        <w:numPr>
          <w:ilvl w:val="0"/>
          <w:numId w:val="1001"/>
        </w:numPr>
        <w:spacing w:line="360" w:lineRule="auto" w:before="0" w:after="0"/>
        <w:ind w:firstLine="709"/>
        <w:jc w:val="both"/>
      </w:pPr>
      <w:r>
        <w:rPr>
          <w:rFonts w:ascii="Times New Roman" w:hAnsi="Times New Roman" w:cs="Times New Roman" w:eastAsia="Times New Roman"/>
          <w:sz w:val="28"/>
        </w:rPr>
        <w:t xml:space="preserve">O‘zbekistonda banklar moliyaviy barqarorligini baholash uch darajada – prudensial normativlar, risklarga asoslangan nazorat va makroprudensial monitoring orqali amalga oshiriladi. 2025-yilda yangi kapital nizomi va Bazel III kapital buferlarining joriy etilishi bilan me’yoriy baza sezilarli darajada yangilandi.</w:t>
      </w:r>
    </w:p>
    <w:p>
      <w:pPr>
        <w:numPr>
          <w:ilvl w:val="0"/>
          <w:numId w:val="1001"/>
        </w:numPr>
        <w:spacing w:line="360" w:lineRule="auto" w:before="0" w:after="0"/>
        <w:ind w:firstLine="709"/>
        <w:jc w:val="both"/>
      </w:pPr>
      <w:r>
        <w:rPr>
          <w:rFonts w:ascii="Times New Roman" w:hAnsi="Times New Roman" w:cs="Times New Roman" w:eastAsia="Times New Roman"/>
          <w:sz w:val="28"/>
        </w:rPr>
        <w:t xml:space="preserve">Bank tizimining kapital ko‘rsatkichlari regulyativ minimumlardan ancha yuqori, ammo salbiy stress-ssenariy kapitalning katta qismi jiddiy shok sharoitida yo‘qolishi mumkinligini ko‘rsatadi. Demak, bir sanadagi kapital ko‘rsatkichiga tayanuvchi baholash yetarli emas.</w:t>
      </w:r>
    </w:p>
    <w:p>
      <w:pPr>
        <w:numPr>
          <w:ilvl w:val="0"/>
          <w:numId w:val="1001"/>
        </w:numPr>
        <w:spacing w:line="360" w:lineRule="auto" w:before="0" w:after="0"/>
        <w:ind w:firstLine="709"/>
        <w:jc w:val="both"/>
      </w:pPr>
      <w:r>
        <w:rPr>
          <w:rFonts w:ascii="Times New Roman" w:hAnsi="Times New Roman" w:cs="Times New Roman" w:eastAsia="Times New Roman"/>
          <w:sz w:val="28"/>
        </w:rPr>
        <w:t xml:space="preserve">Xalqaro standartlarga moslashtirish muammolari besh guruhga bo‘linadi: kapitalni o‘lchash, aktivlar sifatini baholash, axborot va shaffoflik, institutsional va baholash vositalari muammolari. Ularning umumiy mohiyati – miqdoriy talablar bo‘yicha rasmiy muvofiqlikka erishilgan, ammo kapital sifati, aktivlar tasnifi, oshkoralik va erta ogohlantirish kabi mazmuniy elementlar hali shakllanmoqda.</w:t>
      </w:r>
    </w:p>
    <w:p>
      <w:pPr>
        <w:numPr>
          <w:ilvl w:val="0"/>
          <w:numId w:val="1001"/>
        </w:numPr>
        <w:spacing w:line="360" w:lineRule="auto" w:before="0" w:after="0"/>
        <w:ind w:firstLine="709"/>
        <w:jc w:val="both"/>
      </w:pPr>
      <w:r>
        <w:rPr>
          <w:rFonts w:ascii="Times New Roman" w:hAnsi="Times New Roman" w:cs="Times New Roman" w:eastAsia="Times New Roman"/>
          <w:sz w:val="28"/>
        </w:rPr>
        <w:t xml:space="preserve">Amaldagi tizimda bank barqarorligini ochiq ma’lumotlar asosida, yagona integral ko‘rsatkich va bashorat elementi bilan baholaydigan vosita yo‘q. Bu muammo dissertatsiyaning III bobida taklif etiladigan integral baholash metodikasi va IV bobidagi erta ogohlantirish tizimini ishlab chiqish zaruratini bevosita asoslaydi. Bunda MHXS ga o‘tish jarayoni davom etayotgani sababli baholash milliy va MHXS hisobotlari bo‘yicha alohida o‘tkazilishi va ularning farqi tahlil qilinishi maqsadga muvofiq.</w:t>
      </w:r>
    </w:p>
    <w:bookmarkEnd w:id="56"/>
    <w:bookmarkEnd w:id="57"/>
    <w:sectPr>
      <w:pgMar w:left="1701" w:right="850"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Muallif tomonidan O‘zbekiston Respublikasi Markaziy bankining me’yoriy hujjatlari va quyidagi manba asosida tuzilgan: The Central Bank of the Republic of Uzbekistan. «Roadmap» aimed at further improving the bank regulation and supervision system in 2025–2028. – Tashkent, 17.11.2025.</w:t>
      </w:r>
    </w:p>
  </w:footnote>
  <w:footnote w:id="21">
    <w:p>
      <w:pPr>
        <w:pStyle w:val="FootnoteText"/>
      </w:pPr>
      <w:r>
        <w:rPr>
          <w:rStyle w:val="FootnoteReference"/>
        </w:rPr>
        <w:footnoteRef/>
      </w:r>
      <w:r>
        <w:t xml:space="preserve"> </w:t>
      </w:r>
      <w:r>
        <w:t xml:space="preserve">The Central Bank of the Republic of Uzbekistan. «Roadmap» aimed at further improving the bank regulation and supervision system in 2025–2028. – Tashkent, 17.11.2025. – Items 6–8, 12–14; 2026-yil uchun mahalliy tizimli ahamiyatga molik banklar belgilandi // O‘zbekiston Respublikasi Markaziy banki. – https://cbu.uz/uz/financial-stability/press-releases/2982189/</w:t>
      </w:r>
    </w:p>
  </w:footnote>
  <w:footnote w:id="22">
    <w:p>
      <w:pPr>
        <w:pStyle w:val="FootnoteText"/>
      </w:pPr>
      <w:r>
        <w:rPr>
          <w:rStyle w:val="FootnoteReference"/>
        </w:rPr>
        <w:footnoteRef/>
      </w:r>
      <w:r>
        <w:t xml:space="preserve"> </w:t>
      </w:r>
      <w:r>
        <w:t xml:space="preserve">Banklar kapitalining monandligiga qo‘yiladigan talablar to‘g‘risidagi nizom (O‘zbekiston Respublikasi Markaziy banki Boshqaruvining 02.10.2025 dagi 21/6-son qarori, ro‘yxat raqami 3697, 28.10.2025) // https://lex.uz/docs/7793613</w:t>
      </w:r>
    </w:p>
  </w:footnote>
  <w:footnote w:id="24">
    <w:p>
      <w:pPr>
        <w:pStyle w:val="FootnoteText"/>
      </w:pPr>
      <w:r>
        <w:rPr>
          <w:rStyle w:val="FootnoteReference"/>
        </w:rPr>
        <w:footnoteRef/>
      </w:r>
      <w:r>
        <w:t xml:space="preserve"> </w:t>
      </w:r>
      <w:r>
        <w:t xml:space="preserve">Muallif ishlanmasi.</w:t>
      </w:r>
    </w:p>
  </w:footnote>
  <w:footnote w:id="25">
    <w:p>
      <w:pPr>
        <w:pStyle w:val="FootnoteText"/>
      </w:pPr>
      <w:r>
        <w:rPr>
          <w:rStyle w:val="FootnoteReference"/>
        </w:rPr>
        <w:footnoteRef/>
      </w:r>
      <w:r>
        <w:t xml:space="preserve"> </w:t>
      </w:r>
      <w:r>
        <w:t xml:space="preserve">Muallif tomonidan quyidagi manbalar asosida tuzilgan: 3697-son va 2693-son nizomlar // lex.uz; IMF. Republic of Uzbekistan: Financial Sector Assessment Program – Detailed Assessment of Observance – Basel Core Principles for Effective Banking Supervision. – IMF Country Report No. 25/227. – Washington, DC, 2025; The Central Bank of Uzbekistan. Financial Stability Report for 2025. – Tashkent, 2026; Karaliyev T.M., Sayfiddinov I.F. Tijorat banklari faoliyatini tartibga solish va nazorati: darslik. – T.: Iqtisod-Moliya, 2019. – B. 185–186; Бердияров Б.Т. Ўзбекистон Республикаси тижорат банкларининг ликвидлилиги ва тўлов қобилиятини таъминлаш масалалари: монография. – Т.: BMA, 2020. – Б. 92–93.</w:t>
      </w:r>
    </w:p>
  </w:footnote>
  <w:footnote w:id="26">
    <w:p>
      <w:pPr>
        <w:pStyle w:val="FootnoteText"/>
      </w:pPr>
      <w:r>
        <w:rPr>
          <w:rStyle w:val="FootnoteReference"/>
        </w:rPr>
        <w:footnoteRef/>
      </w:r>
      <w:r>
        <w:t xml:space="preserve"> </w:t>
      </w:r>
      <w:r>
        <w:t xml:space="preserve">Бердияров Б.Т. Ko‘rsatilgan asar. – Б. 27.</w:t>
      </w:r>
    </w:p>
  </w:footnote>
  <w:footnote w:id="27">
    <w:p>
      <w:pPr>
        <w:pStyle w:val="FootnoteText"/>
      </w:pPr>
      <w:r>
        <w:rPr>
          <w:rStyle w:val="FootnoteReference"/>
        </w:rPr>
        <w:footnoteRef/>
      </w:r>
      <w:r>
        <w:t xml:space="preserve"> </w:t>
      </w:r>
      <w:r>
        <w:t xml:space="preserve">Karaliyev T.M., Sayfiddinov I.F. Ko‘rsatilgan asar. – B. 208.</w:t>
      </w:r>
    </w:p>
  </w:footnote>
  <w:footnote w:id="28">
    <w:p>
      <w:pPr>
        <w:pStyle w:val="FootnoteText"/>
      </w:pPr>
      <w:r>
        <w:rPr>
          <w:rStyle w:val="FootnoteReference"/>
        </w:rPr>
        <w:footnoteRef/>
      </w:r>
      <w:r>
        <w:t xml:space="preserve"> </w:t>
      </w:r>
      <w:r>
        <w:t xml:space="preserve">The Central Bank of the Republic of Uzbekistan. «Roadmap»… – Item 13.</w:t>
      </w:r>
    </w:p>
  </w:footnote>
  <w:footnote w:id="29">
    <w:p>
      <w:pPr>
        <w:pStyle w:val="FootnoteText"/>
      </w:pPr>
      <w:r>
        <w:rPr>
          <w:rStyle w:val="FootnoteReference"/>
        </w:rPr>
        <w:footnoteRef/>
      </w:r>
      <w:r>
        <w:t xml:space="preserve"> </w:t>
      </w:r>
      <w:r>
        <w:t xml:space="preserve">Karaliyev T.M., Sayfiddinov I.F. Ko‘rsatilgan asar. – B. 213.</w:t>
      </w:r>
    </w:p>
  </w:footnote>
  <w:footnote w:id="30">
    <w:p>
      <w:pPr>
        <w:pStyle w:val="FootnoteText"/>
      </w:pPr>
      <w:r>
        <w:rPr>
          <w:rStyle w:val="FootnoteReference"/>
        </w:rPr>
        <w:footnoteRef/>
      </w:r>
      <w:r>
        <w:t xml:space="preserve"> </w:t>
      </w:r>
      <w:r>
        <w:t xml:space="preserve">The Central Bank of the Republic of Uzbekistan. «Roadmap»… – Item 13.</w:t>
      </w:r>
    </w:p>
  </w:footnote>
  <w:footnote w:id="31">
    <w:p>
      <w:pPr>
        <w:pStyle w:val="FootnoteText"/>
      </w:pPr>
      <w:r>
        <w:rPr>
          <w:rStyle w:val="FootnoteReference"/>
        </w:rPr>
        <w:footnoteRef/>
      </w:r>
      <w:r>
        <w:t xml:space="preserve"> </w:t>
      </w:r>
      <w:r>
        <w:t xml:space="preserve">Countercyclical capital buffer // The Central Bank of the Republic of Uzbekistan. – https://cbu.uz/en/financial-stability/macroprudential-policy-tools/countercyclical-capital-buffer/</w:t>
      </w:r>
    </w:p>
  </w:footnote>
  <w:footnote w:id="32">
    <w:p>
      <w:pPr>
        <w:pStyle w:val="FootnoteText"/>
      </w:pPr>
      <w:r>
        <w:rPr>
          <w:rStyle w:val="FootnoteReference"/>
        </w:rPr>
        <w:footnoteRef/>
      </w:r>
      <w:r>
        <w:t xml:space="preserve"> </w:t>
      </w:r>
      <w:r>
        <w:t xml:space="preserve">2026-yil uchun mahalliy tizimli ahamiyatga molik banklar belgilandi // O‘zbekiston Respublikasi Markaziy banki.</w:t>
      </w:r>
    </w:p>
  </w:footnote>
  <w:footnote w:id="34">
    <w:p>
      <w:pPr>
        <w:pStyle w:val="FootnoteText"/>
      </w:pPr>
      <w:r>
        <w:rPr>
          <w:rStyle w:val="FootnoteReference"/>
        </w:rPr>
        <w:footnoteRef/>
      </w:r>
      <w:r>
        <w:t xml:space="preserve"> </w:t>
      </w:r>
      <w:r>
        <w:t xml:space="preserve">IMF Country Report No. 25/227, 2025.</w:t>
      </w:r>
    </w:p>
  </w:footnote>
  <w:footnote w:id="35">
    <w:p>
      <w:pPr>
        <w:pStyle w:val="FootnoteText"/>
      </w:pPr>
      <w:r>
        <w:rPr>
          <w:rStyle w:val="FootnoteReference"/>
        </w:rPr>
        <w:footnoteRef/>
      </w:r>
      <w:r>
        <w:t xml:space="preserve"> </w:t>
      </w:r>
      <w:r>
        <w:t xml:space="preserve">The Financial Stability Report for 2024 has been published // The Central Bank of the Republic of Uzbekistan. – https://cbu.uz/en/press_center/releases/2489245/; The Central Bank of Uzbekistan. Financial Stability Report for 2025.</w:t>
      </w:r>
    </w:p>
  </w:footnote>
  <w:footnote w:id="36">
    <w:p>
      <w:pPr>
        <w:pStyle w:val="FootnoteText"/>
      </w:pPr>
      <w:r>
        <w:rPr>
          <w:rStyle w:val="FootnoteReference"/>
        </w:rPr>
        <w:footnoteRef/>
      </w:r>
      <w:r>
        <w:t xml:space="preserve"> </w:t>
      </w:r>
      <w:r>
        <w:t xml:space="preserve">O‘zbekiston Respublikasi Markaziy banki. Statistik byulleten: 2021-yil. – Toshkent, 2022. – 5.1.8b-jadval; O‘zbekiston Respublikasi Markaziy banki. Statistik byulleten: 2026-yil mart. – Toshkent, 2026. – 5.1.2, 5.1.3, 5.1.4, 5.1.6, 5.1.7, 5.1.8-jadvallar. – https://cbu.uz/uz/statistics/buleten/; The Central Bank of the Republic of Uzbekistan. Financial Stability Report for 2025. – Tashkent, 2026.</w:t>
      </w:r>
    </w:p>
  </w:footnote>
  <w:footnote w:id="37">
    <w:p>
      <w:pPr>
        <w:pStyle w:val="FootnoteText"/>
      </w:pPr>
      <w:r>
        <w:rPr>
          <w:rStyle w:val="FootnoteReference"/>
        </w:rPr>
        <w:footnoteRef/>
      </w:r>
      <w:r>
        <w:t xml:space="preserve"> </w:t>
      </w:r>
      <w:r>
        <w:t xml:space="preserve">Muallif tomonidan quyidagi manbalar asosida tuzilgan: O‘zbekiston Respublikasi Markaziy banki. Statistik byulleten: 2021-yil. – Toshkent, 2022; O‘zbekiston Respublikasi Markaziy banki. Statistik byulleten: 2026-yil mart. – Toshkent, 2026. – https://cbu.uz/uz/statistics/buleten/; IMF Country Report No. 25/227, 2025; The Central Bank of Uzbekistan. Financial Stability Report for 2024; The Central Bank of Uzbekistan. Financial Stability Report for 2025.</w:t>
      </w:r>
    </w:p>
  </w:footnote>
  <w:footnote w:id="38">
    <w:p>
      <w:pPr>
        <w:pStyle w:val="FootnoteText"/>
      </w:pPr>
      <w:r>
        <w:rPr>
          <w:rStyle w:val="FootnoteReference"/>
        </w:rPr>
        <w:footnoteRef/>
      </w:r>
      <w:r>
        <w:t xml:space="preserve"> </w:t>
      </w:r>
      <w:r>
        <w:t xml:space="preserve">The Central Bank of Uzbekistan. Financial Stability Report for 2025.</w:t>
      </w:r>
    </w:p>
  </w:footnote>
  <w:footnote w:id="39">
    <w:p>
      <w:pPr>
        <w:pStyle w:val="FootnoteText"/>
      </w:pPr>
      <w:r>
        <w:rPr>
          <w:rStyle w:val="FootnoteReference"/>
        </w:rPr>
        <w:footnoteRef/>
      </w:r>
      <w:r>
        <w:t xml:space="preserve"> </w:t>
      </w:r>
      <w:r>
        <w:t xml:space="preserve">The Central Bank of Uzbekistan. Financial Stability Report for H1 2025. – Tashkent, 2025. – https://cbu.uz/upload/medialibrary/fea/zc1m2epsxmcmn8u19j8q8n4so1d7eqsz/Financial-Stability-Report-for-H1-2025.pdf</w:t>
      </w:r>
    </w:p>
  </w:footnote>
  <w:footnote w:id="40">
    <w:p>
      <w:pPr>
        <w:pStyle w:val="FootnoteText"/>
      </w:pPr>
      <w:r>
        <w:rPr>
          <w:rStyle w:val="FootnoteReference"/>
        </w:rPr>
        <w:footnoteRef/>
      </w:r>
      <w:r>
        <w:t xml:space="preserve"> </w:t>
      </w:r>
      <w:r>
        <w:t xml:space="preserve">Muallif tomonidan quyidagi manbalar asosida tuzilgan: The Central Bank of Uzbekistan. Financial Stability Report for H1 2025; Financial Stability Report for 2025.</w:t>
      </w:r>
    </w:p>
  </w:footnote>
  <w:footnote w:id="42">
    <w:p>
      <w:pPr>
        <w:pStyle w:val="FootnoteText"/>
      </w:pPr>
      <w:r>
        <w:rPr>
          <w:rStyle w:val="FootnoteReference"/>
        </w:rPr>
        <w:footnoteRef/>
      </w:r>
      <w:r>
        <w:t xml:space="preserve"> </w:t>
      </w:r>
      <w:r>
        <w:t xml:space="preserve">IMF Country Report No. 25/227, 2025.</w:t>
      </w:r>
    </w:p>
  </w:footnote>
  <w:footnote w:id="43">
    <w:p>
      <w:pPr>
        <w:pStyle w:val="FootnoteText"/>
      </w:pPr>
      <w:r>
        <w:rPr>
          <w:rStyle w:val="FootnoteReference"/>
        </w:rPr>
        <w:footnoteRef/>
      </w:r>
      <w:r>
        <w:t xml:space="preserve"> </w:t>
      </w:r>
      <w:r>
        <w:t xml:space="preserve">Muallif tomonidan quyidagi manbalar asosida tuzilgan: IMF Country Report No. 25/227, 2025; IMF. Republic of Uzbekistan: Financial Sector Assessment Program – Financial System Stability Assessment. – IMF Country Report No. 25/145. – Washington, DC, 2025; The Central Bank of the Republic of Uzbekistan. «Roadmap»… – Items 1–5, 7, 9, 15, 17, 20.</w:t>
      </w:r>
    </w:p>
  </w:footnote>
  <w:footnote w:id="44">
    <w:p>
      <w:pPr>
        <w:pStyle w:val="FootnoteText"/>
      </w:pPr>
      <w:r>
        <w:rPr>
          <w:rStyle w:val="FootnoteReference"/>
        </w:rPr>
        <w:footnoteRef/>
      </w:r>
      <w:r>
        <w:t xml:space="preserve"> </w:t>
      </w:r>
      <w:r>
        <w:t xml:space="preserve">Muallif ishlanmasi.</w:t>
      </w:r>
    </w:p>
  </w:footnote>
  <w:footnote w:id="45">
    <w:p>
      <w:pPr>
        <w:pStyle w:val="FootnoteText"/>
      </w:pPr>
      <w:r>
        <w:rPr>
          <w:rStyle w:val="FootnoteReference"/>
        </w:rPr>
        <w:footnoteRef/>
      </w:r>
      <w:r>
        <w:t xml:space="preserve"> </w:t>
      </w:r>
      <w:r>
        <w:t xml:space="preserve">IMF Country Report No. 25/227, 2025.</w:t>
      </w:r>
    </w:p>
  </w:footnote>
  <w:footnote w:id="46">
    <w:p>
      <w:pPr>
        <w:pStyle w:val="FootnoteText"/>
      </w:pPr>
      <w:r>
        <w:rPr>
          <w:rStyle w:val="FootnoteReference"/>
        </w:rPr>
        <w:footnoteRef/>
      </w:r>
      <w:r>
        <w:t xml:space="preserve"> </w:t>
      </w:r>
      <w:r>
        <w:t xml:space="preserve">IMF Country Report No. 25/145, 2025.</w:t>
      </w:r>
    </w:p>
  </w:footnote>
  <w:footnote w:id="47">
    <w:p>
      <w:pPr>
        <w:pStyle w:val="FootnoteText"/>
      </w:pPr>
      <w:r>
        <w:rPr>
          <w:rStyle w:val="FootnoteReference"/>
        </w:rPr>
        <w:footnoteRef/>
      </w:r>
      <w:r>
        <w:t xml:space="preserve"> </w:t>
      </w:r>
      <w:r>
        <w:t xml:space="preserve">The Central Bank of the Republic of Uzbekistan. «Roadmap»… – Item 3.</w:t>
      </w:r>
    </w:p>
  </w:footnote>
  <w:footnote w:id="48">
    <w:p>
      <w:pPr>
        <w:pStyle w:val="FootnoteText"/>
      </w:pPr>
      <w:r>
        <w:rPr>
          <w:rStyle w:val="FootnoteReference"/>
        </w:rPr>
        <w:footnoteRef/>
      </w:r>
      <w:r>
        <w:t xml:space="preserve"> </w:t>
      </w:r>
      <w:r>
        <w:t xml:space="preserve">O‘sha joyda. – Items 5, 19.</w:t>
      </w:r>
    </w:p>
  </w:footnote>
  <w:footnote w:id="49">
    <w:p>
      <w:pPr>
        <w:pStyle w:val="FootnoteText"/>
      </w:pPr>
      <w:r>
        <w:rPr>
          <w:rStyle w:val="FootnoteReference"/>
        </w:rPr>
        <w:footnoteRef/>
      </w:r>
      <w:r>
        <w:t xml:space="preserve"> </w:t>
      </w:r>
      <w:r>
        <w:t xml:space="preserve">IMF Country Report No. 25/145, 2025.</w:t>
      </w:r>
    </w:p>
  </w:footnote>
  <w:footnote w:id="50">
    <w:p>
      <w:pPr>
        <w:pStyle w:val="FootnoteText"/>
      </w:pPr>
      <w:r>
        <w:rPr>
          <w:rStyle w:val="FootnoteReference"/>
        </w:rPr>
        <w:footnoteRef/>
      </w:r>
      <w:r>
        <w:t xml:space="preserve"> </w:t>
      </w:r>
      <w:r>
        <w:t xml:space="preserve">The Central Bank of the Republic of Uzbekistan. «Roadmap»… – Items 7, 16.</w:t>
      </w:r>
    </w:p>
  </w:footnote>
  <w:footnote w:id="51">
    <w:p>
      <w:pPr>
        <w:pStyle w:val="FootnoteText"/>
      </w:pPr>
      <w:r>
        <w:rPr>
          <w:rStyle w:val="FootnoteReference"/>
        </w:rPr>
        <w:footnoteRef/>
      </w:r>
      <w:r>
        <w:t xml:space="preserve"> </w:t>
      </w:r>
      <w:r>
        <w:t xml:space="preserve">IMF. Uzbekistan: Staff Concluding Statement of the 2026 Article IV Mission. – 13.04.2026. – https://www.imf.org/en/news/articles/2026/04/13/mcs041326-uzbekistan</w:t>
      </w:r>
    </w:p>
  </w:footnote>
  <w:footnote w:id="52">
    <w:p>
      <w:pPr>
        <w:pStyle w:val="FootnoteText"/>
      </w:pPr>
      <w:r>
        <w:rPr>
          <w:rStyle w:val="FootnoteReference"/>
        </w:rPr>
        <w:footnoteRef/>
      </w:r>
      <w:r>
        <w:t xml:space="preserve"> </w:t>
      </w:r>
      <w:r>
        <w:t xml:space="preserve">The Central Bank of the Republic of Uzbekistan. «Roadmap»… – Item 9.</w:t>
      </w:r>
    </w:p>
  </w:footnote>
  <w:footnote w:id="53">
    <w:p>
      <w:pPr>
        <w:pStyle w:val="FootnoteText"/>
      </w:pPr>
      <w:r>
        <w:rPr>
          <w:rStyle w:val="FootnoteReference"/>
        </w:rPr>
        <w:footnoteRef/>
      </w:r>
      <w:r>
        <w:t xml:space="preserve"> </w:t>
      </w:r>
      <w:r>
        <w:t xml:space="preserve">O‘sha joyda. – Item 31.</w:t>
      </w:r>
    </w:p>
  </w:footnote>
  <w:footnote w:id="54">
    <w:p>
      <w:pPr>
        <w:pStyle w:val="FootnoteText"/>
      </w:pPr>
      <w:r>
        <w:rPr>
          <w:rStyle w:val="FootnoteReference"/>
        </w:rPr>
        <w:footnoteRef/>
      </w:r>
      <w:r>
        <w:t xml:space="preserve"> </w:t>
      </w:r>
      <w:r>
        <w:t xml:space="preserve">The Central Bank of the Republic of Uzbekistan. «Roadmap»… – Items 2–4, 7, 9.</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rPr>
  </w:style>
  <w:style w:styleId="BodyText" w:type="paragraph">
    <w:name w:val="Body Text"/>
    <w:basedOn w:val="Normal"/>
    <w:link w:val="BodyTextChar"/>
    <w:pPr>
      <w:spacing w:after="180" w:before="180"/>
    </w:pPr>
    <w:qFormat/>
    <w:rPr>
      <w:rFonts w:ascii="Times New Roman" w:hAnsi="Times New Roman"/>
    </w:rPr>
  </w:style>
  <w:style w:customStyle="1" w:styleId="FirstParagraph" w:type="paragraph">
    <w:name w:val="First Paragraph"/>
    <w:basedOn w:val="BodyText"/>
    <w:next w:val="BodyText"/>
    <w:qFormat/>
    <w:rPr>
      <w:rFonts w:ascii="Times New Roman" w:hAnsi="Times New Roman"/>
    </w:rPr>
  </w:style>
  <w:style w:customStyle="1" w:styleId="Compact" w:type="paragraph">
    <w:name w:val="Compact"/>
    <w:basedOn w:val="BodyText"/>
    <w:qFormat/>
    <w:pPr>
      <w:spacing w:after="36" w:before="36"/>
    </w:pPr>
    <w:rPr>
      <w:rFonts w:ascii="Times New Roman" w:hAnsi="Times New Roman"/>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b/>
      <w:bCs/>
      <w:sz w:val="36"/>
      <w:szCs w:val="36"/>
    </w:rPr>
  </w:style>
  <w:style w:styleId="Subtitle" w:type="paragraph">
    <w:name w:val="Subtitle"/>
    <w:basedOn w:val="Title"/>
    <w:next w:val="BodyText"/>
    <w:qFormat/>
    <w:pPr>
      <w:keepNext/>
      <w:keepLines/>
      <w:spacing w:after="240" w:before="240"/>
      <w:jc w:val="center"/>
    </w:pPr>
    <w:rPr>
      <w:rFonts w:ascii="Times New Roman" w:hAnsi="Times New Roman"/>
      <w:sz w:val="30"/>
      <w:szCs w:val="30"/>
    </w:rPr>
  </w:style>
  <w:style w:customStyle="1" w:styleId="Author" w:type="paragraph">
    <w:name w:val="Author"/>
    <w:next w:val="BodyText"/>
    <w:qFormat/>
    <w:pPr>
      <w:keepNext/>
      <w:keepLines/>
      <w:jc w:val="center"/>
    </w:pPr>
    <w:rPr>
      <w:rFonts w:ascii="Times New Roman" w:hAnsi="Times New Roman"/>
    </w:rPr>
  </w:style>
  <w:style w:styleId="Date" w:type="paragraph">
    <w:name w:val="Date"/>
    <w:next w:val="BodyText"/>
    <w:qFormat/>
    <w:pPr>
      <w:keepNext/>
      <w:keepLines/>
      <w:jc w:val="center"/>
    </w:pPr>
    <w:rPr>
      <w:rFonts w:ascii="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hAnsi="Times New Roman"/>
      <w:b/>
    </w:rPr>
  </w:style>
  <w:style w:customStyle="1" w:styleId="Abstract" w:type="paragraph">
    <w:name w:val="Abstract"/>
    <w:basedOn w:val="Normal"/>
    <w:next w:val="BodyText"/>
    <w:qFormat/>
    <w:pPr>
      <w:keepNext/>
      <w:keepLines/>
      <w:spacing w:after="300" w:before="100"/>
    </w:pPr>
    <w:rPr>
      <w:rFonts w:ascii="Times New Roman" w:hAnsi="Times New Roman"/>
      <w:sz w:val="20"/>
      <w:szCs w:val="20"/>
    </w:rPr>
  </w:style>
  <w:style w:styleId="Bibliography" w:type="paragraph">
    <w:name w:val="Bibliography"/>
    <w:basedOn w:val="Normal"/>
    <w:next w:val="Bibliography"/>
    <w:qFormat/>
    <w:pPr/>
    <w:rPr>
      <w:rFonts w:ascii="Times New Roman" w:hAnsi="Times New Roman"/>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b/>
      <w:bCs/>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b/>
      <w:bCs/>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b/>
      <w:bCs/>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Times New Roman" w:hAnsi="Times New Roman"/>
      <w:i/>
      <w:bCs/>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Times New Roman" w:hAnsi="Times New Roman"/>
      <w:iCs/>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Times New Roman" w:hAnsi="Times New Roman"/>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Times New Roman" w:hAnsi="Times New Roman"/>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Times New Roman" w:hAnsi="Times New Roman"/>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Times New Roman" w:hAnsi="Times New Roman"/>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rPr>
  </w:style>
  <w:style w:styleId="FootnoteText" w:type="paragraph">
    <w:name w:val="Footnote Text"/>
    <w:basedOn w:val="Normal"/>
    <w:next w:val="FootnoteText"/>
    <w:uiPriority w:val="9"/>
    <w:unhideWhenUsed/>
    <w:qFormat/>
    <w:pPr>
      <w:spacing w:line="240" w:lineRule="auto" w:after="0"/>
      <w:ind w:firstLine="0"/>
      <w:jc w:val="both"/>
    </w:pPr>
    <w:rPr>
      <w:rFonts w:ascii="Times New Roman" w:hAnsi="Times New Roman"/>
      <w:sz w:val="20"/>
    </w:rPr>
  </w:style>
  <w:style w:default="1" w:styleId="DefaultParagraphFont" w:type="character">
    <w:name w:val="Default Paragraph Font"/>
    <w:semiHidden/>
    <w:unhideWhenUsed/>
    <w:rPr>
      <w:rFonts w:ascii="Times New Roman" w:hAnsi="Times New Roman"/>
    </w:rPr>
  </w:style>
  <w:style w:default="1" w:styleId="Table" w:type="table">
    <w:name w:val="Table"/>
    <w:basedOn w:val="TableNormal"/>
    <w:semiHidden/>
    <w:unhideWhenUsed/>
    <w:qFormat/>
    <w:rPr>
      <w:rFonts w:ascii="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b/>
    </w:rPr>
  </w:style>
  <w:style w:customStyle="1" w:styleId="Definition" w:type="paragraph">
    <w:name w:val="Definition"/>
    <w:basedOn w:val="Normal"/>
    <w:rPr>
      <w:rFonts w:ascii="Times New Roman" w:hAnsi="Times New Roman"/>
    </w:rPr>
  </w:style>
  <w:style w:styleId="Caption" w:type="paragraph">
    <w:name w:val="Caption"/>
    <w:basedOn w:val="Normal"/>
    <w:link w:val="BodyTextChar"/>
    <w:pPr>
      <w:spacing w:after="120" w:before="0"/>
    </w:pPr>
    <w:rPr>
      <w:rFonts w:ascii="Times New Roman" w:hAnsi="Times New Roman"/>
      <w:i/>
    </w:rPr>
  </w:style>
  <w:style w:customStyle="1" w:styleId="TableCaption" w:type="paragraph">
    <w:name w:val="Table Caption"/>
    <w:basedOn w:val="Caption"/>
    <w:pPr>
      <w:keepNext/>
    </w:pPr>
    <w:rPr>
      <w:rFonts w:ascii="Times New Roman" w:hAnsi="Times New Roman"/>
    </w:rPr>
  </w:style>
  <w:style w:customStyle="1" w:styleId="ImageCaption" w:type="paragraph">
    <w:name w:val="Image Caption"/>
    <w:basedOn w:val="Caption"/>
    <w:rPr>
      <w:rFonts w:ascii="Times New Roman" w:hAnsi="Times New Roman"/>
    </w:rPr>
  </w:style>
  <w:style w:customStyle="1" w:styleId="Figure" w:type="paragraph">
    <w:name w:val="Figure"/>
    <w:basedOn w:val="Normal"/>
    <w:rPr>
      <w:rFonts w:ascii="Times New Roman" w:hAnsi="Times New Roman"/>
    </w:rPr>
  </w:style>
  <w:style w:customStyle="1" w:styleId="CaptionedFigure" w:type="paragraph">
    <w:name w:val="Captioned Figure"/>
    <w:basedOn w:val="Figure"/>
    <w:pPr>
      <w:keepNext/>
    </w:pPr>
    <w:rPr>
      <w:rFonts w:ascii="Times New Roman" w:hAnsi="Times New Roman"/>
    </w:rPr>
  </w:style>
  <w:style w:customStyle="1" w:styleId="BodyTextChar" w:type="character">
    <w:name w:val="Body Text Char"/>
    <w:basedOn w:val="DefaultParagraphFont"/>
    <w:link w:val="BodyText"/>
    <w:rPr>
      <w:rFonts w:ascii="Times New Roman" w:hAnsi="Times New Roman"/>
    </w:rPr>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rPr>
      <w:rFonts w:ascii="Times New Roman" w:hAnsi="Times New Roman"/>
    </w:rPr>
  </w:style>
  <w:style w:styleId="FootnoteReference" w:type="character">
    <w:name w:val="Footnote Reference"/>
    <w:basedOn w:val="BodyTextChar"/>
    <w:rPr>
      <w:rFonts w:ascii="Times New Roman" w:hAnsi="Times New Roman"/>
      <w:vertAlign w:val="superscript"/>
    </w:rPr>
  </w:style>
  <w:style w:styleId="Hyperlink" w:type="character">
    <w:name w:val="Hyperlink"/>
    <w:basedOn w:val="BodyTextChar"/>
    <w:rPr>
      <w:rFonts w:ascii="Times New Roman" w:hAnsi="Times New Roman"/>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b w:val="0"/>
      <w:bCs w:val="0"/>
    </w:rPr>
  </w:style>
  <w:style w:type="paragraph" w:customStyle="1" w:styleId="SourceCode">
    <w:name w:val="Source Code"/>
    <w:basedOn w:val="Normal"/>
    <w:link w:val="VerbatimChar"/>
    <w:pPr>
      <w:wordWrap w:val="off"/>
    </w:pPr>
    <w:rPr>
      <w:rFonts w:ascii="Times New Roman" w:hAnsi="Times New Roman"/>
    </w:rPr>
  </w:style>
  <w:style w:type="character" w:customStyle="1" w:styleId="KeywordTok">
    <w:name w:val="KeywordTok"/>
    <w:basedOn w:val="VerbatimChar"/>
    <w:rPr>
      <w:rFonts w:ascii="Times New Roman" w:hAnsi="Times New Roman"/>
      <w:b/>
    </w:rPr>
  </w:style>
  <w:style w:type="character" w:customStyle="1" w:styleId="DataTypeTok">
    <w:name w:val="DataTypeTok"/>
    <w:basedOn w:val="VerbatimChar"/>
    <w:rPr>
      <w:rFonts w:ascii="Times New Roman" w:hAnsi="Times New Roman"/>
    </w:rPr>
  </w:style>
  <w:style w:type="character" w:customStyle="1" w:styleId="DecValTok">
    <w:name w:val="DecValTok"/>
    <w:basedOn w:val="VerbatimChar"/>
    <w:rPr>
      <w:rFonts w:ascii="Times New Roman" w:hAnsi="Times New Roman"/>
    </w:rPr>
  </w:style>
  <w:style w:type="character" w:customStyle="1" w:styleId="BaseNTok">
    <w:name w:val="BaseNTok"/>
    <w:basedOn w:val="VerbatimChar"/>
    <w:rPr>
      <w:rFonts w:ascii="Times New Roman" w:hAnsi="Times New Roman"/>
    </w:rPr>
  </w:style>
  <w:style w:type="character" w:customStyle="1" w:styleId="FloatTok">
    <w:name w:val="FloatTok"/>
    <w:basedOn w:val="VerbatimChar"/>
    <w:rPr>
      <w:rFonts w:ascii="Times New Roman" w:hAnsi="Times New Roman"/>
    </w:rPr>
  </w:style>
  <w:style w:type="character" w:customStyle="1" w:styleId="ConstantTok">
    <w:name w:val="ConstantTok"/>
    <w:basedOn w:val="VerbatimChar"/>
    <w:rPr>
      <w:rFonts w:ascii="Times New Roman" w:hAnsi="Times New Roman"/>
    </w:rPr>
  </w:style>
  <w:style w:type="character" w:customStyle="1" w:styleId="CharTok">
    <w:name w:val="CharTok"/>
    <w:basedOn w:val="VerbatimChar"/>
    <w:rPr>
      <w:rFonts w:ascii="Times New Roman" w:hAnsi="Times New Roman"/>
    </w:rPr>
  </w:style>
  <w:style w:type="character" w:customStyle="1" w:styleId="SpecialCharTok">
    <w:name w:val="SpecialCharTok"/>
    <w:basedOn w:val="VerbatimChar"/>
    <w:rPr>
      <w:rFonts w:ascii="Times New Roman" w:hAnsi="Times New Roman"/>
    </w:rPr>
  </w:style>
  <w:style w:type="character" w:customStyle="1" w:styleId="StringTok">
    <w:name w:val="StringTok"/>
    <w:basedOn w:val="VerbatimChar"/>
    <w:rPr>
      <w:rFonts w:ascii="Times New Roman" w:hAnsi="Times New Roman"/>
    </w:rPr>
  </w:style>
  <w:style w:type="character" w:customStyle="1" w:styleId="VerbatimStringTok">
    <w:name w:val="VerbatimStringTok"/>
    <w:basedOn w:val="VerbatimChar"/>
    <w:rPr>
      <w:rFonts w:ascii="Times New Roman" w:hAnsi="Times New Roman"/>
    </w:rPr>
  </w:style>
  <w:style w:type="character" w:customStyle="1" w:styleId="SpecialStringTok">
    <w:name w:val="SpecialStringTok"/>
    <w:basedOn w:val="VerbatimChar"/>
    <w:rPr>
      <w:rFonts w:ascii="Times New Roman" w:hAnsi="Times New Roman"/>
    </w:rPr>
  </w:style>
  <w:style w:type="character" w:customStyle="1" w:styleId="ImportTok">
    <w:name w:val="ImportTok"/>
    <w:basedOn w:val="VerbatimChar"/>
    <w:rPr>
      <w:rFonts w:ascii="Times New Roman" w:hAnsi="Times New Roman"/>
      <w:b/>
    </w:rPr>
  </w:style>
  <w:style w:type="character" w:customStyle="1" w:styleId="CommentTok">
    <w:name w:val="CommentTok"/>
    <w:basedOn w:val="VerbatimChar"/>
    <w:rPr>
      <w:rFonts w:ascii="Times New Roman" w:hAnsi="Times New Roman"/>
      <w:i/>
    </w:rPr>
  </w:style>
  <w:style w:type="character" w:customStyle="1" w:styleId="DocumentationTok">
    <w:name w:val="DocumentationTok"/>
    <w:basedOn w:val="VerbatimChar"/>
    <w:rPr>
      <w:rFonts w:ascii="Times New Roman" w:hAnsi="Times New Roman"/>
      <w:i/>
    </w:rPr>
  </w:style>
  <w:style w:type="character" w:customStyle="1" w:styleId="AnnotationTok">
    <w:name w:val="AnnotationTok"/>
    <w:basedOn w:val="VerbatimChar"/>
    <w:rPr>
      <w:rFonts w:ascii="Times New Roman" w:hAnsi="Times New Roman"/>
      <w:b/>
      <w:i/>
    </w:rPr>
  </w:style>
  <w:style w:type="character" w:customStyle="1" w:styleId="CommentVarTok">
    <w:name w:val="CommentVarTok"/>
    <w:basedOn w:val="VerbatimChar"/>
    <w:rPr>
      <w:rFonts w:ascii="Times New Roman" w:hAnsi="Times New Roman"/>
      <w:b/>
      <w:i/>
    </w:rPr>
  </w:style>
  <w:style w:type="character" w:customStyle="1" w:styleId="OtherTok">
    <w:name w:val="OtherTok"/>
    <w:basedOn w:val="VerbatimChar"/>
    <w:rPr>
      <w:rFonts w:ascii="Times New Roman" w:hAnsi="Times New Roman"/>
    </w:rPr>
  </w:style>
  <w:style w:type="character" w:customStyle="1" w:styleId="FunctionTok">
    <w:name w:val="FunctionTok"/>
    <w:basedOn w:val="VerbatimChar"/>
    <w:rPr>
      <w:rFonts w:ascii="Times New Roman" w:hAnsi="Times New Roman"/>
    </w:rPr>
  </w:style>
  <w:style w:type="character" w:customStyle="1" w:styleId="VariableTok">
    <w:name w:val="VariableTok"/>
    <w:basedOn w:val="VerbatimChar"/>
    <w:rPr>
      <w:rFonts w:ascii="Times New Roman" w:hAnsi="Times New Roman"/>
    </w:rPr>
  </w:style>
  <w:style w:type="character" w:customStyle="1" w:styleId="ControlFlowTok">
    <w:name w:val="ControlFlowTok"/>
    <w:basedOn w:val="VerbatimChar"/>
    <w:rPr>
      <w:rFonts w:ascii="Times New Roman" w:hAnsi="Times New Roman"/>
      <w:b/>
    </w:rPr>
  </w:style>
  <w:style w:type="character" w:customStyle="1" w:styleId="OperatorTok">
    <w:name w:val="OperatorTok"/>
    <w:basedOn w:val="VerbatimChar"/>
    <w:rPr>
      <w:rFonts w:ascii="Times New Roman" w:hAnsi="Times New Roman"/>
    </w:rPr>
  </w:style>
  <w:style w:type="character" w:customStyle="1" w:styleId="BuiltInTok">
    <w:name w:val="BuiltInTok"/>
    <w:basedOn w:val="VerbatimChar"/>
    <w:rPr>
      <w:rFonts w:ascii="Times New Roman" w:hAnsi="Times New Roman"/>
    </w:rPr>
  </w:style>
  <w:style w:type="character" w:customStyle="1" w:styleId="ExtensionTok">
    <w:name w:val="ExtensionTok"/>
    <w:basedOn w:val="VerbatimChar"/>
    <w:rPr>
      <w:rFonts w:ascii="Times New Roman" w:hAnsi="Times New Roman"/>
    </w:rPr>
  </w:style>
  <w:style w:type="character" w:customStyle="1" w:styleId="PreprocessorTok">
    <w:name w:val="PreprocessorTok"/>
    <w:basedOn w:val="VerbatimChar"/>
    <w:rPr>
      <w:rFonts w:ascii="Times New Roman" w:hAnsi="Times New Roman"/>
    </w:rPr>
  </w:style>
  <w:style w:type="character" w:customStyle="1" w:styleId="AttributeTok">
    <w:name w:val="AttributeTok"/>
    <w:basedOn w:val="VerbatimChar"/>
    <w:rPr>
      <w:rFonts w:ascii="Times New Roman" w:hAnsi="Times New Roman"/>
    </w:rPr>
  </w:style>
  <w:style w:type="character" w:customStyle="1" w:styleId="RegionMarkerTok">
    <w:name w:val="RegionMarkerTok"/>
    <w:basedOn w:val="VerbatimChar"/>
    <w:rPr>
      <w:rFonts w:ascii="Times New Roman" w:hAnsi="Times New Roman"/>
    </w:rPr>
  </w:style>
  <w:style w:type="character" w:customStyle="1" w:styleId="InformationTok">
    <w:name w:val="InformationTok"/>
    <w:basedOn w:val="VerbatimChar"/>
    <w:rPr>
      <w:rFonts w:ascii="Times New Roman" w:hAnsi="Times New Roman"/>
      <w:b/>
      <w:i/>
    </w:rPr>
  </w:style>
  <w:style w:type="character" w:customStyle="1" w:styleId="WarningTok">
    <w:name w:val="WarningTok"/>
    <w:basedOn w:val="VerbatimChar"/>
    <w:rPr>
      <w:rFonts w:ascii="Times New Roman" w:hAnsi="Times New Roman"/>
      <w:b/>
      <w:i/>
    </w:rPr>
  </w:style>
  <w:style w:type="character" w:customStyle="1" w:styleId="AlertTok">
    <w:name w:val="AlertTok"/>
    <w:basedOn w:val="VerbatimChar"/>
    <w:rPr>
      <w:rFonts w:ascii="Times New Roman" w:hAnsi="Times New Roman"/>
      <w:b/>
    </w:rPr>
  </w:style>
  <w:style w:type="character" w:customStyle="1" w:styleId="ErrorTok">
    <w:name w:val="ErrorTok"/>
    <w:basedOn w:val="VerbatimChar"/>
    <w:rPr>
      <w:rFonts w:ascii="Times New Roman" w:hAnsi="Times New Roman"/>
      <w:b/>
    </w:rPr>
  </w:style>
  <w:style w:type="character" w:customStyle="1" w:styleId="NormalTok">
    <w:name w:val="NormalTok"/>
    <w:basedOn w:val="VerbatimChar"/>
    <w:rPr>
      <w:rFonts w:ascii="Times New Roman" w:hAnsi="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chart" Target="charts/chart1.xml"/><Relationship Id="rId10" Type="http://schemas.openxmlformats.org/officeDocument/2006/relationships/chart" Target="charts/chart2.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barChart>
        <c:barDir val="col"/>
        <c:grouping val="clustered"/>
        <c:varyColors val="0"/>
        <c:ser>
          <c:idx val="0"/>
          <c:order val="0"/>
          <c:tx>
            <c:strRef>
              <c:f>Sheet1!$B$1</c:f>
              <c:strCache>
                <c:ptCount val="1"/>
                <c:pt idx="0">
                  <c:v>Jami kapital monandligi</c:v>
                </c:pt>
              </c:strCache>
            </c:strRef>
          </c:tx>
          <c:spPr>
            <a:solidFill>
              <a:srgbClr val="2A78D6"/>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Sheet1!$B$2:$B$6</c:f>
              <c:numCache>
                <c:formatCode>General</c:formatCode>
                <c:ptCount val="5"/>
                <c:pt idx="0">
                  <c:v>17.5</c:v>
                </c:pt>
                <c:pt idx="1">
                  <c:v>17.8</c:v>
                </c:pt>
                <c:pt idx="2">
                  <c:v>17.5</c:v>
                </c:pt>
                <c:pt idx="3">
                  <c:v>17.4</c:v>
                </c:pt>
                <c:pt idx="4">
                  <c:v>18.3</c:v>
                </c:pt>
              </c:numCache>
            </c:numRef>
          </c:val>
        </c:ser>
        <c:ser>
          <c:idx val="1"/>
          <c:order val="1"/>
          <c:tx>
            <c:strRef>
              <c:f>Sheet1!$C$1</c:f>
              <c:strCache>
                <c:ptCount val="1"/>
                <c:pt idx="0">
                  <c:v>Asosiy kapital (CET1) monandligi</c:v>
                </c:pt>
              </c:strCache>
            </c:strRef>
          </c:tx>
          <c:spPr>
            <a:solidFill>
              <a:srgbClr val="EB6834"/>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Sheet1!$C$2:$C$6</c:f>
              <c:numCache>
                <c:formatCode>General</c:formatCode>
                <c:ptCount val="5"/>
                <c:pt idx="0">
                  <c:v>14.6</c:v>
                </c:pt>
                <c:pt idx="1">
                  <c:v>14.4</c:v>
                </c:pt>
                <c:pt idx="2">
                  <c:v>14.1</c:v>
                </c:pt>
                <c:pt idx="3">
                  <c:v>14.3</c:v>
                </c:pt>
                <c:pt idx="4">
                  <c:v>14.7</c:v>
                </c:pt>
              </c:numCache>
            </c:numRef>
          </c:val>
        </c:ser>
        <c:gapWidth val="8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22"/>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Risk bo‘yicha tortilgan aktivlarga nisbatan,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2"/>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barChart>
        <c:barDir val="col"/>
        <c:grouping val="clustered"/>
        <c:varyColors val="0"/>
        <c:ser>
          <c:idx val="0"/>
          <c:order val="0"/>
          <c:tx>
            <c:strRef>
              <c:f>Sheet1!$B$1</c:f>
              <c:strCache>
                <c:ptCount val="1"/>
                <c:pt idx="0">
                  <c:v>Amaldagi daraja (2025-y. oxiri)</c:v>
                </c:pt>
              </c:strCache>
            </c:strRef>
          </c:tx>
          <c:spPr>
            <a:solidFill>
              <a:srgbClr val="2A78D6"/>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Sheet1!$A$2:$A$3</c:f>
              <c:strCache>
                <c:ptCount val="2"/>
                <c:pt idx="0">
                  <c:v>Asosiy kapital (CET1)</c:v>
                </c:pt>
                <c:pt idx="1">
                  <c:v>Jami kapital</c:v>
                </c:pt>
              </c:strCache>
            </c:strRef>
          </c:cat>
          <c:val>
            <c:numRef>
              <c:f>Sheet1!$B$2:$B$3</c:f>
              <c:numCache>
                <c:formatCode>General</c:formatCode>
                <c:ptCount val="2"/>
                <c:pt idx="0">
                  <c:v>14.7</c:v>
                </c:pt>
                <c:pt idx="1">
                  <c:v>18.3</c:v>
                </c:pt>
              </c:numCache>
            </c:numRef>
          </c:val>
        </c:ser>
        <c:ser>
          <c:idx val="1"/>
          <c:order val="1"/>
          <c:tx>
            <c:strRef>
              <c:f>Sheet1!$C$1</c:f>
              <c:strCache>
                <c:ptCount val="1"/>
                <c:pt idx="0">
                  <c:v>Salbiy ssenariy: 2028-y. I yarmi (2025-y. I yarim sharhi)</c:v>
                </c:pt>
              </c:strCache>
            </c:strRef>
          </c:tx>
          <c:spPr>
            <a:solidFill>
              <a:srgbClr val="FFC000"/>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Sheet1!$A$2:$A$3</c:f>
              <c:strCache>
                <c:ptCount val="2"/>
                <c:pt idx="0">
                  <c:v>Asosiy kapital (CET1)</c:v>
                </c:pt>
                <c:pt idx="1">
                  <c:v>Jami kapital</c:v>
                </c:pt>
              </c:strCache>
            </c:strRef>
          </c:cat>
          <c:val>
            <c:numRef>
              <c:f>Sheet1!$C$2:$C$3</c:f>
              <c:numCache>
                <c:formatCode>General</c:formatCode>
                <c:ptCount val="2"/>
                <c:pt idx="0">
                  <c:v>6.1</c:v>
                </c:pt>
                <c:pt idx="1">
                  <c:v>8.4</c:v>
                </c:pt>
              </c:numCache>
            </c:numRef>
          </c:val>
        </c:ser>
        <c:ser>
          <c:idx val="2"/>
          <c:order val="2"/>
          <c:tx>
            <c:strRef>
              <c:f>Sheet1!$D$1</c:f>
              <c:strCache>
                <c:ptCount val="1"/>
                <c:pt idx="0">
                  <c:v>Salbiy ssenariy: 2028-y. oxiri (2025-y. sharhi)</c:v>
                </c:pt>
              </c:strCache>
            </c:strRef>
          </c:tx>
          <c:spPr>
            <a:solidFill>
              <a:srgbClr val="EB6834"/>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Sheet1!$A$2:$A$3</c:f>
              <c:strCache>
                <c:ptCount val="2"/>
                <c:pt idx="0">
                  <c:v>Asosiy kapital (CET1)</c:v>
                </c:pt>
                <c:pt idx="1">
                  <c:v>Jami kapital</c:v>
                </c:pt>
              </c:strCache>
            </c:strRef>
          </c:cat>
          <c:val>
            <c:numRef>
              <c:f>Sheet1!$D$2:$D$3</c:f>
              <c:numCache>
                <c:formatCode>General</c:formatCode>
                <c:ptCount val="2"/>
                <c:pt idx="0">
                  <c:v>5.6</c:v>
                </c:pt>
                <c:pt idx="1">
                  <c:v>6.8</c:v>
                </c:pt>
              </c:numCache>
            </c:numRef>
          </c:val>
        </c:ser>
        <c:ser>
          <c:idx val="3"/>
          <c:order val="3"/>
          <c:tx>
            <c:strRef>
              <c:f>Sheet1!$E$1</c:f>
              <c:strCache>
                <c:ptCount val="1"/>
                <c:pt idx="0">
                  <c:v>Regulyativ minimum</c:v>
                </c:pt>
              </c:strCache>
            </c:strRef>
          </c:tx>
          <c:spPr>
            <a:solidFill>
              <a:srgbClr val="A5A5A5"/>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Sheet1!$A$2:$A$3</c:f>
              <c:strCache>
                <c:ptCount val="2"/>
                <c:pt idx="0">
                  <c:v>Asosiy kapital (CET1)</c:v>
                </c:pt>
                <c:pt idx="1">
                  <c:v>Jami kapital</c:v>
                </c:pt>
              </c:strCache>
            </c:strRef>
          </c:cat>
          <c:val>
            <c:numRef>
              <c:f>Sheet1!$E$2:$E$3</c:f>
              <c:numCache>
                <c:formatCode>General</c:formatCode>
                <c:ptCount val="2"/>
                <c:pt idx="0">
                  <c:v>8.0</c:v>
                </c:pt>
                <c:pt idx="1">
                  <c:v>13.0</c:v>
                </c:pt>
              </c:numCache>
            </c:numRef>
          </c:val>
        </c:ser>
        <c:gapWidth val="6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20"/>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Risk bo‘yicha tortilgan aktivlarga nisbatan,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4"/>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2026-10-11T20:11:25Z</dcterms:created>
  <dcterms:modified xsi:type="dcterms:W3CDTF">2026-10-11T20:11:25Z</dcterms:modified>
</cp:coreProperties>
</file>

<file path=docProps/custom.xml><?xml version="1.0" encoding="utf-8"?>
<Properties xmlns="http://schemas.openxmlformats.org/officeDocument/2006/custom-properties" xmlns:vt="http://schemas.openxmlformats.org/officeDocument/2006/docPropsVTypes"/>
</file>