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6c38a6edb9c798881b919e115f0d8939eceb0ef"/>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3.3-§. Tijorat banklari moliyaviy barqarorligiga ta’sir etuvchi omillarning ekonometrik tahlili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paragraflarda taklif etilgan moliyaviy barqarorlikning integral indeksi (MBII) bankning ma’lum bir sanadagi holatini baholash imkonini beradi, biroq bank nazorati va boshqaruvi uchun bu holatni qaysi omillar shakllantirishini bilish ham muhimdir. Indeksning iqtisodiy mazmunga ega omillar bilan statistik ahamiyatli bog‘liqligi esa uning asosliligini qo‘shimcha tasdiqlaydi. Xorijiy tadqiqotlarda bank barqarorligi omillari odatda panel ma’lumotlar asosida baholanadi: P. Athanasoglou, S. Brissimis va M. Delis bank daromadliligiga bank, tarmoq va makroiqtisodiy omillar ta’sirini dinamik panel modeli yordamida o‘rganib, daromadlilikning sezilarli darajada inersiyaga ega ekanini ko‘rsatgan</w:t>
      </w:r>
      <w:r>
        <w:rPr>
          <w:rStyle w:val="FootnoteReference"/>
        </w:rPr>
        <w:footnoteReference w:id="20"/>
      </w:r>
      <w:r>
        <w:rPr>
          <w:rFonts w:ascii="Times New Roman" w:hAnsi="Times New Roman" w:cs="Times New Roman" w:eastAsia="Times New Roman"/>
          <w:sz w:val="28"/>
        </w:rPr>
        <w:t xml:space="preserve">, L. Laeven va R. Levine esa bankning to‘lovga qobiliyatsizlik riskini Z-score ko‘rsatkichi orqali o‘lchab, uning mulkchilik tuzilmasi va tartibga solish bilan bog‘liqligini aniqlagan</w:t>
      </w:r>
      <w:r>
        <w:rPr>
          <w:rStyle w:val="FootnoteReference"/>
        </w:rPr>
        <w:footnoteReference w:id="21"/>
      </w:r>
      <w:r>
        <w:rPr>
          <w:rFonts w:ascii="Times New Roman" w:hAnsi="Times New Roman" w:cs="Times New Roman" w:eastAsia="Times New Roman"/>
          <w:sz w:val="28"/>
        </w:rPr>
        <w:t xml:space="preserve">. O‘zbekistonda esa bank barqarorligi omillarini bank darajasidagi panel ma’lumotlar asosida, ayniqsa integral ko‘rsatkich orqali baholashga bag‘ishlangan tadqiqotlar deyarli mavjud emas: mavjud ishlarda ko‘rsatkichlar alohida-alohida tahlil qilinadi va ularning omillari ekonometrik jihatdan sinovdan o‘tkazilmaydi</w:t>
      </w:r>
      <w:r>
        <w:rPr>
          <w:rStyle w:val="FootnoteReference"/>
        </w:rPr>
        <w:footnoteReference w:id="2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Ushbu paragrafning maqsadi 2021–2025-yillarda O‘zbekiston tijorat banklarining moliyaviy barqarorligiga ta’sir etuvchi omillarni bank-chorak panel ma’lumotlari asosida aniqlash va II bobda sifat jihatdan asoslangan xulosalarni miqdoriy jihatdan sinovdan o‘tkazishdan iborat. Tahlil xalqaro tadqiqotlar va II bob natijalaridan kelib chiqib shakllantirilgan beshta gipotezaga asoslanadi (3.3.1-jadval).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Tadqiqot gipotezalari va ularni tekshirishda foydalanilgan o‘zgaruvchilar</w:t>
      </w:r>
      <w:r>
        <w:rPr>
          <w:rStyle w:val="FootnoteReference"/>
        </w:rPr>
        <w:footnoteReference w:id="23"/>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907"/>
        <w:gridCol w:w="3969"/>
        <w:gridCol w:w="2608"/>
        <w:gridCol w:w="1814"/>
      </w:tblGrid>
      <w:tr>
        <w:trPr>
          <w:tblHeader w:val="true"/>
          <w:cantSplit/>
          <w:tblHeader/>
        </w:trPr>
        <w:tc>
          <w:tcPr>
            <w:tcW w:type="dxa" w:w="90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Gipoteza</w:t>
            </w:r>
          </w:p>
        </w:tc>
        <w:tc>
          <w:tcPr>
            <w:tcW w:type="dxa" w:w="396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Mazmuni</w:t>
            </w:r>
          </w:p>
        </w:tc>
        <w:tc>
          <w:tcPr>
            <w:tcW w:type="dxa" w:w="260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Kutilgan ta’sir</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H1</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Davlat banklarining moliyaviy barqarorligi xususiy banklarnikidan past</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manfiy</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H2</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Jadal kreditlash bir yildan keyin barqarorlikni pasaytiradi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Kreditlar o‘sishi, 4 va 8 chorak lag bilan</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manfiy</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H3</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Barqaror depozit bazasi barqarorlikni oshiradi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Depozitlar / aktivlar</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musbat</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H4</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Asosiy faoliyatdan daromad olish qobiliyati barqarorlikni oshiradi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Sof foiz marjasi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musbat</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H5</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Iqtisodiy o‘sish kredit riskini kamaytiradi, pul-kredit siyosatining qat’iylashuvi esa oshiradi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YaIM o‘sishi, asosiy stavka, so‘m kursi, inflyatsiya</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YaIM – manfiy, stavka – musbat (muammoli kreditlarga)</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 keltirilgan gipotezalarning har biri xalqaro tadqiqotlarda tasdiqlangan mexanizmga tayanadi. Birinchi gipoteza davlat banklarining siyosiy maqsadlarda kreditlash va yumshoq byudjet cheklovi sharoitida faoliyat yuritishi bilan izohlanadi: G. Iannotta, G. Nocera va A. Sironi Yevropa banklari, M. Cornett va hammualliflar esa 16 ta Osiyo mamlakati misolida davlat banklarining kredit sifati, daromadliligi va kapitallashuvi xususiy banklarnikidan past ekanini ko‘rsatgan</w:t>
      </w:r>
      <w:r>
        <w:rPr>
          <w:rStyle w:val="FootnoteReference"/>
        </w:rPr>
        <w:footnoteReference w:id="24"/>
      </w:r>
      <w:r>
        <w:rPr>
          <w:rStyle w:val="FootnoteReference"/>
        </w:rPr>
        <w:footnoteReference w:id="25"/>
      </w:r>
      <w:r>
        <w:rPr>
          <w:rFonts w:ascii="Times New Roman" w:hAnsi="Times New Roman" w:cs="Times New Roman" w:eastAsia="Times New Roman"/>
          <w:sz w:val="28"/>
        </w:rPr>
        <w:t xml:space="preserve">. Ikkinchi gipoteza D. Foos, L. Norden va M. Weber tadqiqotiga asoslanadi: ular kreditlarning g‘ayrioddiy tez o‘sishi keyingi uch yilda kredit zaxiralarining oshishi va kapitallashuvning yomonlashuviga olib kelishini ko‘rsatgan</w:t>
      </w:r>
      <w:r>
        <w:rPr>
          <w:rStyle w:val="FootnoteReference"/>
        </w:rPr>
        <w:footnoteReference w:id="26"/>
      </w:r>
      <w:r>
        <w:rPr>
          <w:rFonts w:ascii="Times New Roman" w:hAnsi="Times New Roman" w:cs="Times New Roman" w:eastAsia="Times New Roman"/>
          <w:sz w:val="28"/>
        </w:rPr>
        <w:t xml:space="preserve">. Uchinchi gipoteza A. Demirgüç-Kunt va H. Huizinga xulosasiga tayanadi: depozit bo‘lmagan, ya’ni ulgurji moliyalashtirishga ko‘proq tayanadigan banklar riskliroq bo‘ladi</w:t>
      </w:r>
      <w:r>
        <w:rPr>
          <w:rStyle w:val="FootnoteReference"/>
        </w:rPr>
        <w:footnoteReference w:id="27"/>
      </w:r>
      <w:r>
        <w:rPr>
          <w:rFonts w:ascii="Times New Roman" w:hAnsi="Times New Roman" w:cs="Times New Roman" w:eastAsia="Times New Roman"/>
          <w:sz w:val="28"/>
        </w:rPr>
        <w:t xml:space="preserve">. Beshinchi gipoteza esa muammoli kreditlarning makroiqtisodiy omillariga bag‘ishlangan tadqiqotlarga asoslanadi: D. Louzis, A. Vouldis va V. Metaxas Gretsiya, R. Beck, P. Jakubík va A. Piloiu esa 75 ta mamlakat misolida YaIM o‘sishi muammoli kreditlarni kamaytirishini, foiz stavkalari va milliy valyuta kursining pasayishi esa oshirishini aniqlagan</w:t>
      </w:r>
      <w:r>
        <w:rPr>
          <w:rStyle w:val="FootnoteReference"/>
        </w:rPr>
        <w:footnoteReference w:id="28"/>
      </w:r>
      <w:r>
        <w:rPr>
          <w:rStyle w:val="FootnoteReference"/>
        </w:rPr>
        <w:footnoteReference w:id="29"/>
      </w:r>
      <w:r>
        <w:rPr>
          <w:rStyle w:val="FootnoteReference"/>
        </w:rPr>
        <w:footnoteReference w:id="3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Tahlil uchun ma’lumotlar bazasi uchta manba asosida shakllantirildi. Banklarning aktivlari, kreditlari, depozitlari, kapitali va muammoli kreditlari Markaziy bank tomonidan har oyda e’lon qilinadigan banklar kesimidagi statistikadan</w:t>
      </w:r>
      <w:r>
        <w:rPr>
          <w:rStyle w:val="FootnoteReference"/>
        </w:rPr>
        <w:footnoteReference w:id="31"/>
      </w:r>
      <w:r>
        <w:rPr>
          <w:rFonts w:ascii="Times New Roman" w:hAnsi="Times New Roman" w:cs="Times New Roman" w:eastAsia="Times New Roman"/>
          <w:sz w:val="28"/>
        </w:rPr>
        <w:t xml:space="preserve">, yuqori likvid aktivlar, kredit zaxiralari, foizli daromad va xarajatlar, operatsion xarajatlar va sof foyda «SNS» reyting agentligining banklar ko‘rsatkichlari bazasidan</w:t>
      </w:r>
      <w:r>
        <w:rPr>
          <w:rStyle w:val="FootnoteReference"/>
        </w:rPr>
        <w:footnoteReference w:id="32"/>
      </w:r>
      <w:r>
        <w:rPr>
          <w:rFonts w:ascii="Times New Roman" w:hAnsi="Times New Roman" w:cs="Times New Roman" w:eastAsia="Times New Roman"/>
          <w:sz w:val="28"/>
        </w:rPr>
        <w:t xml:space="preserve">, makroiqtisodiy ko‘rsatkichlar esa Markaziy bankning statistik byulletenidan olindi</w:t>
      </w:r>
      <w:r>
        <w:rPr>
          <w:rStyle w:val="FootnoteReference"/>
        </w:rPr>
        <w:footnoteReference w:id="33"/>
      </w:r>
      <w:r>
        <w:rPr>
          <w:rFonts w:ascii="Times New Roman" w:hAnsi="Times New Roman" w:cs="Times New Roman" w:eastAsia="Times New Roman"/>
          <w:sz w:val="28"/>
        </w:rPr>
        <w:t xml:space="preserve">. Ikki bank manbasi bank nomlari bo‘yicha birlashtirildi, ma’lum xato qiymatlar tahlildan chiqarildi</w:t>
      </w:r>
      <w:r>
        <w:rPr>
          <w:rStyle w:val="FootnoteReference"/>
        </w:rPr>
        <w:footnoteReference w:id="34"/>
      </w:r>
      <w:r>
        <w:rPr>
          <w:rFonts w:ascii="Times New Roman" w:hAnsi="Times New Roman" w:cs="Times New Roman" w:eastAsia="Times New Roman"/>
          <w:sz w:val="28"/>
        </w:rPr>
        <w:t xml:space="preserve">. Tanlanmaga 2021-yil IV choragidan 2025-yil IV choragigacha bo‘lgan davrda aktivlari 1 trln so‘mdan ortiq, kreditlarining aktivlardagi ulushi kamida 20 foiz bo‘lgan va kamida 12 chorak davomida kuzatilgan 25 ta bank kiritildi. Ular 2025-yil yakunida bank tizimi aktivlarining 96,9 foizini tashkil etadi, 10 tasi davlat banki</w:t>
      </w:r>
      <w:r>
        <w:rPr>
          <w:rStyle w:val="FootnoteReference"/>
        </w:rPr>
        <w:footnoteReference w:id="35"/>
      </w:r>
      <w:r>
        <w:rPr>
          <w:rFonts w:ascii="Times New Roman" w:hAnsi="Times New Roman" w:cs="Times New Roman" w:eastAsia="Times New Roman"/>
          <w:sz w:val="28"/>
        </w:rPr>
        <w:t xml:space="preserve">. Natijada 17 chorak bo‘yicha 421 ta kuzatuvdan iborat panel shakllandi.</w:t>
      </w:r>
    </w:p>
    <w:p>
      <w:pPr>
        <w:pStyle w:val="BodyText"/>
        <w:spacing w:line="360" w:lineRule="auto" w:before="0" w:after="0"/>
        <w:ind w:firstLine="709"/>
        <w:jc w:val="both"/>
      </w:pPr>
      <w:r>
        <w:rPr>
          <w:rFonts w:ascii="Times New Roman" w:hAnsi="Times New Roman" w:cs="Times New Roman" w:eastAsia="Times New Roman"/>
          <w:sz w:val="28"/>
        </w:rPr>
        <w:t xml:space="preserve">Bog‘liq o‘zgaruvchi sifatida 3.1-paragrafda taklif etilgan integral indeksning choraklik ma’lumotlar asosida hisoblanadigan varianti, ya’ni panel MBII qo‘llandi. Bank kesimidagi choraklik ochiq ma’lumotlarda kapital monandligi koeffitsiyentlari, MHXS 9 bo‘yicha kreditlar bosqichlari va valyuta tarkibi e’lon qilinmaganligi sababli panel indeksi 13 ta ko‘rsatkichdan barcha banklar uchun mavjud bo‘lgan sakkiztasi asosida hisoblandi: kapitalning aktivlarga nisbati; muammoli kreditlar ulushi; muammoli kreditlarning zaxiralardan ortiq qismining kapitalga nisbati; yuqori likvid aktivlarning aktivlardagi ulushi; kreditlarning depozitlarga nisbati; ROA; ROE; xarajatlarning daromadlarga nisbati. Ko‘rsatkichlarni ballarga aylantirish chegaralari va bloklar vaznlari 3.1-paragrafdagi bilan bir xil, valyuta riski bloki mavjud bo‘lmaganligi sababli qolgan to‘rt blok vaznlari ularning yig‘indisi birga teng bo‘ladigan qilib qayta me’yorlandi. Muammoli kreditlar ulushi milliy tasnif bo‘yicha olinganligi sababli panel indeksi mazmunan 3.1-paragrafdagi «MBII-milliy» variantiga mos keladi. Natijalarning ishonchliligini tekshirish uchun muqobil bog‘liq o‘zgaruvchi sifatida xalqaro tadqiqotlarda keng qo‘llanadigan Z-score ko‘rsatkichi olindi</w:t>
      </w:r>
      <w:r>
        <w:rPr>
          <w:rStyle w:val="FootnoteReference"/>
        </w:rPr>
        <w:footnoteReference w:id="36"/>
      </w:r>
      <w:r>
        <w:rPr>
          <w:rStyle w:val="FootnoteReference"/>
        </w:rPr>
        <w:footnoteReference w:id="37"/>
      </w:r>
      <w:r>
        <w:rPr>
          <w:rFonts w:ascii="Times New Roman" w:hAnsi="Times New Roman" w:cs="Times New Roman" w:eastAsia="Times New Roman"/>
          <w:sz w:val="28"/>
        </w:rPr>
        <w:t xml:space="preserve">: u aktivlar rentabelligi va kapitalning aktivlarga nisbati yig‘indisining aktivlar rentabelligi standart chetlanishiga nisbati sifatida hisoblanadi va bank zarar ko‘rib kapitalini yo‘qotishi uchun daromadlilik o‘rtacha darajasidan necha standart chetlanishga pasayishi kerakligini ko‘rsatadi. Standart chetlanish L. Lepetit va F. Strobel tavsiyasiga muvofiq 8 chorakli siljuvchi oyna bo‘yicha hisoblandi</w:t>
      </w:r>
      <w:r>
        <w:rPr>
          <w:rStyle w:val="FootnoteReference"/>
        </w:rPr>
        <w:footnoteReference w:id="38"/>
      </w:r>
      <w:r>
        <w:rPr>
          <w:rFonts w:ascii="Times New Roman" w:hAnsi="Times New Roman" w:cs="Times New Roman" w:eastAsia="Times New Roman"/>
          <w:sz w:val="28"/>
        </w:rPr>
        <w:t xml:space="preserve">, taqsimotdagi kuchli asimmetriya sababli ko‘rsatkichning natural logarifmi qo‘llandi. Asosiy o‘zgaruvchilarning tavsifiy statistikasi 3.3.2-jadvalda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3.3.2-jadval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Tahlilda foydalanilgan o‘zgaruvchilarning tavsifiy statistikasi, 2021-yil IV chorak – 2025-yil IV chorak</w:t>
      </w:r>
      <w:r>
        <w:rPr>
          <w:rStyle w:val="FootnoteReference"/>
        </w:rPr>
        <w:footnoteReference w:id="3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1134"/>
        <w:gridCol w:w="1134"/>
        <w:gridCol w:w="1134"/>
        <w:gridCol w:w="1134"/>
        <w:gridCol w:w="1134"/>
        <w:gridCol w:w="1134"/>
      </w:tblGrid>
      <w:tr>
        <w:trPr>
          <w:tblHeader w:val="true"/>
          <w:cantSplit/>
          <w:tblHeader/>
        </w:trPr>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Kuzatuvlar</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O‘rtacha</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Standart chetlanish</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Minimum</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Mediana</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Maksimum</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Panel integral indeksi (MBII),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0,45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2,20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Aktivlar sifati bloki,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0,69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3,69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Likvidlik bloki,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2,78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0,94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2,78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Daromadlilik bloki,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3,16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0,93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ln(Z-score)</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320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0,86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0,54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4,43</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Kapital / aktivlar,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16,0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8,4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15,2</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36,8</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17,5</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Yuqori likvid aktivlar / aktivlar,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21,0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17,3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78,1</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160,1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91,5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22,8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138,9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414,0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−14,4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13,2</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15,7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16,9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75,9</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ln(aktivlar, mlrd so‘m)</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9,59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1,14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6,95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9,56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11,89</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Kreditlar o‘sishi (yillik),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393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51,2</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21,5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349,1</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50,3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19,8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19,9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48,5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86,7</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6,7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21,0</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banklar moliyaviy barqarorlik ko‘rsatkichlari bo‘yicha bir-biridan sezilarli darajada farq qiladi. Panel indeksining o‘rtacha qiymati 3,40 ballni tashkil etib, 2,20 dan 4,00 gacha oraliqda o‘zgaradi. Eng past o‘rtacha ball va eng katta tafovut likvidlik blokiga to‘g‘ri keladi (2,78 ball, standart chetlanish 0,94). Kapital bloki esa barcha banklarda eng yuqori 4 ball bilan baholangan: tanlanmadagi banklarda kapitalning aktivlarga nisbati 8,4 foizdan past bo‘lmagan, o‘rtacha qiymati 16,0 foizni tashkil etgan, bu esa Bazel III dagi 3 foizlik leverage talabidan ham, milliy 6 foizlik talabdan ham ancha yuqori. Demak, O‘zbekiston banklarida moliyaviy barqarorlik bo‘yicha farqlar kapital yetarliligi bilan emas, balki likvidlik, daromadlilik va aktivlar sifati bilan belgilanadi. Kreditlar yillik o‘sishining medianasi 21,5 foizni tashkil etib, ayrim banklarda yiliga 3 barobardan ortiq o‘sish kuzatilgan.</w:t>
      </w:r>
    </w:p>
    <w:p>
      <w:pPr>
        <w:pStyle w:val="BodyText"/>
        <w:spacing w:line="360" w:lineRule="auto" w:before="0" w:after="0"/>
        <w:ind w:firstLine="709"/>
        <w:jc w:val="both"/>
      </w:pPr>
      <w:r>
        <w:rPr>
          <w:rFonts w:ascii="Times New Roman" w:hAnsi="Times New Roman" w:cs="Times New Roman" w:eastAsia="Times New Roman"/>
          <w:sz w:val="28"/>
        </w:rPr>
        <w:t xml:space="preserve">Ekonometrik modellarni baholashdan oldin davlat banklari va boshqa banklarning integral indeksi dinamikasini taqqoslash maqsadga muvofiq (3.3.1-rasm).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1" name="3.3.1-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3.3.1-rasm. Davlat banklari va boshqa banklarda panel integral indeksining medianasi, har yilning IV choragi</w:t>
      </w:r>
      <w:r>
        <w:rPr>
          <w:rStyle w:val="FootnoteReference"/>
        </w:rPr>
        <w:footnoteReference w:id="40"/>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tahlil qilingan davrning barcha yillarida davlat banklarining integral indeksi boshqa banklarnikidan past bo‘lgan. Farq 2021-yilda 0,61 ballni, 2024-yilda esa eng yuqori darajasi – 0,83 ballni tashkil etgan. 2024-yilda davlat banklari indeksining 2,88 ballgacha pasayishiga ularning aktivlar rentabelligi medianasining 0,1 foizgacha tushib ketishi sabab bo‘lgan, bu II bobda «Mikrokreditbank» ATB misolida aniqlangan yashirin kredit riskining bir yo‘la tan olinishi bilan bog‘liq. 2025-yilda farq 0,46 ballgacha qisqargan, biroq bunga davlat banklari indeksining oshishi emas, asosan boshqa banklar indeksining 3,89 dan 3,61 ballgacha izchil pasayishi sabab bo‘lgan. Boshqa banklarda bu pasayish likvidlik blokining yomonlashuvi bilan izohlanadi: ularda kreditlarning depozitlarga nisbati medianasi 2022-yildagi 82,8 foizdan 2025-yilda 97,6 foizgacha oshgan, yuqori likvid aktivlar ulushi esa 24,6 foizdan 16,6 foizgacha kamaygan. Farqning qaysi bloklar hisobiga shakllanganini 3.3.2-rasm ko‘rsatadi.</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3.3.2-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3.3.2-rasm. Davlat banklari va boshqa banklarda integral indeks bloklari bo‘yicha ballar medianasi, 2025-yil IV chorak</w:t>
      </w:r>
      <w:r>
        <w:rPr>
          <w:rStyle w:val="FootnoteReference"/>
        </w:rPr>
        <w:footnoteReference w:id="41"/>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davlat banklari va boshqa banklar o‘rtasidagi farq asosan likvidlik (2,23 va 3,26 ball) hamda daromadlilik (2,46 va 3,83 ball) bloklarida shakllangan, aktivlar sifati blokida esa nisbatan kichik (3,46 va 3,74 ball). Likvidlik blokidagi farqning manbai moliyalashtirish modelidagi tafovutdir: davlat banklarida depozitlarning aktivlardagi ulushi medianasi 2021–2025-yillarda 27,7–35,3 foizni, boshqa banklarda esa 51,7–70,1 foizni tashkil etgan. Natijada davlat banklarining kreditlari depozitlardan 1,9–2,8 barobar ko‘p bo‘lib, ular asosan davlat mablag‘lari va xalqaro moliya institutlari kreditlari hisobiga moliyalashtirilgan. Daromadlilik blokidagi farq esa sof foiz marjasidagi tafovut bilan bog‘liq: davlat banklarida bu ko‘rsatkich medianasi 1,9–4,7 foizni, boshqa banklarda 7,0–8,6 foizni tashkil etgan, chunki davlat dasturlari doirasidagi imtiyozli kreditlar past marjaga ega. Aktivlar sifati blokidagi farqning kichikligi esa muammoli kreditlarning milliy tasnif bo‘yicha olinganligi bilan izohlanadi: II bobda ko‘rsatilganidek, milliy tasnif davlat banklarida kredit riskini MHXS 9 ga nisbatan 1,7–3,3 barobar kam ko‘rsatadi.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 bo‘yicha olingan bu manzara an’anaviy Z-score ko‘rsatkichi bilan solishtirilganda muhim metodologik xulosaga olib keladi (3.3.3-rasm).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3.3.3-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3.3.3-rasm. Davlat banklari va boshqa banklarda Z-score logarifmining medianasi, har yilning IV choragi</w:t>
      </w:r>
      <w:r>
        <w:rPr>
          <w:rStyle w:val="FootnoteReference"/>
        </w:rPr>
        <w:footnoteReference w:id="42"/>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Z-score bo‘yicha davlat banklari 2023–2025-yillarda boshqa banklarga nisbatan barqarorroq ko‘rinadi: 2025-yilda ularning Z-score logarifmi medianasi 3,06 ni, boshqa banklarniki esa 2,84 ni tashkil etgan, ya’ni Z-score ning o‘zi davlat banklarida qariyb 1,25 barobar yuqori. Bu natija integral indeks natijasiga zid ko‘rinadi, biroq uning sababi Z-score ning tuzilishida. Z-score daromadlilikning past darajasidan ko‘ra uning tebranuvchanligiga sezgir bo‘ladi: davlat banklarining foydasi past, ammo davlat ko‘magi, imtiyozli resurslar va qayta kapitallashtirish hisobiga barqaror, kapitalning aktivlarga nisbati esa davlat tomonidan kiritilgan mablag‘lar hisobiga yuqori darajada saqlanadi. Natijada Z-score davlat ko‘magini bankning o‘z barqarorligi sifatida qabul qiladi, integral indeks esa likvidlik, daromadlilik va aktivlar sifatini alohida baholab, davlat banklarining tizimli zaif tomonlarini aniqlaydi. Bu xulosa 3.2-paragrafda davlat ko‘magisiz baho bo‘yicha olingan natijalar bilan mos keladi va davlat ulushi yuqori bo‘lgan bank tizimlarida bank barqarorligini faqat Z-score orqali baholash yetarli emasligini ko‘rsatadi.</w:t>
      </w:r>
    </w:p>
    <w:p>
      <w:pPr>
        <w:pStyle w:val="BodyText"/>
        <w:spacing w:line="360" w:lineRule="auto" w:before="0" w:after="0"/>
        <w:ind w:firstLine="709"/>
        <w:jc w:val="both"/>
      </w:pPr>
      <w:r>
        <w:rPr>
          <w:rFonts w:ascii="Times New Roman" w:hAnsi="Times New Roman" w:cs="Times New Roman" w:eastAsia="Times New Roman"/>
          <w:sz w:val="28"/>
        </w:rPr>
        <w:t xml:space="preserve">Omillar ta’sirini baholash uchun quyidagi panel regressiya modeli qo‘llandi:</w:t>
      </w:r>
    </w:p>
    <w:p>
      <w:pPr>
        <w:pStyle w:val="BodyText"/>
        <w:spacing w:line="360" w:lineRule="auto" w:before="0" w:after="0"/>
        <w:ind w:firstLine="0"/>
        <w:jc w:val="center"/>
      </w:pPr>
      <w:r>
        <w:rPr>
          <w:rFonts w:ascii="Times New Roman" w:hAnsi="Times New Roman" w:cs="Times New Roman" w:eastAsia="Times New Roman"/>
          <w:i/>
          <w:sz w:val="26"/>
        </w:rPr>
        <w:t xml:space="preserve">MBII</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α + β</w:t>
      </w:r>
      <w:r>
        <w:rPr>
          <w:rFonts w:ascii="Times New Roman" w:hAnsi="Times New Roman" w:cs="Times New Roman" w:eastAsia="Times New Roman"/>
          <w:i/>
          <w:sz w:val="26"/>
          <w:vertAlign w:val="subscript"/>
        </w:rPr>
        <w:t xml:space="preserve">1</w:t>
      </w:r>
      <w:r>
        <w:rPr>
          <w:rFonts w:ascii="Times New Roman" w:hAnsi="Times New Roman" w:cs="Times New Roman" w:eastAsia="Times New Roman"/>
          <w:i/>
          <w:sz w:val="26"/>
        </w:rPr>
        <w:t xml:space="preserve">·ln(Aktivlar)</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2</w:t>
      </w:r>
      <w:r>
        <w:rPr>
          <w:rFonts w:ascii="Times New Roman" w:hAnsi="Times New Roman" w:cs="Times New Roman" w:eastAsia="Times New Roman"/>
          <w:i/>
          <w:sz w:val="26"/>
        </w:rPr>
        <w:t xml:space="preserve">·Kreditlar o‘sishi</w:t>
      </w:r>
      <w:r>
        <w:rPr>
          <w:rFonts w:ascii="Times New Roman" w:hAnsi="Times New Roman" w:cs="Times New Roman" w:eastAsia="Times New Roman"/>
          <w:i/>
          <w:sz w:val="26"/>
          <w:vertAlign w:val="subscript"/>
        </w:rPr>
        <w:t xml:space="preserve">i,t−4</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3</w:t>
      </w:r>
      <w:r>
        <w:rPr>
          <w:rFonts w:ascii="Times New Roman" w:hAnsi="Times New Roman" w:cs="Times New Roman" w:eastAsia="Times New Roman"/>
          <w:i/>
          <w:sz w:val="26"/>
        </w:rPr>
        <w:t xml:space="preserve">·Depozitlar/Aktivlar</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4</w:t>
      </w:r>
      <w:r>
        <w:rPr>
          <w:rFonts w:ascii="Times New Roman" w:hAnsi="Times New Roman" w:cs="Times New Roman" w:eastAsia="Times New Roman"/>
          <w:i/>
          <w:sz w:val="26"/>
        </w:rPr>
        <w:t xml:space="preserve">·Sof foiz marjasi</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5</w:t>
      </w:r>
      <w:r>
        <w:rPr>
          <w:rFonts w:ascii="Times New Roman" w:hAnsi="Times New Roman" w:cs="Times New Roman" w:eastAsia="Times New Roman"/>
          <w:i/>
          <w:sz w:val="26"/>
        </w:rPr>
        <w:t xml:space="preserve">·Davlat</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γ</w:t>
      </w:r>
      <w:r>
        <w:rPr>
          <w:rFonts w:ascii="Times New Roman" w:hAnsi="Times New Roman" w:cs="Times New Roman" w:eastAsia="Times New Roman"/>
          <w:i/>
          <w:sz w:val="26"/>
          <w:vertAlign w:val="subscript"/>
        </w:rPr>
        <w:t xml:space="preserve">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u</w:t>
      </w:r>
      <w:r>
        <w:rPr>
          <w:rFonts w:ascii="Times New Roman" w:hAnsi="Times New Roman" w:cs="Times New Roman" w:eastAsia="Times New Roman"/>
          <w:i/>
          <w:sz w:val="26"/>
          <w:vertAlign w:val="subscript"/>
        </w:rPr>
        <w:t xml:space="preserve">i</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ε</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yerda i – bank, t – chorak, γ</w:t>
      </w:r>
      <w:r>
        <w:rPr>
          <w:rFonts w:ascii="Times New Roman" w:hAnsi="Times New Roman" w:cs="Times New Roman" w:eastAsia="Times New Roman"/>
          <w:sz w:val="28"/>
          <w:vertAlign w:val="subscript"/>
        </w:rPr>
        <w:t xml:space="preserve">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chorak effektlari, u</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bankning kuzatilmaydigan individual xususiyatlari, ε</w:t>
      </w:r>
      <w:r>
        <w:rPr>
          <w:rFonts w:ascii="Times New Roman" w:hAnsi="Times New Roman" w:cs="Times New Roman" w:eastAsia="Times New Roman"/>
          <w:sz w:val="28"/>
          <w:vertAlign w:val="subscript"/>
        </w:rPr>
        <w:t xml:space="preserve">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tasodifiy xato. Makroiqtisodiy omillar asosiy modelga alohida o‘zgaruvchi sifatida kiritilmadi, chunki ular barcha banklar uchun bir xil bo‘lib, faqat 17 chorak davomida o‘zgaradi va o‘zaro kuchli bog‘langan (masalan, YaIM o‘sishi va asosiy stavka o‘rtasidagi korrelyatsiya koeffitsiyenti −0,76 ni tashkil etadi). Shu sababli umumiy makroiqtisodiy sharoit va tartibga solishdagi o‘zgarishlarning ta’siri chorak effektlari orqali nazorat qilindi, makroiqtisodiy omillarning bevosita ta’siri esa muammoli kreditlar bo‘yicha alohida satellit modelda baholandi. Kreditlar o‘sishi riskning yuzaga chiqishi vaqt talab qilishini hisobga olib va teskari bog‘liqlikni kamaytirish maqsadida to‘rt chorak lag bilan kiritildi, shu sababli regressiyalar 2023–2025-yillardagi 12 chorakni qamraydi. Model uch usulda baholandi: barcha kuzatuvlarni birlashtirgan holda eng kichik kvadratlar usuli (Pooled OLS), tasodifiy effektlar (RE) va qayd etilgan effektlar (FE) modellari</w:t>
      </w:r>
      <w:r>
        <w:rPr>
          <w:rStyle w:val="FootnoteReference"/>
        </w:rPr>
        <w:footnoteReference w:id="43"/>
      </w:r>
      <w:r>
        <w:rPr>
          <w:rStyle w:val="FootnoteReference"/>
        </w:rPr>
        <w:footnoteReference w:id="44"/>
      </w:r>
      <w:r>
        <w:rPr>
          <w:rFonts w:ascii="Times New Roman" w:hAnsi="Times New Roman" w:cs="Times New Roman" w:eastAsia="Times New Roman"/>
          <w:sz w:val="28"/>
        </w:rPr>
        <w:t xml:space="preserve">. Usullar o‘rtasida tanlov Breusch–Pagan va Hausman testlari asosida amalga oshirildi</w:t>
      </w:r>
      <w:r>
        <w:rPr>
          <w:rStyle w:val="FootnoteReference"/>
        </w:rPr>
        <w:footnoteReference w:id="45"/>
      </w:r>
      <w:r>
        <w:rPr>
          <w:rStyle w:val="FootnoteReference"/>
        </w:rPr>
        <w:footnoteReference w:id="46"/>
      </w:r>
      <w:r>
        <w:rPr>
          <w:rFonts w:ascii="Times New Roman" w:hAnsi="Times New Roman" w:cs="Times New Roman" w:eastAsia="Times New Roman"/>
          <w:sz w:val="28"/>
        </w:rPr>
        <w:t xml:space="preserve">. Standart xatolar heteroskedastiklik va avtokorrelyatsiyani hisobga olish uchun bank bo‘yicha klasterlangan. Indeksning inersiyasini hisobga oluvchi dinamik model esa qisqa panellardagi siljishni</w:t>
      </w:r>
      <w:r>
        <w:rPr>
          <w:rStyle w:val="FootnoteReference"/>
        </w:rPr>
        <w:footnoteReference w:id="4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bartaraf etish maqsadida T. Anderson va C. Hsiao usuli bo‘yicha birinchi farqlarda, indeksning ikki chorak oldingi qiymatini instrument sifatida qo‘llab baholandi</w:t>
      </w:r>
      <w:r>
        <w:rPr>
          <w:rStyle w:val="FootnoteReference"/>
        </w:rPr>
        <w:footnoteReference w:id="48"/>
      </w:r>
      <w:r>
        <w:rPr>
          <w:rStyle w:val="FootnoteReference"/>
        </w:rPr>
        <w:footnoteReference w:id="49"/>
      </w:r>
      <w:r>
        <w:rPr>
          <w:rFonts w:ascii="Times New Roman" w:hAnsi="Times New Roman" w:cs="Times New Roman" w:eastAsia="Times New Roman"/>
          <w:sz w:val="28"/>
        </w:rPr>
        <w:t xml:space="preserve">. Omillar o‘rtasidagi multikollinearlik dispersiya inflyatsiyasi koeffitsiyenti (VIF) orqali tekshirildi: uning eng yuqori qiymati davlat banki o‘zgaruvchisi uchun 2,84 ni tashkil etib, kritik daraja hisoblanadigan 5 dan ancha past. Baholash natijalari 3.3.3-jadvalda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3.3.3-jadval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Panel integral indeksiga ta’sir etuvchi omillarni baholash natijalari</w:t>
      </w:r>
      <w:r>
        <w:rPr>
          <w:rStyle w:val="FootnoteReference"/>
        </w:rPr>
        <w:footnoteReference w:id="5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814"/>
        <w:gridCol w:w="1814"/>
        <w:gridCol w:w="1814"/>
        <w:gridCol w:w="1814"/>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Pooled OLS</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RE</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FE (bank va chorak)</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Dinamik (Anderson–Hsiao)</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MBII (t−1)</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0,502*** (0,185)</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0,057 (0,084)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−0,071 (0,091)</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0,029 (0,139)</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0,275*** (0,095)</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Kreditlar o‘sishi (t−4), %</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−0,0009*** (0,0003)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0,0001 (0,0002)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0,0003 (0,0002)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−0,0003 (0,0003)</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0,011*** (0,002)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0,009*** (0,002)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0,007*** (0,003)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0,008*** (0,001)</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0,021* (0,013)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0,012*** (0,004)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0,009** (0,004)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0,022*** (0,003)</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−0,278 (0,205)</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0,364* (0,215)</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Chorak effektlari</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267</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R²</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0,53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0,13 (umumiy)</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0,09 (bank ichidagi)</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Testlar</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Breusch–Pagan LM = 616,1 (p &lt; 0,001)</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Hausman χ²(4) = 17,34 (p = 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1-bosqich F = 17,2</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Dinamik modelda o‘zgaruvchilar birinchi farqlarda olingan. Qayd etilgan effektli modelda vaqt bo‘yicha o‘zgarmaydigan davlat banki o‘zgaruvchisi bank effektlari bilan to‘liq qamrab olinadi.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model spetsifikatsiyasini tanlash testlari bir ma’noli natija bergan. Breusch–Pagan testi banklarning individual effektlari mavjudligini tasdiqlagan (LM = 616,1), demak, barcha kuzatuvlarni birlashtirgan model banklar o‘rtasidagi kuzatilmaydigan farqlarni hisobga olmaydi. Hausman testi esa tasodifiy effektlar modelini rad etgan (p = 0,002), ya’ni banklarning individual xususiyatlari omillar bilan bog‘liq va ularning ta’sirini bank ichidagi o‘zgarishlar asosida baholash, ya’ni qayd etilgan effektlar modelini qo‘llash to‘g‘ri hisoblanadi. Shu sababli tasodifiy effektlar modelida davlat banki o‘zgaruvchisi uchun olingan musbat koeffitsiyent (0,364, p = 0,09) ishonchli emas, davlat ulushining ta’siri keyinroq alohida baholanadi.</w:t>
      </w:r>
    </w:p>
    <w:p>
      <w:pPr>
        <w:pStyle w:val="BodyText"/>
        <w:spacing w:line="360" w:lineRule="auto" w:before="0" w:after="0"/>
        <w:ind w:firstLine="709"/>
        <w:jc w:val="both"/>
      </w:pPr>
      <w:r>
        <w:rPr>
          <w:rFonts w:ascii="Times New Roman" w:hAnsi="Times New Roman" w:cs="Times New Roman" w:eastAsia="Times New Roman"/>
          <w:sz w:val="28"/>
        </w:rPr>
        <w:t xml:space="preserve">Natijalar ikkita omil ta’sirining barcha spetsifikatsiyalarda barqarorligini ko‘rsatadi. Birinchidan, depozitlarning aktivlardagi ulushi integral indeksga musbat va 1 foiz darajada ahamiyatli ta’sir ko‘rsatadi. Qayd etilgan effektli modelga ko‘ra, bank ichida depozitlar ulushining 10 foiz punktga oshishi indeksni 0,07 ballga, banklar o‘rtasidagi farqni ham hisobga oluvchi Pooled modelga ko‘ra esa 0,11 ballga oshiradi. Bu uchinchi gipotezani tasdiqlaydi va A. Demirgüç-Kunt hamda H. Huizinga xulosasi bilan mos keladi</w:t>
      </w:r>
      <w:r>
        <w:rPr>
          <w:rStyle w:val="FootnoteReference"/>
        </w:rPr>
        <w:footnoteReference w:id="51"/>
      </w:r>
      <w:r>
        <w:rPr>
          <w:rFonts w:ascii="Times New Roman" w:hAnsi="Times New Roman" w:cs="Times New Roman" w:eastAsia="Times New Roman"/>
          <w:sz w:val="28"/>
        </w:rPr>
        <w:t xml:space="preserve">. Ikkinchidan, sof foiz marjasi integral indeksga musbat ta’sir ko‘rsatadi: marjaning 1 foiz punktga oshishi qayd etilgan effektli modelga ko‘ra indeksni 0,009 ballga, dinamik modelga ko‘ra 0,022 ballga oshiradi. Bu to‘rtinchi gipotezani tasdiqlaydi: asosiy faoliyatdan barqaror daromad olish qobiliyati nafaqat daromadlilik blokini, balki kapitalni ichki manbalar hisobiga to‘ldirish orqali butun barqarorlikni mustahkamlaydi.</w:t>
      </w:r>
    </w:p>
    <w:p>
      <w:pPr>
        <w:pStyle w:val="BodyText"/>
        <w:spacing w:line="360" w:lineRule="auto" w:before="0" w:after="0"/>
        <w:ind w:firstLine="709"/>
        <w:jc w:val="both"/>
      </w:pPr>
      <w:r>
        <w:rPr>
          <w:rFonts w:ascii="Times New Roman" w:hAnsi="Times New Roman" w:cs="Times New Roman" w:eastAsia="Times New Roman"/>
          <w:sz w:val="28"/>
        </w:rPr>
        <w:t xml:space="preserve">Dinamik model integral indeksning sezilarli inersiyaga ega ekanini ko‘rsatadi: oldingi chorak indeksining koeffitsiyenti 0,50 ni tashkil etib, 1 foiz darajada ahamiyatli. Instrumentning kuchliligi birinchi bosqich F-statistikasi (17,2) bilan tasdiqlanadi, u J. Stock va M. Yogo tomonidan tavsiya etilgan 10 lik chegaradan yuqori</w:t>
      </w:r>
      <w:r>
        <w:rPr>
          <w:rStyle w:val="FootnoteReference"/>
        </w:rPr>
        <w:footnoteReference w:id="52"/>
      </w:r>
      <w:r>
        <w:rPr>
          <w:rFonts w:ascii="Times New Roman" w:hAnsi="Times New Roman" w:cs="Times New Roman" w:eastAsia="Times New Roman"/>
          <w:sz w:val="28"/>
        </w:rPr>
        <w:t xml:space="preserve">. Inersiya koeffitsiyenti bankning barqarorlik darajasiga ta’sir etuvchi shokning yarmi bir chorak ichida yo‘qolishini, omillarning uzoq muddatli ta’siri esa qisqa muddatlidan ikki barobar katta bo‘lishini anglatadi. Masalan, depozitlar ulushining 10 foiz punktga barqaror oshishi uzoq muddatda indeksni 0,17 ballga oshiradi. Bu natija P. Athanasoglou va hammualliflar xulosasiga mos keladi</w:t>
      </w:r>
      <w:r>
        <w:rPr>
          <w:rStyle w:val="FootnoteReference"/>
        </w:rPr>
        <w:footnoteReference w:id="53"/>
      </w:r>
      <w:r>
        <w:rPr>
          <w:rFonts w:ascii="Times New Roman" w:hAnsi="Times New Roman" w:cs="Times New Roman" w:eastAsia="Times New Roman"/>
          <w:sz w:val="28"/>
        </w:rPr>
        <w:t xml:space="preserve">, biroq inersiyaning nisbatan pastligi bir martalik zararlar va qayta kapitallashtirishlar bilan izohlanadi. Bu indeksni har chorakda hisoblash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Kreditlar o‘sishining ta’siri spetsifikatsiyaga bog‘liq bo‘lgan. Banklar o‘rtasidagi farqni ham hisobga oluvchi Pooled modelda to‘rt chorak oldingi kreditlar o‘sishi indeksni 1 foiz darajada ahamiyatli pasaytiradi: kreditlarning yillik o‘sishi 50 foiz punktga yuqori bo‘lgan bankda bir yildan keyin indeks 0,05 ballga past bo‘ladi. Biroq qayd etilgan effektli va dinamik modellarda bu ta’sir ahamiyatsiz. Demak, jadal kreditlash strategiyasini tanlagan banklar o‘rtacha zaifroq bo‘lsa-da, bitta bank ichida kreditlash sur’atining o‘zgarishi bir yil ichida integral indeksda aks etmaydi. Buning sababi quyida satellit model natijalari orqali tushuntiriladi. Bank hajmining ta’siri ham barqaror emas: u faqat dinamik modelda musbat va ahamiyatli bo‘lib, qolgan modellarda ahamiyatsiz, demak, tahlil qilingan davrda bank hajmi moliyaviy barqarorlikning mustaqil omili bo‘lmagan.</w:t>
      </w:r>
    </w:p>
    <w:p>
      <w:pPr>
        <w:pStyle w:val="BodyText"/>
        <w:spacing w:line="360" w:lineRule="auto" w:before="0" w:after="0"/>
        <w:ind w:firstLine="709"/>
        <w:jc w:val="both"/>
      </w:pPr>
      <w:r>
        <w:rPr>
          <w:rFonts w:ascii="Times New Roman" w:hAnsi="Times New Roman" w:cs="Times New Roman" w:eastAsia="Times New Roman"/>
          <w:sz w:val="28"/>
        </w:rPr>
        <w:t xml:space="preserve">Birinchi gipotezani, ya’ni davlat ulushining ta’sirini tekshirish alohida yondashuvni talab qiladi, chunki davlat banki o‘zgaruvchisi vaqt bo‘yicha deyarli o‘zgarmaydi va qayd etilgan effektli modelda baholanmaydi. Shu sababli bu ta’sir banklar o‘rtasidagi farq asosida, Pooled modelda chorak effektlari bilan, ikki bosqichda baholandi: avval moliyalashtirish tuzilmasini nazorat qilmagan holda, so‘ngra depozitlar ulushi va sof foiz marjasini qo‘shgan holda. Ikki model koeffitsiyentlari o‘rtasidagi farq davlat ulushi ta’sirining qaysi qismi moliyalashtirish modeli orqali amalga oshishini ko‘rsatadi (3.3.4-jadval).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Davlat ulushining integral indeksga ta’sirini baholash natijalari (Pooled OLS, chorak effektlari bilan)</w:t>
      </w:r>
      <w:r>
        <w:rPr>
          <w:rStyle w:val="FootnoteReference"/>
        </w:rPr>
        <w:footnoteReference w:id="54"/>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2948"/>
        <w:gridCol w:w="2948"/>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1-model: funding nazoratisiz</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2-model: depozitlar va foiz marjasi nazorati bilan</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−0,690*** (0,185)</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−0,344* (0,202)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0,095 (0,093)</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0,119 (0,080)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0,0109*** (0,0025)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0,018 (0,014)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418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R²</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0,38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0,51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Davlat banki ta’sirining funding modeli orqali izohlanadigan qismi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−0,35 ball (50 %)</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Model 2021-yil IV choragidan 2025-yil IV choragigacha bo‘lgan barcha kuzatuvlar asosida baholandi.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boshqa sharoitlar teng bo‘lganda, davlat banklarining integral indeksi xususiy banklarnikidan o‘rtacha 0,69 ballga past bo‘lib, bu ta’sir 1 foiz darajada ahamiyatli. Bu farq qariyb bir sinf kengligiga teng, chunki 3.1-paragrafda belgilangan barqarorlik sinflari 0,75 ball oraliq bilan ajratilgan. Shunday qilib, birinchi gipoteza tasdiqlanadi va natija yuqorida keltirilgan xalqaro tadqiqotlar bilan mos keladi. Depozitlar ulushi va sof foiz marjasi modelga qo‘shilganda davlat banki koeffitsiyenti −0,34 gacha kamayadi va faqat 10 foiz darajada ahamiyatli bo‘lib qoladi. Demak, davlat banklari barqarorligining pastligi qariyb yarmiga, ya’ni 0,35 ballga, ularning moliyalashtirish modeli – depozit bazasining torligi va imtiyozli kreditlashning past marjasi bilan izohlanadi va bu omillar bank boshqaruvi hamda davlat siyosati orqali o‘zgartirilishi mumkin. Qolgan 0,34 ball esa kredit portfeli tarkibi, boshqaruv sifati va kreditlash qarorlarining tijorat mezonlariga to‘liq asoslanmasligi bilan bog‘liq bo‘lishi mumkin. Bu davlat banklarini isloh qilishda faqat xususiylashtirish bilan cheklanmasdan, ularning resurs bazasini depozitlar hisobiga diversifikatsiya qilish va davlat dasturlari bo‘yicha kreditlashni tijorat faoliyatidan ajratish zarurligini ko‘rsatadi.</w:t>
      </w:r>
    </w:p>
    <w:p>
      <w:pPr>
        <w:pStyle w:val="BodyText"/>
        <w:spacing w:line="360" w:lineRule="auto" w:before="0" w:after="0"/>
        <w:ind w:firstLine="709"/>
        <w:jc w:val="both"/>
      </w:pPr>
      <w:r>
        <w:rPr>
          <w:rFonts w:ascii="Times New Roman" w:hAnsi="Times New Roman" w:cs="Times New Roman" w:eastAsia="Times New Roman"/>
          <w:sz w:val="28"/>
        </w:rPr>
        <w:t xml:space="preserve">Natijalarning ishonchliligini tekshirish uchun xuddi shu model bog‘liq o‘zgaruvchi sifatida Z-score logarifmi olingan holda baholandi (3.3.5-jadval).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3.3.5-jadval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Z-score logarifmiga ta’sir etuvchi omillarni baholash natijalari (robastlik tekshiruvi)</w:t>
      </w:r>
      <w:r>
        <w:rPr>
          <w:rStyle w:val="FootnoteReference"/>
        </w:rPr>
        <w:footnoteReference w:id="55"/>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324"/>
        <w:gridCol w:w="2324"/>
        <w:gridCol w:w="2381"/>
      </w:tblGrid>
      <w:tr>
        <w:trPr>
          <w:tblHeader w:val="true"/>
          <w:cantSplit/>
          <w:tblHeader/>
        </w:trPr>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232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Pooled OLS</w:t>
            </w:r>
          </w:p>
        </w:tc>
        <w:tc>
          <w:tcPr>
            <w:tcW w:type="dxa" w:w="232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RE</w:t>
            </w:r>
          </w:p>
        </w:tc>
        <w:tc>
          <w:tcPr>
            <w:tcW w:type="dxa" w:w="238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FE (bank va chorak)</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0,184 (0,134)</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−0,245 (0,150)</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−0,776* (0,430)</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Kreditlar o‘sishi (t−4), %</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−0,0021*** (0,0008)</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−0,0017** (0,0008)</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−0,0027** (0,0012)</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−0,012** (0,006)</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−0,011 (0,008)</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−0,013 (0,009)</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0,017 (0,025)</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−0,005 (0,014)</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−0,016 (0,016)</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−0,371 (0,427)</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0,544 (0,413)</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294</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Hausman testi</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χ²(4) = 6,83 (p = 0,145)</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Barcha modellarda chorak effektlari mavjud.</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Z-score bo‘yicha natijalar integral indeks natijalaridan ikki jihatdan farq qiladi. Birinchidan, kreditlar o‘sishining salbiy ta’siri bu yerda barcha uchta modelda, jumladan qayd etilgan effektli modelda ham statistik ahamiyatli: bank ichida kreditlarning yillik o‘sishi 10 foiz punktga oshishi bir yildan keyin Z-score ni 1,7–2,7 foizga pasaytiradi. Bu ikkinchi gipotezani tasdiqlaydi va D. Foos hamda hammualliflar natijasi bilan mos keladi</w:t>
      </w:r>
      <w:r>
        <w:rPr>
          <w:rStyle w:val="FootnoteReference"/>
        </w:rPr>
        <w:footnoteReference w:id="56"/>
      </w:r>
      <w:r>
        <w:rPr>
          <w:rFonts w:ascii="Times New Roman" w:hAnsi="Times New Roman" w:cs="Times New Roman" w:eastAsia="Times New Roman"/>
          <w:sz w:val="28"/>
        </w:rPr>
        <w:t xml:space="preserve">. Jadal kreditlash avvalo daromadlilikning tebranuvchanligini oshiradi, bu esa Z-score da darhol aks etadi. Ikkinchidan, davlat banki o‘zgaruvchisi Z-score ga ahamiyatli ta’sir ko‘rsatmaydi, tasodifiy effektlar modelida esa uning koeffitsiyenti hatto musbat. Bu 3.3.3-rasmda aniqlangan holatni tasdiqlaydi: Z-score davlat banklarining zaifligini aniqlamaydi, chunki davlat ko‘magi ularning daromadliligini barqarorlashtiradi. Depozitlar ulushining Z-score ga ta’siri esa faqat Pooled modelda ahamiyatli va manfiy bo‘lib, bu chakana depozitlarga tayanuvchi banklar daromadining tebranuvchanroq ekanligi bilan izohlanadi.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 modellarida kreditlar o‘sishining bank ichidagi ta’siri aniqlanmaganligi sababini tushunish uchun muammoli kreditlar ulushining omillari alohida satellit modelda baholandi. Bu modelda makroiqtisodiy omillar bevosita kiritildi, kreditlar o‘sishi esa to‘rt va sakkiz chorak lag bilan olindi (3.3.6-jadval).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3.3.6-jadval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Muammoli kreditlar ulushiga ta’sir etuvchi omillarni baholash natijalari (satellit model)</w:t>
      </w:r>
      <w:r>
        <w:rPr>
          <w:rStyle w:val="FootnoteReference"/>
        </w:rPr>
        <w:footnoteReference w:id="57"/>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2948"/>
        <w:gridCol w:w="2948"/>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FE (bank effektlari)</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Pooled OLS</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(t−1),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0,623*** (0,051)</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0,805*** (0,061)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o‘sishi (t−4),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0,0011 (0,0037)</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0,0055 (0,0038)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o‘sishi (t−8),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−0,0012 (0,0014)</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−0,0006 (0,0010)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1,119 (1,216)</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0,205 (0,151)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YaIM o‘sishi,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−1,437*** (0,498)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−1,927*** (0,588)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Asosiy stavka,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0,705* (0,398)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0,999** (0,438)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AQSh dollari kursi o‘zgarishi,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−0,018 (0,040)</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−0,066*** (0,023)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Inflyatsiya,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−0,165 (0,118)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−0,188 (0,130)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0,133 (0,304)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194</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194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R²</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0,41 (bank ichidagi)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0,81</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Sakkiz chorak lag sababli model 2024-yil I choragidan 2025-yil IV choragigacha bo‘lgan kuzatuvlar asosida baholandi.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muammoli kreditlar ulushi kuchli inersiyaga ega: oldingi chorak qiymatining koeffitsiyenti 0,62–0,81 ni tashkil etadi, ya’ni bir marta yuzaga kelgan muammoli kreditlar portfeldan sekin chiqadi. Makroiqtisodiy omillar beshinchi gipotezaga mos ravishda ta’sir ko‘rsatgan. YaIM o‘sish sur’atining 1 foiz punktga oshishi muammoli kreditlar ulushini qisqa muddatda 1,4–1,9 foiz punktga kamaytiradi, bu ta’sir 1 foiz darajada ahamiyatli. Asosiy stavkaning 1 foiz punktga oshishi esa muammoli kreditlar ulushini 0,7–1,0 foiz punktga oshiradi (5–10 foiz darajada ahamiyatli), bu qarz oluvchilar foiz yukining oshishi bilan izohlanadi. Bu natijalar yuqorida keltirilgan xalqaro tadqiqotlar bilan mos keladi</w:t>
      </w:r>
      <w:r>
        <w:rPr>
          <w:rStyle w:val="FootnoteReference"/>
        </w:rPr>
        <w:footnoteReference w:id="58"/>
      </w:r>
      <w:r>
        <w:rPr>
          <w:rFonts w:ascii="Times New Roman" w:hAnsi="Times New Roman" w:cs="Times New Roman" w:eastAsia="Times New Roman"/>
          <w:sz w:val="28"/>
        </w:rPr>
        <w:t xml:space="preserve">. So‘m kursining ta’siri esa faqat Pooled modelda ahamiyatli va kutilganiga teskari ishorada bo‘lib, qayd etilgan effektli modelda tasdiqlanmagan. Bu natija qisqa tahlil davrida so‘m kursining o‘zgarishi boshqa makroiqtisodiy omillar bilan bir vaqtda kuzatilgani bilan bog‘liq bo‘lishi mumkin, shu sababli unga ehtiyotkorlik bilan yondashish lozim.</w:t>
      </w:r>
    </w:p>
    <w:p>
      <w:pPr>
        <w:pStyle w:val="BodyText"/>
        <w:spacing w:line="360" w:lineRule="auto" w:before="0" w:after="0"/>
        <w:ind w:firstLine="709"/>
        <w:jc w:val="both"/>
      </w:pPr>
      <w:r>
        <w:rPr>
          <w:rFonts w:ascii="Times New Roman" w:hAnsi="Times New Roman" w:cs="Times New Roman" w:eastAsia="Times New Roman"/>
          <w:sz w:val="28"/>
        </w:rPr>
        <w:t xml:space="preserve">Satellit modelning eng muhim natijasi shundaki, kreditlar o‘sishi na to‘rt, na sakkiz chorak lag bilan milliy tasnif bo‘yicha muammoli kreditlar ulushiga ahamiyatli ta’sir ko‘rsatmaydi. Bu D. Foos va hammualliflarning xalqaro natijasiga zid bo‘lib</w:t>
      </w:r>
      <w:r>
        <w:rPr>
          <w:rStyle w:val="FootnoteReference"/>
        </w:rPr>
        <w:footnoteReference w:id="59"/>
      </w:r>
      <w:r>
        <w:rPr>
          <w:rFonts w:ascii="Times New Roman" w:hAnsi="Times New Roman" w:cs="Times New Roman" w:eastAsia="Times New Roman"/>
          <w:sz w:val="28"/>
        </w:rPr>
        <w:t xml:space="preserve">, birinchi qarashda ikkinchi gipotezani rad etadi. Biroq bu natija II bobda aniqlangan holat bilan to‘liq izohlanadi: milliy tasnif kredit riskini MHXS 9 ga nisbatan 1,7–3,3 barobar kam ko‘rsatadi va qayta tuzilgan hamda muddati uzaytirilgan kreditlarni muammoli deb tan olmaydi. Demak, jadal kreditlash natijasida to‘planayotgan kredit riski milliy muammoli kreditlar ko‘rsatkichida aks etmaydi, balki daromadlilik tebranuvchanligida (Z-score modeli) va keyinchalik bir yo‘la tan olinadigan zararlarda namoyon bo‘ladi. «Mikrokreditbank» ATB ning 2024-yildagi 1 703,8 mlrd so‘mlik zarari bunga yaqqol misoldir. Shu bilan birga, model faqat 2024–2025-yillarni qamrab olganligi sababli jadal kreditlash ta’siri hali to‘liq yuzaga chiqmagan bo‘lishi ham mumkin. Bu natija milliy hisobot ma’lumotlariga yashirin kredit riski koeffitsiyenti orqali tuzatish kiritish zarurligini ekonometrik jihatdan qo‘shimcha asoslaydi.</w:t>
      </w:r>
    </w:p>
    <w:p>
      <w:pPr>
        <w:pStyle w:val="BodyText"/>
        <w:spacing w:line="360" w:lineRule="auto" w:before="0" w:after="0"/>
        <w:ind w:firstLine="709"/>
        <w:jc w:val="both"/>
      </w:pPr>
      <w:r>
        <w:rPr>
          <w:rFonts w:ascii="Times New Roman" w:hAnsi="Times New Roman" w:cs="Times New Roman" w:eastAsia="Times New Roman"/>
          <w:sz w:val="28"/>
        </w:rPr>
        <w:t xml:space="preserve">Gipotezalarni tekshirish natijalari 3.3.7-jadvalda umumlashtirilgan.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3.3.7-jadval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Tadqiqot gipotezalarini tekshirish natijalari</w:t>
      </w:r>
      <w:r>
        <w:rPr>
          <w:rStyle w:val="FootnoteReference"/>
        </w:rPr>
        <w:footnoteReference w:id="6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927"/>
        <w:gridCol w:w="1474"/>
        <w:gridCol w:w="1474"/>
        <w:gridCol w:w="2381"/>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Gipoteza</w:t>
            </w:r>
          </w:p>
        </w:tc>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Integral indeks (MBII)</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Z-score</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Muammoli kreditlar ulushi</w:t>
            </w:r>
          </w:p>
        </w:tc>
        <w:tc>
          <w:tcPr>
            <w:tcW w:type="dxa" w:w="238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Xulosa</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H1. Davlat ulushi barqarorlikni pasaytiradi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−0,69*** (yarmi moliyalashtirish modeli orqali)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Integral indeks bo‘yicha tasdiqlandi, Z-score uni aniqlamaydi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H2. Jadal kreditlash barqarorlikni pasaytiradi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Pooled modelda manfiy***, bank ichida ahamiyatsiz</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barcha modellarda manfiy (**/***)</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Qisman tasdiqlandi: risk milliy muammoli kreditlarda aks etmaydi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H3. Depozit bazasi barqarorlikni oshiradi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barcha modellarda musbat***</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Pooled modelda manfiy**</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Integral indeks bo‘yicha tasdiqlandi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H4. Sof foiz marjasi barqarorlikni oshiradi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musbat (*/**/***)</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Tasdiqlandi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H5. YaIM o‘sishi kredit riskini kamaytiradi, asosiy stavka oshiradi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chorak effektlari orqali nazorat qilindi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YaIM: manfiy***, stavka: musbat (*/**)</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Tasdiqlandi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beshta gipotezadan to‘rttasi to‘liq, bittasi qisman tasdiqlangan. Eng muhimi, integral indeks iqtisodiy mazmunga ega omillar bilan nazariy kutilgan yo‘nalishda va statistik ahamiyatli bog‘langan, bu 3.1-paragrafda taklif etilgan metodikaning asosliligini ekonometrik jihatdan tasdiqlaydi. Bundan tashqari, integral indeks an’anaviy Z-score aniqlay olmaydigan davlat banklarining tizimli zaifligini aniqlaydi, bu esa uning davlat ulushi yuqori bo‘lgan bank tizimlari uchun afzalligini ko‘rsatadi.</w:t>
      </w:r>
    </w:p>
    <w:p>
      <w:pPr>
        <w:pStyle w:val="BodyText"/>
        <w:spacing w:line="360" w:lineRule="auto" w:before="0" w:after="0"/>
        <w:ind w:firstLine="709"/>
        <w:jc w:val="both"/>
      </w:pPr>
      <w:r>
        <w:rPr>
          <w:rFonts w:ascii="Times New Roman" w:hAnsi="Times New Roman" w:cs="Times New Roman" w:eastAsia="Times New Roman"/>
          <w:sz w:val="28"/>
        </w:rPr>
        <w:t xml:space="preserve">Natijalarni talqin qilishda tahlil cheklovlarini hisobga olish zarur: panel indeksi ochiq ma’lumotlardagi sakkiz ko‘rsatkich asosida hisoblangan, 17 chorak to‘liq iqtisodiy siklni qamramaydi, tahlil davrida esa bank tizimida jiddiy inqiroz bo‘lmagan, shu sababli koeffitsiyentlarni stress sharoitga qo‘llash ehtiyotkorlikni talab qiladi.</w:t>
      </w:r>
    </w:p>
    <w:p>
      <w:pPr>
        <w:pStyle w:val="BodyText"/>
        <w:spacing w:line="360" w:lineRule="auto" w:before="0" w:after="0"/>
        <w:ind w:firstLine="709"/>
        <w:jc w:val="both"/>
      </w:pPr>
      <w:r>
        <w:rPr>
          <w:rFonts w:ascii="Times New Roman" w:hAnsi="Times New Roman" w:cs="Times New Roman" w:eastAsia="Times New Roman"/>
          <w:sz w:val="28"/>
        </w:rPr>
        <w:t xml:space="preserve">Tahlil natijalari asosida quyidagi amaliy takliflar ishlab chiqildi. Birinchidan, Markaziy bankka risklarga asoslangan nazorat doirasida banklarning moliyaviy barqarorligini baholashda Z-score kabi bitta ko‘rsatkich bilan cheklanmasdan, integral indeksni choraklik asosda hisoblash va uning dinamikasini monitoring qilish tavsiya etiladi. Indeksning inersiyasi nisbatan past bo‘lganligi sababli chorak davomida 0,3 balldan ortiq pasayish nazorat organining e’tiborini talab qiluvchi signal sifatida qaralishi mumkin. Ikkinchidan, davlat banklarini transformatsiya qilish jarayonida ularning resurs bazasini chakana va korporativ depozitlar hisobiga diversifikatsiya qilish, davlat dasturlari bo‘yicha imtiyozli kreditlashni esa alohida agentlik yoki rivojlanish instituti orqali amalga oshirish orqali tijorat faoliyatidan ajratish maqsadga muvofiq. Hisob-kitobga ko‘ra, depozitlar ulushining 10 foiz punktga oshishi indeksni uzoq muddatda 0,17 ballga oshiradi. Uchinchidan, kreditlarning yillik o‘sishi tizim o‘rtachasidan sezilarli darajada yuqori bo‘lgan banklarga nisbatan kontrsiklik kapital buferi va kredit riski bo‘yicha qo‘shimcha talablar qo‘llanishi, ularning kredit portfeli sifati esa milliy tasnif bilan bir qatorda MHXS 9 bosqichlari bo‘yicha ham monitoring qilinishi lozim, chunki jadal kreditlash riski milliy muammoli kreditlar ko‘rsatkichida aks etmaydi. To‘rtinchidan, muammoli kreditlarning YaIM o‘sishi va asosiy stavkaga sezgirligi aniqlanganligi sababli bu koeffitsiyentlardan Markaziy bankning makroprudensial stress-testlarida va pul-kredit siyosati qarorlarining bank tizimiga ta’sirini baholashda foydalanish mumkin.</w:t>
      </w:r>
    </w:p>
    <w:p>
      <w:pPr>
        <w:pStyle w:val="BodyText"/>
        <w:spacing w:line="360" w:lineRule="auto" w:before="0" w:after="0"/>
        <w:ind w:firstLine="709"/>
        <w:jc w:val="both"/>
      </w:pPr>
      <w:r>
        <w:rPr>
          <w:rFonts w:ascii="Times New Roman" w:hAnsi="Times New Roman" w:cs="Times New Roman" w:eastAsia="Times New Roman"/>
          <w:sz w:val="28"/>
        </w:rPr>
        <w:t xml:space="preserve">Shunday qilib, ekonometrik tahlil O‘zbekiston tijorat banklarining moliyaviy barqarorligi asosan moliyalashtirish tuzilmasi, asosiy faoliyatdan daromad olish qobiliyati va mulkchilik shakli bilan belgilanishini, makroiqtisodiy sharoit esa kredit riski orqali ta’sir ko‘rsatishini aniqladi. Taklif etilgan integral indeks bu omillar bilan nazariy kutilgan yo‘nalishda va statistik ahamiyatli bog‘langan bo‘lib, an’anaviy Z-score dan farqli ravishda davlat banklarining yashirin zaifligini aniqlaydi. Bu esa uni bank nazorati amaliyotida va banklarning o‘z risklarini boshqarish tizimida qo‘llash uchun ilmiy asos yaratadi.</w:t>
      </w:r>
    </w:p>
    <w:bookmarkEnd w:id="61"/>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Athanasoglou P.P., Brissimis S.N., Delis M.D. Bank-specific, industry-specific and macroeconomic determinants of bank profitability // Journal of International Financial Markets, Institutions and Money. – 2008. – Vol. 18, No. 2. – P. 121–136.</w:t>
      </w:r>
    </w:p>
  </w:footnote>
  <w:footnote w:id="21">
    <w:p>
      <w:pPr>
        <w:pStyle w:val="FootnoteText"/>
      </w:pPr>
      <w:r>
        <w:rPr>
          <w:rStyle w:val="FootnoteReference"/>
        </w:rPr>
        <w:footnoteRef/>
      </w:r>
      <w:r>
        <w:t xml:space="preserve"> </w:t>
      </w:r>
      <w:r>
        <w:t xml:space="preserve">Laeven L., Levine R. Bank governance, regulation and risk taking // Journal of Financial Economics. – 2009. – Vol. 93, No. 2. – P. 259–275.</w:t>
      </w:r>
    </w:p>
  </w:footnote>
  <w:footnote w:id="22">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w:t>
      </w:r>
    </w:p>
  </w:footnote>
  <w:footnote w:id="23">
    <w:p>
      <w:pPr>
        <w:pStyle w:val="FootnoteText"/>
      </w:pPr>
      <w:r>
        <w:rPr>
          <w:rStyle w:val="FootnoteReference"/>
        </w:rPr>
        <w:footnoteRef/>
      </w:r>
      <w:r>
        <w:t xml:space="preserve"> </w:t>
      </w:r>
      <w:r>
        <w:t xml:space="preserve">Tadqiqot natijasida muallif tomonidan quyidagi manbalar asosida ishlab chiqildi: Athanasoglou P.P., Brissimis S.N., Delis M.D. Bank-specific, industry-specific and macroeconomic determinants of bank profitability // Journal of International Financial Markets, Institutions and Money. – 2008. – Vol. 18, No. 2. – P. 121–136; Iannotta G., Nocera G., Sironi A. Ownership structure, risk and performance in the European banking industry // Journal of Banking &amp; Finance. – 2007. – Vol. 31, No. 7. – P. 2127–2149; Cornett M.M., Guo L., Khaksari S., Tehranian H. The impact of state ownership on performance differences in privately-owned versus state-owned banks: An international comparison // Journal of Financial Intermediation. – 2010. – Vol. 19, No. 1. – P. 74–94; Foos D., Norden L., Weber M. Loan growth and riskiness of banks // Journal of Banking &amp; Finance. – 2010. – Vol. 34, No. 12. – P. 2929–2940; Demirgüç-Kunt A., Huizinga H. Bank activity and funding strategies: The impact on risk and returns // Journal of Financial Economics. – 2010. – Vol. 98, No. 3. – P. 626–650; Louzis D.P., Vouldis A.T., Metaxas V.L. Macroeconomic and bank-specific determinants of non-performing loans in Greece: A comparative study of mortgage, business and consumer loan portfolios // Journal of Banking &amp; Finance. – 2012. – Vol. 36, No. 4. – P. 1012–1027; Beck R., Jakubík P., Piloiu A. Key Determinants of Non-performing Loans: New Evidence from a Global Sample // Open Economies Review. – 2015. – Vol. 26, No. 3. – P. 525–550.</w:t>
      </w:r>
    </w:p>
  </w:footnote>
  <w:footnote w:id="24">
    <w:p>
      <w:pPr>
        <w:pStyle w:val="FootnoteText"/>
      </w:pPr>
      <w:r>
        <w:rPr>
          <w:rStyle w:val="FootnoteReference"/>
        </w:rPr>
        <w:footnoteRef/>
      </w:r>
      <w:r>
        <w:t xml:space="preserve"> </w:t>
      </w:r>
      <w:r>
        <w:t xml:space="preserve">Iannotta G., Nocera G., Sironi A. Ownership structure, risk and performance in the European banking industry // Journal of Banking &amp; Finance. – 2007. – Vol. 31, No. 7. – P. 2127–2149.</w:t>
      </w:r>
    </w:p>
  </w:footnote>
  <w:footnote w:id="25">
    <w:p>
      <w:pPr>
        <w:pStyle w:val="FootnoteText"/>
      </w:pPr>
      <w:r>
        <w:rPr>
          <w:rStyle w:val="FootnoteReference"/>
        </w:rPr>
        <w:footnoteRef/>
      </w:r>
      <w:r>
        <w:t xml:space="preserve"> </w:t>
      </w:r>
      <w:r>
        <w:t xml:space="preserve">Cornett M.M., Guo L., Khaksari S., Tehranian H. The impact of state ownership on performance differences in privately-owned versus state-owned banks: An international comparison // Journal of Financial Intermediation. – 2010. – Vol. 19, No. 1. – P. 74–94.</w:t>
      </w:r>
    </w:p>
  </w:footnote>
  <w:footnote w:id="26">
    <w:p>
      <w:pPr>
        <w:pStyle w:val="FootnoteText"/>
      </w:pPr>
      <w:r>
        <w:rPr>
          <w:rStyle w:val="FootnoteReference"/>
        </w:rPr>
        <w:footnoteRef/>
      </w:r>
      <w:r>
        <w:t xml:space="preserve"> </w:t>
      </w:r>
      <w:r>
        <w:t xml:space="preserve">Foos D., Norden L., Weber M. Loan growth and riskiness of banks // Journal of Banking &amp; Finance. – 2010. – Vol. 34, No. 12. – P. 2929–2940.</w:t>
      </w:r>
    </w:p>
  </w:footnote>
  <w:footnote w:id="27">
    <w:p>
      <w:pPr>
        <w:pStyle w:val="FootnoteText"/>
      </w:pPr>
      <w:r>
        <w:rPr>
          <w:rStyle w:val="FootnoteReference"/>
        </w:rPr>
        <w:footnoteRef/>
      </w:r>
      <w:r>
        <w:t xml:space="preserve"> </w:t>
      </w:r>
      <w:r>
        <w:t xml:space="preserve">Demirgüç-Kunt A., Huizinga H. Bank activity and funding strategies: The impact on risk and returns // Journal of Financial Economics. – 2010. – Vol. 98, No. 3. – P. 626–650.</w:t>
      </w:r>
    </w:p>
  </w:footnote>
  <w:footnote w:id="28">
    <w:p>
      <w:pPr>
        <w:pStyle w:val="FootnoteText"/>
      </w:pPr>
      <w:r>
        <w:rPr>
          <w:rStyle w:val="FootnoteReference"/>
        </w:rPr>
        <w:footnoteRef/>
      </w:r>
      <w:r>
        <w:t xml:space="preserve"> </w:t>
      </w:r>
      <w:r>
        <w:t xml:space="preserve">Louzis D.P., Vouldis A.T., Metaxas V.L. Macroeconomic and bank-specific determinants of non-performing loans in Greece: A comparative study of mortgage, business and consumer loan portfolios // Journal of Banking &amp; Finance. – 2012. – Vol. 36, No. 4. – P. 1012–1027.</w:t>
      </w:r>
    </w:p>
  </w:footnote>
  <w:footnote w:id="29">
    <w:p>
      <w:pPr>
        <w:pStyle w:val="FootnoteText"/>
      </w:pPr>
      <w:r>
        <w:rPr>
          <w:rStyle w:val="FootnoteReference"/>
        </w:rPr>
        <w:footnoteRef/>
      </w:r>
      <w:r>
        <w:t xml:space="preserve"> </w:t>
      </w:r>
      <w:r>
        <w:t xml:space="preserve">Beck R., Jakubík P., Piloiu A. Key Determinants of Non-performing Loans: New Evidence from a Global Sample // Open Economies Review. – 2015. – Vol. 26, No. 3. – P. 525–550.</w:t>
      </w:r>
    </w:p>
  </w:footnote>
  <w:footnote w:id="30">
    <w:p>
      <w:pPr>
        <w:pStyle w:val="FootnoteText"/>
      </w:pPr>
      <w:r>
        <w:rPr>
          <w:rStyle w:val="FootnoteReference"/>
        </w:rPr>
        <w:footnoteRef/>
      </w:r>
      <w:r>
        <w:t xml:space="preserve"> </w:t>
      </w:r>
      <w:r>
        <w:t xml:space="preserve">Nkusu M. Nonperforming Loans and Macrofinancial Vulnerabilities in Advanced Economies: IMF Working Paper WP/11/161. – Washington, DC: International Monetary Fund, 2011.</w:t>
      </w:r>
    </w:p>
  </w:footnote>
  <w:footnote w:id="31">
    <w:p>
      <w:pPr>
        <w:pStyle w:val="FootnoteText"/>
      </w:pPr>
      <w:r>
        <w:rPr>
          <w:rStyle w:val="FootnoteReference"/>
        </w:rPr>
        <w:footnoteRef/>
      </w:r>
      <w:r>
        <w:t xml:space="preserve"> </w:t>
      </w:r>
      <w:r>
        <w:t xml:space="preserve">O‘zbekiston Respublikasi Markaziy banki. Banklar statistikasi: tijorat banklarining asosiy ko‘rsatkichlari va muammoli kreditlari to‘g‘risidagi oylik ma’lumotlar, 2021-yil aprel – 2026-yil yanvar. – https://cbu.uz/uz/statistics/bankstats/</w:t>
      </w:r>
    </w:p>
  </w:footnote>
  <w:footnote w:id="32">
    <w:p>
      <w:pPr>
        <w:pStyle w:val="FootnoteText"/>
      </w:pPr>
      <w:r>
        <w:rPr>
          <w:rStyle w:val="FootnoteReference"/>
        </w:rPr>
        <w:footnoteRef/>
      </w:r>
      <w:r>
        <w:t xml:space="preserve"> </w:t>
      </w:r>
      <w:r>
        <w:t xml:space="preserve">«SNS» reyting agentligi. O‘zbekiston tijorat banklarining asosiy ko‘rsatkichlari bazasi (Banks_2025_IV, Banks_2026_II): 36 bank, 2021-yil IV chorak – 2026-yil II chorak.</w:t>
      </w:r>
    </w:p>
  </w:footnote>
  <w:footnote w:id="33">
    <w:p>
      <w:pPr>
        <w:pStyle w:val="FootnoteText"/>
      </w:pPr>
      <w:r>
        <w:rPr>
          <w:rStyle w:val="FootnoteReference"/>
        </w:rPr>
        <w:footnoteRef/>
      </w:r>
      <w:r>
        <w:t xml:space="preserve"> </w:t>
      </w:r>
      <w:r>
        <w:t xml:space="preserve">O‘zbekiston Respublikasi Markaziy banki. Statistik byulleten: 2026-yil mart. – Toshkent, 2026. – 1.1, 1.2, 3.1, 3.7, 5.1-jadvallar. – https://cbu.uz/uz/statistics/buleten/</w:t>
      </w:r>
    </w:p>
  </w:footnote>
  <w:footnote w:id="34">
    <w:p>
      <w:pPr>
        <w:pStyle w:val="FootnoteText"/>
      </w:pPr>
      <w:r>
        <w:rPr>
          <w:rStyle w:val="FootnoteReference"/>
        </w:rPr>
        <w:footnoteRef/>
      </w:r>
      <w:r>
        <w:t xml:space="preserve"> </w:t>
      </w:r>
      <w:r>
        <w:t xml:space="preserve">Markaziy bank ma’lumotlari bilan «SNS» bazasi bank nomlari bo‘yicha birlashtirildi. «SNS» bazasidagi tekshiruvda aniqlangan xato qiymatlar («Mikrokreditbank» ATB ning 2021-yil IV va 2023-yil IV choraklaridagi, «Asaka bank» ATB ning 2022-yil I va 2023-yil I choraklaridagi, «Invest Finance bank» ATB ning 2022-yil IV choragidagi, «Tenge bank» ATB ning 2023-yil II choragidagi nolga teng kredit zaxiralari, «O‘zmilliybank» ATB ning 2022-yil IV choragidagi barcha qiymatlari) tahlildan chiqarildi. Manbalar: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35">
    <w:p>
      <w:pPr>
        <w:pStyle w:val="FootnoteText"/>
      </w:pPr>
      <w:r>
        <w:rPr>
          <w:rStyle w:val="FootnoteReference"/>
        </w:rPr>
        <w:footnoteRef/>
      </w:r>
      <w:r>
        <w:t xml:space="preserve"> </w:t>
      </w:r>
      <w:r>
        <w:t xml:space="preserve">«Ipoteka-bank» ATB aksiyalarining nazorat paketi 2023-yilda OTP Bank guruhiga sotilganligi sababli bank 2023-yil III choragidan boshlab xususiy bank sifatida qaraldi. Tanlanmadagi boshqa davlat banklari: «O‘zmilliybank», «O‘zsanoatqurilishbank», «Agrobank», «Asaka bank», «Xalq banki», «Mikrokreditbank», «Biznesni rivojlantirish banki», «Aloqabank», «Turonbank» ATBlar.</w:t>
      </w:r>
    </w:p>
  </w:footnote>
  <w:footnote w:id="36">
    <w:p>
      <w:pPr>
        <w:pStyle w:val="FootnoteText"/>
      </w:pPr>
      <w:r>
        <w:rPr>
          <w:rStyle w:val="FootnoteReference"/>
        </w:rPr>
        <w:footnoteRef/>
      </w:r>
      <w:r>
        <w:t xml:space="preserve"> </w:t>
      </w:r>
      <w:r>
        <w:t xml:space="preserve">Roy A.D. Safety First and the Holding of Assets // Econometrica. – 1952. – Vol. 20, No. 3. – P. 431–449.</w:t>
      </w:r>
    </w:p>
  </w:footnote>
  <w:footnote w:id="37">
    <w:p>
      <w:pPr>
        <w:pStyle w:val="FootnoteText"/>
      </w:pPr>
      <w:r>
        <w:rPr>
          <w:rStyle w:val="FootnoteReference"/>
        </w:rPr>
        <w:footnoteRef/>
      </w:r>
      <w:r>
        <w:t xml:space="preserve"> </w:t>
      </w:r>
      <w:r>
        <w:t xml:space="preserve">Boyd J.H., Graham S.L. Risk, Regulation, and Bank Holding Company Expansion into Nonbanking // Federal Reserve Bank of Minneapolis Quarterly Review. – 1986. – Vol. 10, No. 2. – P. 2–17.</w:t>
      </w:r>
    </w:p>
  </w:footnote>
  <w:footnote w:id="38">
    <w:p>
      <w:pPr>
        <w:pStyle w:val="FootnoteText"/>
      </w:pPr>
      <w:r>
        <w:rPr>
          <w:rStyle w:val="FootnoteReference"/>
        </w:rPr>
        <w:footnoteRef/>
      </w:r>
      <w:r>
        <w:t xml:space="preserve"> </w:t>
      </w:r>
      <w:r>
        <w:t xml:space="preserve">Lepetit L., Strobel F. Bank insolvency risk and time-varying Z-score measures // Journal of International Financial Markets, Institutions and Money. – 2013. – Vol. 25. – P. 73–87.</w:t>
      </w:r>
    </w:p>
  </w:footnote>
  <w:footnote w:id="39">
    <w:p>
      <w:pPr>
        <w:pStyle w:val="FootnoteText"/>
      </w:pPr>
      <w:r>
        <w:rPr>
          <w:rStyle w:val="FootnoteReference"/>
        </w:rPr>
        <w:footnoteRef/>
      </w:r>
      <w:r>
        <w:t xml:space="preserve"> </w:t>
      </w:r>
      <w:r>
        <w:t xml:space="preserve">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O‘zbekiston Respublikasi Markaziy banki. Statistik byulleten: 2026-yil mart. – Toshkent, 2026. – 1.1, 1.2, 3.1, 3.7, 5.1-jadvallar. – https://cbu.uz/uz/statistics/buleten/.</w:t>
      </w:r>
    </w:p>
  </w:footnote>
  <w:footnote w:id="40">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1">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2">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3">
    <w:p>
      <w:pPr>
        <w:pStyle w:val="FootnoteText"/>
      </w:pPr>
      <w:r>
        <w:rPr>
          <w:rStyle w:val="FootnoteReference"/>
        </w:rPr>
        <w:footnoteRef/>
      </w:r>
      <w:r>
        <w:t xml:space="preserve"> </w:t>
      </w:r>
      <w:r>
        <w:t xml:space="preserve">Baltagi B.H. Econometric Analysis of Panel Data. – 6th ed. – Cham: Springer, 2021.</w:t>
      </w:r>
    </w:p>
  </w:footnote>
  <w:footnote w:id="44">
    <w:p>
      <w:pPr>
        <w:pStyle w:val="FootnoteText"/>
      </w:pPr>
      <w:r>
        <w:rPr>
          <w:rStyle w:val="FootnoteReference"/>
        </w:rPr>
        <w:footnoteRef/>
      </w:r>
      <w:r>
        <w:t xml:space="preserve"> </w:t>
      </w:r>
      <w:r>
        <w:t xml:space="preserve">Wooldridge J.M. Econometric Analysis of Cross Section and Panel Data. – 2nd ed. – Cambridge, MA: MIT Press, 2010.</w:t>
      </w:r>
    </w:p>
  </w:footnote>
  <w:footnote w:id="45">
    <w:p>
      <w:pPr>
        <w:pStyle w:val="FootnoteText"/>
      </w:pPr>
      <w:r>
        <w:rPr>
          <w:rStyle w:val="FootnoteReference"/>
        </w:rPr>
        <w:footnoteRef/>
      </w:r>
      <w:r>
        <w:t xml:space="preserve"> </w:t>
      </w:r>
      <w:r>
        <w:t xml:space="preserve">Breusch T.S., Pagan A.R. The Lagrange Multiplier Test and its Applications to Model Specification in Econometrics // Review of Economic Studies. – 1980. – Vol. 47, No. 1. – P. 239–253.</w:t>
      </w:r>
    </w:p>
  </w:footnote>
  <w:footnote w:id="46">
    <w:p>
      <w:pPr>
        <w:pStyle w:val="FootnoteText"/>
      </w:pPr>
      <w:r>
        <w:rPr>
          <w:rStyle w:val="FootnoteReference"/>
        </w:rPr>
        <w:footnoteRef/>
      </w:r>
      <w:r>
        <w:t xml:space="preserve"> </w:t>
      </w:r>
      <w:r>
        <w:t xml:space="preserve">Hausman J.A. Specification Tests in Econometrics // Econometrica. – 1978. – Vol. 46, No. 6. – P. 1251–1271.</w:t>
      </w:r>
    </w:p>
  </w:footnote>
  <w:footnote w:id="47">
    <w:p>
      <w:pPr>
        <w:pStyle w:val="FootnoteText"/>
      </w:pPr>
      <w:r>
        <w:rPr>
          <w:rStyle w:val="FootnoteReference"/>
        </w:rPr>
        <w:footnoteRef/>
      </w:r>
      <w:r>
        <w:t xml:space="preserve"> </w:t>
      </w:r>
      <w:r>
        <w:t xml:space="preserve">Nickell S. Biases in Dynamic Models with Fixed Effects // Econometrica. – 1981. – Vol. 49, No. 6. – P. 1417–1426.</w:t>
      </w:r>
    </w:p>
  </w:footnote>
  <w:footnote w:id="48">
    <w:p>
      <w:pPr>
        <w:pStyle w:val="FootnoteText"/>
      </w:pPr>
      <w:r>
        <w:rPr>
          <w:rStyle w:val="FootnoteReference"/>
        </w:rPr>
        <w:footnoteRef/>
      </w:r>
      <w:r>
        <w:t xml:space="preserve"> </w:t>
      </w:r>
      <w:r>
        <w:t xml:space="preserve">Anderson T.W., Hsiao C. Estimation of Dynamic Models with Error Components // Journal of the American Statistical Association. – 1981. – Vol. 76, No. 375. – P. 598–606.</w:t>
      </w:r>
    </w:p>
  </w:footnote>
  <w:footnote w:id="49">
    <w:p>
      <w:pPr>
        <w:pStyle w:val="FootnoteText"/>
      </w:pPr>
      <w:r>
        <w:rPr>
          <w:rStyle w:val="FootnoteReference"/>
        </w:rPr>
        <w:footnoteRef/>
      </w:r>
      <w:r>
        <w:t xml:space="preserve"> </w:t>
      </w:r>
      <w:r>
        <w:t xml:space="preserve">Arellano M., Bond S. Some Tests of Specification for Panel Data: Monte Carlo Evidence and an Application to Employment Equations // Review of Economic Studies. – 1991. – Vol. 58, No. 2. – P. 277–297.</w:t>
      </w:r>
    </w:p>
  </w:footnote>
  <w:footnote w:id="50">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51">
    <w:p>
      <w:pPr>
        <w:pStyle w:val="FootnoteText"/>
      </w:pPr>
      <w:r>
        <w:rPr>
          <w:rStyle w:val="FootnoteReference"/>
        </w:rPr>
        <w:footnoteRef/>
      </w:r>
      <w:r>
        <w:t xml:space="preserve"> </w:t>
      </w:r>
      <w:r>
        <w:t xml:space="preserve">Demirgüç-Kunt A., Huizinga H. Bank activity and funding strategies: The impact on risk and returns // Journal of Financial Economics. – 2010. – Vol. 98, No. 3. – P. 626–650.</w:t>
      </w:r>
    </w:p>
  </w:footnote>
  <w:footnote w:id="52">
    <w:p>
      <w:pPr>
        <w:pStyle w:val="FootnoteText"/>
      </w:pPr>
      <w:r>
        <w:rPr>
          <w:rStyle w:val="FootnoteReference"/>
        </w:rPr>
        <w:footnoteRef/>
      </w:r>
      <w:r>
        <w:t xml:space="preserve"> </w:t>
      </w:r>
      <w:r>
        <w:t xml:space="preserve">Stock J.H., Yogo M. Testing for Weak Instruments in Linear IV Regression // Identification and Inference for Econometric Models: Essays in Honor of Thomas Rothenberg / ed. by D.W.K. Andrews, J.H. Stock. – Cambridge: Cambridge University Press, 2005. – P. 80–108.</w:t>
      </w:r>
    </w:p>
  </w:footnote>
  <w:footnote w:id="53">
    <w:p>
      <w:pPr>
        <w:pStyle w:val="FootnoteText"/>
      </w:pPr>
      <w:r>
        <w:rPr>
          <w:rStyle w:val="FootnoteReference"/>
        </w:rPr>
        <w:footnoteRef/>
      </w:r>
      <w:r>
        <w:t xml:space="preserve"> </w:t>
      </w:r>
      <w:r>
        <w:t xml:space="preserve">Athanasoglou P.P., Brissimis S.N., Delis M.D. Bank-specific, industry-specific and macroeconomic determinants of bank profitability // Journal of International Financial Markets, Institutions and Money. – 2008. – Vol. 18, No. 2. – P. 121–136.</w:t>
      </w:r>
    </w:p>
  </w:footnote>
  <w:footnote w:id="54">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55">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56">
    <w:p>
      <w:pPr>
        <w:pStyle w:val="FootnoteText"/>
      </w:pPr>
      <w:r>
        <w:rPr>
          <w:rStyle w:val="FootnoteReference"/>
        </w:rPr>
        <w:footnoteRef/>
      </w:r>
      <w:r>
        <w:t xml:space="preserve"> </w:t>
      </w:r>
      <w:r>
        <w:t xml:space="preserve">Foos D., Norden L., Weber M. Loan growth and riskiness of banks // Journal of Banking &amp; Finance. – 2010. – Vol. 34, No. 12. – P. 2929–2940.</w:t>
      </w:r>
    </w:p>
  </w:footnote>
  <w:footnote w:id="57">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58">
    <w:p>
      <w:pPr>
        <w:pStyle w:val="FootnoteText"/>
      </w:pPr>
      <w:r>
        <w:rPr>
          <w:rStyle w:val="FootnoteReference"/>
        </w:rPr>
        <w:footnoteRef/>
      </w:r>
      <w:r>
        <w:t xml:space="preserve"> </w:t>
      </w:r>
      <w:r>
        <w:t xml:space="preserve">Beck R., Jakubík P., Piloiu A. Key Determinants of Non-performing Loans: New Evidence from a Global Sample // Open Economies Review. – 2015. – Vol. 26, No. 3. – P. 525–550.</w:t>
      </w:r>
    </w:p>
  </w:footnote>
  <w:footnote w:id="59">
    <w:p>
      <w:pPr>
        <w:pStyle w:val="FootnoteText"/>
      </w:pPr>
      <w:r>
        <w:rPr>
          <w:rStyle w:val="FootnoteReference"/>
        </w:rPr>
        <w:footnoteRef/>
      </w:r>
      <w:r>
        <w:t xml:space="preserve"> </w:t>
      </w:r>
      <w:r>
        <w:t xml:space="preserve">Foos D., Norden L., Weber M. Loan growth and riskiness of banks // Journal of Banking &amp; Finance. – 2010. – Vol. 34, No. 12. – P. 2929–2940.</w:t>
      </w:r>
    </w:p>
  </w:footnote>
  <w:footnote w:id="60">
    <w:p>
      <w:pPr>
        <w:pStyle w:val="FootnoteText"/>
      </w:pPr>
      <w:r>
        <w:rPr>
          <w:rStyle w:val="FootnoteReference"/>
        </w:rPr>
        <w:footnoteRef/>
      </w:r>
      <w:r>
        <w:t xml:space="preserve"> </w:t>
      </w:r>
      <w:r>
        <w:t xml:space="preserve">Tadqiqot natijasida muallif tomonidan 3.3.3–3.3.6-jadvallar ma’lumotlari asosida ishlab chiqildi.</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Davlat banklari</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3.15</c:v>
                </c:pt>
                <c:pt idx="1">
                  <c:v>3.1</c:v>
                </c:pt>
                <c:pt idx="2">
                  <c:v>3.07</c:v>
                </c:pt>
                <c:pt idx="3">
                  <c:v>2.88</c:v>
                </c:pt>
                <c:pt idx="4">
                  <c:v>3.15</c:v>
                </c:pt>
              </c:numCache>
            </c:numRef>
          </c:yVal>
          <c:smooth val="0"/>
        </c:ser>
        <c:ser>
          <c:idx val="1"/>
          <c:order val="1"/>
          <c:tx>
            <c:strRef>
              <c:f>Sheet1!$D$1</c:f>
              <c:strCache>
                <c:ptCount val="1"/>
                <c:pt idx="0">
                  <c:v>Boshqa banklar</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3.76</c:v>
                </c:pt>
                <c:pt idx="1">
                  <c:v>3.89</c:v>
                </c:pt>
                <c:pt idx="2">
                  <c:v>3.8</c:v>
                </c:pt>
                <c:pt idx="3">
                  <c:v>3.71</c:v>
                </c:pt>
                <c:pt idx="4">
                  <c:v>3.61</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0"/>
          <c:min val="2.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Kapital</c:v>
                </c:pt>
                <c:pt idx="1">
                  <c:v>Aktivlar sifati</c:v>
                </c:pt>
                <c:pt idx="2">
                  <c:v>Likvidlik</c:v>
                </c:pt>
                <c:pt idx="3">
                  <c:v>Daromadlilik</c:v>
                </c:pt>
              </c:strCache>
            </c:strRef>
          </c:cat>
          <c:val>
            <c:numRef>
              <c:f>Sheet1!$B$2:$B$5</c:f>
              <c:numCache>
                <c:formatCode>General</c:formatCode>
                <c:ptCount val="4"/>
                <c:pt idx="0">
                  <c:v>4.0</c:v>
                </c:pt>
                <c:pt idx="1">
                  <c:v>3.46</c:v>
                </c:pt>
                <c:pt idx="2">
                  <c:v>2.23</c:v>
                </c:pt>
                <c:pt idx="3">
                  <c:v>2.46</c:v>
                </c:pt>
              </c:numCache>
            </c:numRef>
          </c:val>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Kapital</c:v>
                </c:pt>
                <c:pt idx="1">
                  <c:v>Aktivlar sifati</c:v>
                </c:pt>
                <c:pt idx="2">
                  <c:v>Likvidlik</c:v>
                </c:pt>
                <c:pt idx="3">
                  <c:v>Daromadlilik</c:v>
                </c:pt>
              </c:strCache>
            </c:strRef>
          </c:cat>
          <c:val>
            <c:numRef>
              <c:f>Sheet1!$C$2:$C$5</c:f>
              <c:numCache>
                <c:formatCode>General</c:formatCode>
                <c:ptCount val="4"/>
                <c:pt idx="0">
                  <c:v>4.0</c:v>
                </c:pt>
                <c:pt idx="1">
                  <c:v>3.74</c:v>
                </c:pt>
                <c:pt idx="2">
                  <c:v>3.26</c:v>
                </c:pt>
                <c:pt idx="3">
                  <c:v>3.83</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Sheet1!$B$2:$B$5</c:f>
              <c:numCache>
                <c:formatCode>General</c:formatCode>
                <c:ptCount val="4"/>
                <c:pt idx="0">
                  <c:v>2.7</c:v>
                </c:pt>
                <c:pt idx="1">
                  <c:v>2.8</c:v>
                </c:pt>
                <c:pt idx="2">
                  <c:v>2.91</c:v>
                </c:pt>
                <c:pt idx="3">
                  <c:v>3.06</c:v>
                </c:pt>
              </c:numCache>
            </c:numRef>
          </c:val>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Sheet1!$C$2:$C$5</c:f>
              <c:numCache>
                <c:formatCode>General</c:formatCode>
                <c:ptCount val="4"/>
                <c:pt idx="0">
                  <c:v>2.51</c:v>
                </c:pt>
                <c:pt idx="1">
                  <c:v>2.29</c:v>
                </c:pt>
                <c:pt idx="2">
                  <c:v>2.38</c:v>
                </c:pt>
                <c:pt idx="3">
                  <c:v>2.84</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ln(Z-score)</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2026-10-11T19:08:12Z</dcterms:created>
  <dcterms:modified xsi:type="dcterms:W3CDTF">2026-10-11T19:08:12Z</dcterms:modified>
</cp:coreProperties>
</file>

<file path=docProps/custom.xml><?xml version="1.0" encoding="utf-8"?>
<Properties xmlns="http://schemas.openxmlformats.org/officeDocument/2006/custom-properties" xmlns:vt="http://schemas.openxmlformats.org/officeDocument/2006/docPropsVTypes"/>
</file>