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7d7662b6033dec6e97f665e02651905151f922"/>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4.3-§. Tijorat banklari moliyaviy barqarorligini baholash tizimini xalqaro standartlarga muvofiqlashtirishning asosiy yo‘nalishlari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paragraflarda olingan natijalar O‘zbekistonda tijorat banklari moliyaviy barqarorligini baholash tizimini xalqaro standartlarga muvofiqlashtirish yo‘nalishlarini aniqlash imkonini beradi. Bu masalaning dolzarbligi 2024–2025-yillarda Xalqaro valyuta jamg‘armasi va Jahon banki tomonidan O‘zbekistonda birinchi marta o‘tkazilgan moliya sektorini baholash dasturi (FSAP) natijalari bilan ham tasdiqlanadi. FSAP xulosasiga ko‘ra, bank tizimining joriy ko‘rsatkichlari ijobiy bo‘lsa-da, stress-testlar kredit riskiga nisbatan zaiflikni ko‘rsatgan va bu zaiflik muammoli kreditlarning to‘liq aks ettirilmasligi bilan kuchaygan, salbiy ssenariyda esa ko‘plab banklar, ayniqsa davlat banklarining kapital monandligi minimal talabdan pastga tushadi</w:t>
      </w:r>
      <w:r>
        <w:rPr>
          <w:rStyle w:val="FootnoteReference"/>
        </w:rPr>
        <w:footnoteReference w:id="20"/>
      </w:r>
      <w:r>
        <w:rPr>
          <w:rFonts w:ascii="Times New Roman" w:hAnsi="Times New Roman" w:cs="Times New Roman" w:eastAsia="Times New Roman"/>
          <w:sz w:val="28"/>
        </w:rPr>
        <w:t xml:space="preserve">. Xususan, MHXS bo‘yicha 3-bosqich kreditlari ulushi tizim darajasida milliy hisobotdagi muammoli kreditlar ulushidan ikki barobar yuqori bo‘lib, milliy qoidalardagi bo‘shliqlar banklarga muammoli kreditlarni tan olishni kechiktirish va ularni substandart kreditlar sifatida aks ettirish imkonini beradi</w:t>
      </w:r>
      <w:r>
        <w:rPr>
          <w:rStyle w:val="FootnoteReference"/>
        </w:rPr>
        <w:footnoteReference w:id="21"/>
      </w:r>
      <w:r>
        <w:rPr>
          <w:rFonts w:ascii="Times New Roman" w:hAnsi="Times New Roman" w:cs="Times New Roman" w:eastAsia="Times New Roman"/>
          <w:sz w:val="28"/>
        </w:rPr>
        <w:t xml:space="preserve">. Salbiy ssenariyda tizim kapital monandligi 9,9 foizgacha pasayib, kapital yetishmovchiligi 48 trln so‘mni (YaIMning 2,2 foizi) tashkil etadi, boshlang‘ich kapital to‘liq aks ettirilmagan muammoli kreditlarga tuzatilganda esa monandlik 7,7 foizgacha pasayib, yetishmovchilik 79 trln so‘mga (YaIMning 3,6 foizi) yetadi</w:t>
      </w:r>
      <w:r>
        <w:rPr>
          <w:rStyle w:val="FootnoteReference"/>
        </w:rPr>
        <w:footnoteReference w:id="22"/>
      </w:r>
      <w:r>
        <w:rPr>
          <w:rFonts w:ascii="Times New Roman" w:hAnsi="Times New Roman" w:cs="Times New Roman" w:eastAsia="Times New Roman"/>
          <w:sz w:val="28"/>
        </w:rPr>
        <w:t xml:space="preserve">. Hatto asosiy ssenariyda ham to‘qqizta davlat bankidan beshtasi, jumladan ikkita tizimli ahamiyatga molik bank minimal talabdan pastga tushadi</w:t>
      </w:r>
      <w:r>
        <w:rPr>
          <w:rStyle w:val="FootnoteReference"/>
        </w:rPr>
        <w:footnoteReference w:id="2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FSAP natijalari asosida Markaziy bank 2025-yil noyabrida bank faoliyatini tartibga solish va nazorat qilish tizimini 2025–2028-yillarda yanada takomillashtirishga qaratilgan «yo‘l xaritasi»ni qabul qildi. Unda 23 ta chora besh yo‘nalish bo‘yicha guruhlangan: qonunchilikni takomillashtirish, prudensial talablarni kuchaytirish, korporativ boshqaruv va risklarni boshqarish talablarini takomillashtirish, Markaziy bankning nazorat jarayonlarini takomillashtirish hamda banklarni tiklash, tugatish va omonatlarni sug‘urtalash tizimini rivojlantirish</w:t>
      </w:r>
      <w:r>
        <w:rPr>
          <w:rStyle w:val="FootnoteReference"/>
        </w:rPr>
        <w:footnoteReference w:id="24"/>
      </w:r>
      <w:r>
        <w:rPr>
          <w:rFonts w:ascii="Times New Roman" w:hAnsi="Times New Roman" w:cs="Times New Roman" w:eastAsia="Times New Roman"/>
          <w:sz w:val="28"/>
        </w:rPr>
        <w:t xml:space="preserve">. Moliyaviy barqarorlikni baholash nuqtai nazaridan ulardan eng muhimlari quyidagilardir: aktivlarni tasniflash va zaxiralar shakllantirish talablarini Bazel standartlari va MHXS 9 asosida qayta ko‘rib chiqish, jumladan muammoli kreditlar ta’rifini 3-bosqich aktivlarini to‘liq qamraydigan qilib kengaytirish va qayta tuzilgan aktivlar ta’rifini «muammoli qayta tuzilgan aktivlar» bo‘yicha Bazel standartiga moslashtirish; banklarning moliyaviy va nazorat hisobotlarini oshkor qilishga minimal talablar joriy etish; tizimli ahamiyatga molik banklarda kapital yetarliligini ichki baholash jarayonini (ICAAP) majburiy qilish va davlat korxonalari bilan bog‘liq risklarni stress-test qilish; prudensial normativlar buzilishidan oldin nazorat choralarini ko‘rish imkonini beruvchi erta ogohlantirish tizimi va tezkor tuzatish choralari tizimini joriy etish; bankni litsenziyalashda uning faoliyatining kamida uch yillik asosiy va stress ssenariylar bo‘yicha prognozini baholash; nazorat hisobotlariga oid tavsiyalarni MHXS asosida qayta ko‘rib chiqish</w:t>
      </w:r>
      <w:r>
        <w:rPr>
          <w:rStyle w:val="FootnoteReference"/>
        </w:rPr>
        <w:footnoteReference w:id="2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Shunday qilib, FSAP tavsiyalari va «yo‘l xaritasi» dissertatsiyada aniqlangan muammolarni tasdiqlaydi va ularni hal qilish yo‘nalishlarini belgilaydi. Biroq ular asosan «nima qilish kerak» degan savolga javob beradi, «qanday qilish kerak» degan savolga esa, ya’ni muayyan baholash metodikasi, ko‘rsatkichlar, chegaralar va ularning empirik asoslanishi masalasiga javob bermaydi. Dissertatsiyada ishlab chiqilgan metodika va olingan natijalar aynan shu bo‘shliqni to‘ldirishi mumkin. FSAP tavsiyalari, «yo‘l xaritasi» choralari, tadqiqot natijalari va ular asosida ishlab chiqilgan takliflar o‘rtasidagi bog‘liqlik 4.3.1-jadvalda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4.3.1-jadval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FSAP tavsiyalari, «yo‘l xaritasi» choralari, tadqiqot natijalari va muallif takliflarining o‘zaro bog‘liqligi</w:t>
      </w:r>
      <w:r>
        <w:rPr>
          <w:rStyle w:val="FootnoteReference"/>
        </w:rPr>
        <w:footnoteReference w:id="2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2608"/>
        <w:gridCol w:w="2494"/>
        <w:gridCol w:w="2721"/>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Yo‘nalish</w:t>
            </w:r>
          </w:p>
        </w:tc>
        <w:tc>
          <w:tcPr>
            <w:tcW w:type="dxa" w:w="2608"/>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FSAP tavsiyasi va «yo‘l xaritasi» chorasi</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Tadqiqot natijasi</w:t>
            </w:r>
          </w:p>
        </w:tc>
        <w:tc>
          <w:tcPr>
            <w:tcW w:type="dxa" w:w="2721"/>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Muallif taklifi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Aktivlar sifatini to‘g‘ri aks ettirish</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FSAP: aktivlarni to‘g‘ri tasniflashni ta’minlash (10-tavsiya, darhol); «yo‘l xaritasi», 3-chora: tasniflash nizomini MHXS 9 asosida qayta ishlash</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2.3-§: yashirin kredit riski koeffitsiyenti 1,65–3,30; 3-bosqich kreditlarining 57,2 % milliy tasnifda «standart» yoki «substandart»</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Yangi nizom kuchga kirgunga qadar va o‘tish davrida milliy muammoli kreditlar ko‘rsatkichini yashirin kredit riski koeffitsiyenti bilan tuzatgan holda integral indeksga kiritish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Oshkoralik</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«yo‘l xaritasi», 5-chora: oshkor qilishga minimal talablar; 19-chora: MHXS asosidagi nazorat hisobotlari</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2.3, 3.2-§: ochiq ma’lumotlarda MHXS 9 bosqichlari va bank kesimidagi prudensial ko‘rsatkichlar yo‘q</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Milliy tasnif va MHXS 9 bosqichlari kesishma jadvalini hamda bank kesimidagi choraklik prudensial ko‘rsatkichlarni majburiy oshkor qilish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Masofaviy baholash</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FSAP: masofaviy nazoratda banklarning risk profilini baholashni takomillashtirish (8-tavsiya)</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3.1-§: 5 blok va 13 ko‘rsatkichdan iborat integral indeks; 3.3-§: indeks iqtisodiy omillar bilan ahamiyatli bog‘langan</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Integral indeksni Markaziy bankning masofaviy monitoringida choraklik reyting vositasi sifatida qo‘llash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Erta ogohlantirish va tezkor choralar</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FSAP: erta ogohlantirish tizimini belgilash (11-tavsiya); «yo‘l xaritasi», 9-chora: erta ogohlantirish va tezkor tuzatish choralari tizimi</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4.1-§: indeksning bashorat kuchi AUC = 0,86; qizil zonada muammo ehtimoli 50 %, yashil zonada 2 %</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Integral indeksga asoslangan uch zonali tizim va har bir zona uchun nazorat choralari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Stress-test</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FSAP: stress-test ma’lumotlarini qoidalardagi bo‘shliqlarga tuzatish (1-tavsiya); «yo‘l xaritasi», 7, 12-choralar</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4.2-§: salbiy ssenariylarda qizil zonaga faqat davlat banklari tushadi; SQB milliy hisobot bo‘yicha yashil, MHXS bo‘yicha qizil zonada</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Stress-testlarni MHXS asosidagi integral indeks bilan o‘tkazish va natijalarini erta ogohlantirish zonalari bilan bog‘lash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Davlat ishtirokidagi banklar</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FSAP: davlat banklarini xususiylashtirishni tezlashtirish, yo‘naltirilgan va imtiyozli kreditlashni bosqichma-bosqich qisqartirish (15, 16-tavsiyalar)</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3.2-§: MKB ning davlat ko‘magisiz bahosi 1,72 ball; 3.3-§: davlat banklarining indeksi 0,69 ball past, farqning yarmi moliyalashtirish modeli bilan izohlanadi</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Davlat ko‘magisiz bahoni majburiy qilish; qayta kapitallashtirishni restrukturizatsiya rejasi va indeks ko‘rsatkichlariga bog‘lash; resurs bazasini diversifikatsiya qilish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0"/>
              </w:rPr>
              <w:t xml:space="preserve">Banklarning ichki baholashi</w:t>
            </w:r>
          </w:p>
        </w:tc>
        <w:tc>
          <w:tcPr>
            <w:tcW w:type="dxa" w:w="2608"/>
          </w:tcPr>
          <w:p>
            <w:pPr>
              <w:pStyle w:val="Compact"/>
              <w:spacing w:line="240" w:lineRule="auto"/>
              <w:ind w:firstLine="0"/>
              <w:jc w:val="left"/>
            </w:pPr>
            <w:r>
              <w:rPr>
                <w:rFonts w:ascii="Times New Roman" w:hAnsi="Times New Roman" w:cs="Times New Roman" w:eastAsia="Times New Roman"/>
                <w:sz w:val="20"/>
              </w:rPr>
              <w:t xml:space="preserve">«yo‘l xaritasi», 7-chora: tizimli banklarda ICAAP</w:t>
            </w:r>
          </w:p>
        </w:tc>
        <w:tc>
          <w:tcPr>
            <w:tcW w:type="dxa" w:w="2494"/>
          </w:tcPr>
          <w:p>
            <w:pPr>
              <w:pStyle w:val="Compact"/>
              <w:spacing w:line="240" w:lineRule="auto"/>
              <w:ind w:firstLine="0"/>
              <w:jc w:val="left"/>
            </w:pPr>
            <w:r>
              <w:rPr>
                <w:rFonts w:ascii="Times New Roman" w:hAnsi="Times New Roman" w:cs="Times New Roman" w:eastAsia="Times New Roman"/>
                <w:sz w:val="20"/>
              </w:rPr>
              <w:t xml:space="preserve">3.3, 4.1-§: likvidlik bloki eng zaif; aktivlar sifati bloki eng kuchli signal beradi</w:t>
            </w:r>
          </w:p>
        </w:tc>
        <w:tc>
          <w:tcPr>
            <w:tcW w:type="dxa" w:w="2721"/>
          </w:tcPr>
          <w:p>
            <w:pPr>
              <w:pStyle w:val="Compact"/>
              <w:spacing w:line="240" w:lineRule="auto"/>
              <w:ind w:firstLine="0"/>
              <w:jc w:val="left"/>
            </w:pPr>
            <w:r>
              <w:rPr>
                <w:rFonts w:ascii="Times New Roman" w:hAnsi="Times New Roman" w:cs="Times New Roman" w:eastAsia="Times New Roman"/>
                <w:sz w:val="20"/>
              </w:rPr>
              <w:t xml:space="preserve">ICAAP va risk-appetit doirasida integral indeks bloklari bo‘yicha ichki limitlar belgilash</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dissertatsiyada taklif etilgan metodika «yo‘l xaritasi»ning bir qator choralarini amalga oshirish uchun tayyor vosita bo‘lib xizmat qilishi mumkin. Shu bilan birga, ayrim takliflar, xususan, integral indeks, milliy va MHXS hisobotlari asosidagi indekslar farqini o‘lchash, davlat ko‘magisiz baho va kreditlar o‘sishini bank darajasida kuzatish «yo‘l xaritasi»da nazarda tutilmagan bo‘lib, ular uni to‘ldiradi. Quyida takliflar ularni amalga oshiruvchi subyektlar bo‘yicha batafsil bayon etiladi.</w:t>
      </w:r>
    </w:p>
    <w:p>
      <w:pPr>
        <w:pStyle w:val="BodyText"/>
        <w:spacing w:line="360" w:lineRule="auto" w:before="0" w:after="0"/>
        <w:ind w:firstLine="709"/>
        <w:jc w:val="both"/>
      </w:pPr>
      <w:r>
        <w:rPr>
          <w:rFonts w:ascii="Times New Roman" w:hAnsi="Times New Roman" w:cs="Times New Roman" w:eastAsia="Times New Roman"/>
          <w:sz w:val="28"/>
        </w:rPr>
        <w:t xml:space="preserve">Markaziy bank uchun birinchi taklif integral indeksni masofaviy monitoring amaliyotiga joriy etishdan iborat. Hozirgi risklarga asoslangan nazorat tizimida bankning risk profili alohida ko‘rsatkichlar va kuratorlarning asoslangan mulohazasi asosida baholanadi, FSAP esa aynan masofaviy nazoratda risk profilini baholashni takomillashtirishni yuqori ustuvorlikdagi tavsiya sifatida belgilagan</w:t>
      </w:r>
      <w:r>
        <w:rPr>
          <w:rStyle w:val="FootnoteReference"/>
        </w:rPr>
        <w:footnoteReference w:id="27"/>
      </w:r>
      <w:r>
        <w:rPr>
          <w:rFonts w:ascii="Times New Roman" w:hAnsi="Times New Roman" w:cs="Times New Roman" w:eastAsia="Times New Roman"/>
          <w:sz w:val="28"/>
        </w:rPr>
        <w:t xml:space="preserve">. Integral indeks bu jarayonga yagona, takrorlanuvchan va empirik tekshirilgan miqdoriy asos beradi. Uni Markaziy bankka taqdim etiladigan prudensial hisobotlar asosida har chorakda hisoblash mumkin, bunda 3.3–4.1-paragraflarda ochiq ma’lumotlar mavjud bo‘lmaganligi sababli qo‘llanmagan kapital monandligi, likvidlikni qoplash koeffitsiyenti, sof barqaror moliyalashtirish me’yori va valyuta riski ko‘rsatkichlari ham indeksga to‘liq kiritiladi. Kuratorlarning asoslangan mulohazasi esa indeksni almashtirmasdan, uni sifat omillari bilan to‘ldiradi.</w:t>
      </w:r>
    </w:p>
    <w:p>
      <w:pPr>
        <w:pStyle w:val="BodyText"/>
        <w:spacing w:line="360" w:lineRule="auto" w:before="0" w:after="0"/>
        <w:ind w:firstLine="709"/>
        <w:jc w:val="both"/>
      </w:pPr>
      <w:r>
        <w:rPr>
          <w:rFonts w:ascii="Times New Roman" w:hAnsi="Times New Roman" w:cs="Times New Roman" w:eastAsia="Times New Roman"/>
          <w:sz w:val="28"/>
        </w:rPr>
        <w:t xml:space="preserve">Ikkinchi taklif integral indeks asosida erta ogohlantirish va tezkor tuzatish choralari tizimini shakllantirishdan iborat. «Yo‘l xaritasi»da bunday tizimni joriy etish nazarda tutilgan, biroq uning ko‘rsatkichlari va chegaralari belgilanmagan</w:t>
      </w:r>
      <w:r>
        <w:rPr>
          <w:rStyle w:val="FootnoteReference"/>
        </w:rPr>
        <w:footnoteReference w:id="28"/>
      </w:r>
      <w:r>
        <w:rPr>
          <w:rFonts w:ascii="Times New Roman" w:hAnsi="Times New Roman" w:cs="Times New Roman" w:eastAsia="Times New Roman"/>
          <w:sz w:val="28"/>
        </w:rPr>
        <w:t xml:space="preserve">. 4.1-paragrafda taklif etilgan uch zonali tizim bu bo‘shliqni to‘ldiradi: uning chegaralari, ya’ni 2,75 va 3,25 ball, 2021–2025-yillardagi ma’lumotlar asosida tekshirilgan va tahlil davrida qizil zonadagi banklarning yarmida bir yil ichida jiddiy zarar yuz bergani aniqlangan. Tezkor tuzatish choralari zonalarga bog‘langan holda bosqichma-bosqich qo‘llanadi: sariq zonada kuchaytirilgan monitoring va eng past ball olgan blok bo‘yicha tuzatish rejasi, qizil zonada esa joyida maqsadli tekshiruv, kapitalni tiklash rejasi va dividend to‘lashni cheklash. Bunday yondashuv nazorat choralarini prudensial normativlar buzilgandan keyin emas, balki bankning moliyaviy holati yomonlasha boshlaganida qo‘llash imkonini beradi. Xalqaro amaliyotda bunday tizimlar keng qo‘llanadi. AQShda 1991-yilda joriy etilgan tezkor tuzatish choralari tizimida banklar kapital ko‘rsatkichlari bo‘yicha beshta toifaga ajratiladi va har bir toifa uchun nazorat organining majburiy choralari qonun bilan belgilangan</w:t>
      </w:r>
      <w:r>
        <w:rPr>
          <w:rStyle w:val="FootnoteReference"/>
        </w:rPr>
        <w:footnoteReference w:id="29"/>
      </w:r>
      <w:r>
        <w:rPr>
          <w:rFonts w:ascii="Times New Roman" w:hAnsi="Times New Roman" w:cs="Times New Roman" w:eastAsia="Times New Roman"/>
          <w:sz w:val="28"/>
        </w:rPr>
        <w:t xml:space="preserve">. Yevropa bank boshqarmasining nazorat tekshiruvi va baholash jarayoni (SREP) bo‘yicha yo‘riqnomasida esa bankning biznes-modeli, boshqaruvi, kapital va likvidlik risklari 1–4 ballik shkalada baholanib, yakuniy ball asosida nazorat choralari, jumladan erta aralashuv choralari belgilanadi</w:t>
      </w:r>
      <w:r>
        <w:rPr>
          <w:rStyle w:val="FootnoteReference"/>
        </w:rPr>
        <w:footnoteReference w:id="30"/>
      </w:r>
      <w:r>
        <w:rPr>
          <w:rFonts w:ascii="Times New Roman" w:hAnsi="Times New Roman" w:cs="Times New Roman" w:eastAsia="Times New Roman"/>
          <w:sz w:val="28"/>
        </w:rPr>
        <w:t xml:space="preserve">. Taklif etilayotgan tizim bu ikki yondashuvni birlashtiradi: SREP kabi bir nechta blok bo‘yicha integral ballga tayanadi, AQSh tizimi kabi esa har bir zonaga aniq choralarni bog‘laydi. Uning afzalligi shundaki, zonalar chegaralari faqat kapital ko‘rsatkichiga emas, balki aktivlar sifati, likvidlik va daromadlilikka ham asoslanadi, 4.1-paragrafda esa aynan kapital ko‘rsatkichi O‘zbekiston banklarida muammolarni bashorat qilmasligi aniqlangan.</w:t>
      </w:r>
    </w:p>
    <w:p>
      <w:pPr>
        <w:pStyle w:val="BodyText"/>
        <w:spacing w:line="360" w:lineRule="auto" w:before="0" w:after="0"/>
        <w:ind w:firstLine="709"/>
        <w:jc w:val="both"/>
      </w:pPr>
      <w:r>
        <w:rPr>
          <w:rFonts w:ascii="Times New Roman" w:hAnsi="Times New Roman" w:cs="Times New Roman" w:eastAsia="Times New Roman"/>
          <w:sz w:val="28"/>
        </w:rPr>
        <w:t xml:space="preserve">Uchinchi taklif aktivlar sifatini to‘g‘ri aks ettirishga qaratilgan bo‘lib, ikki bosqichda amalga oshirilishi lozim. «Yo‘l xaritasi»ga ko‘ra, aktivlarni tasniflash nizomi MHXS 9 asosida qayta ishlab chiqiladi, biroq yangi talablarning to‘liq joriy etilishi va banklarning ularga moslashishi vaqt talab qiladi. O‘tish davrida milliy muammoli kreditlar ko‘rsatkichini 2.3-paragrafda taklif etilgan yashirin kredit riski koeffitsiyenti bilan tuzatgan holda integral indeksga kiritish maqsadga muvofiq. Koeffitsiyent alohida signal sifatida emas, balki indeksning aktivlar sifati blokini xalqaro standartlar darajasiga keltiruvchi tuzatish vositasi sifatida qo‘llanadi, erta ogohlantirish signali esa faqat indeks zonalari orqali beriladi. Bu FSAP ning qoidalardagi bo‘shliqlarni hisobga olgan holda ma’lumotlarni tuzatish bo‘yicha tavsiyasiga mos keladi</w:t>
      </w:r>
      <w:r>
        <w:rPr>
          <w:rStyle w:val="FootnoteReference"/>
        </w:rPr>
        <w:footnoteReference w:id="31"/>
      </w:r>
      <w:r>
        <w:rPr>
          <w:rFonts w:ascii="Times New Roman" w:hAnsi="Times New Roman" w:cs="Times New Roman" w:eastAsia="Times New Roman"/>
          <w:sz w:val="28"/>
        </w:rPr>
        <w:t xml:space="preserve">. Yangi nizom kuchga kirgandan keyin esa koeffitsiyentning qiymati birga yaqinlashishi kutiladi, uning dinamikasi esa yangi qoidalarning amalda bajarilishini monitoring qilish ko‘rsatkichi bo‘lib xizmat qilishi mumkin. Bu taklifning amaliy ahamiyatini MHXS hisobotlari mavjud bo‘lgan beshta bank misolida ko‘rsatish mumkin (4.3.2-jadval).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Beshta bankda milliy hisobot va MHXS hisoboti asosidagi integral indeks hamda erta ogohlantirish zonalari, 2025-yil</w:t>
      </w:r>
      <w:r>
        <w:rPr>
          <w:rStyle w:val="FootnoteReference"/>
        </w:rPr>
        <w:footnoteReference w:id="32"/>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1020"/>
        <w:gridCol w:w="1020"/>
        <w:gridCol w:w="1077"/>
        <w:gridCol w:w="1020"/>
        <w:gridCol w:w="1020"/>
        <w:gridCol w:w="1077"/>
        <w:gridCol w:w="1134"/>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Bank</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Muammoli kreditlar ulushi: milliy, %</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3-bosqich kreditlari ulushi: MHXS, %</w:t>
            </w:r>
          </w:p>
        </w:tc>
        <w:tc>
          <w:tcPr>
            <w:tcW w:type="dxa" w:w="1077"/>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Yashirin kredit riski koeffitsiyenti</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MBII: milliy hisobot</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MBII: MHXS hisoboti</w:t>
            </w:r>
          </w:p>
        </w:tc>
        <w:tc>
          <w:tcPr>
            <w:tcW w:type="dxa" w:w="1077"/>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Zona: milliy hisobot</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Zona: MHXS hisoboti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0"/>
              </w:rPr>
              <w:t xml:space="preserve">«O‘zsanoatqurilishbank» ATB</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2,5</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7,5</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2,96</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3,61</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2,83</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yashil</w:t>
            </w:r>
          </w:p>
        </w:tc>
        <w:tc>
          <w:tcPr>
            <w:tcW w:type="dxa" w:w="1134"/>
          </w:tcPr>
          <w:p>
            <w:pPr>
              <w:pStyle w:val="Compact"/>
              <w:spacing w:line="240" w:lineRule="auto"/>
              <w:ind w:firstLine="0"/>
              <w:jc w:val="left"/>
            </w:pPr>
            <w:r>
              <w:rPr>
                <w:rFonts w:ascii="Times New Roman" w:hAnsi="Times New Roman" w:cs="Times New Roman" w:eastAsia="Times New Roman"/>
                <w:sz w:val="20"/>
              </w:rPr>
              <w:t xml:space="preserve">sariq</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0"/>
              </w:rPr>
              <w:t xml:space="preserve">«Mikrokreditbank» ATB</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4,4</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12,3</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2,80</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2,90</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2,47</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sariq</w:t>
            </w:r>
          </w:p>
        </w:tc>
        <w:tc>
          <w:tcPr>
            <w:tcW w:type="dxa" w:w="1134"/>
          </w:tcPr>
          <w:p>
            <w:pPr>
              <w:pStyle w:val="Compact"/>
              <w:spacing w:line="240" w:lineRule="auto"/>
              <w:ind w:firstLine="0"/>
              <w:jc w:val="left"/>
            </w:pPr>
            <w:r>
              <w:rPr>
                <w:rFonts w:ascii="Times New Roman" w:hAnsi="Times New Roman" w:cs="Times New Roman" w:eastAsia="Times New Roman"/>
                <w:sz w:val="20"/>
              </w:rPr>
              <w:t xml:space="preserve">qizil</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0"/>
              </w:rPr>
              <w:t xml:space="preserve">«Biznesni rivojlantirish banki» ATB</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4,5</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8,2</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1,81</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3,15</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3,23</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sariq</w:t>
            </w:r>
          </w:p>
        </w:tc>
        <w:tc>
          <w:tcPr>
            <w:tcW w:type="dxa" w:w="1134"/>
          </w:tcPr>
          <w:p>
            <w:pPr>
              <w:pStyle w:val="Compact"/>
              <w:spacing w:line="240" w:lineRule="auto"/>
              <w:ind w:firstLine="0"/>
              <w:jc w:val="left"/>
            </w:pPr>
            <w:r>
              <w:rPr>
                <w:rFonts w:ascii="Times New Roman" w:hAnsi="Times New Roman" w:cs="Times New Roman" w:eastAsia="Times New Roman"/>
                <w:sz w:val="20"/>
              </w:rPr>
              <w:t xml:space="preserve">sariq</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0"/>
              </w:rPr>
              <w:t xml:space="preserve">«Xalq banki» ATB</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3,1</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5,2</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1,70</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3,45</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3,38</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yashil</w:t>
            </w:r>
          </w:p>
        </w:tc>
        <w:tc>
          <w:tcPr>
            <w:tcW w:type="dxa" w:w="1134"/>
          </w:tcPr>
          <w:p>
            <w:pPr>
              <w:pStyle w:val="Compact"/>
              <w:spacing w:line="240" w:lineRule="auto"/>
              <w:ind w:firstLine="0"/>
              <w:jc w:val="left"/>
            </w:pPr>
            <w:r>
              <w:rPr>
                <w:rFonts w:ascii="Times New Roman" w:hAnsi="Times New Roman" w:cs="Times New Roman" w:eastAsia="Times New Roman"/>
                <w:sz w:val="20"/>
              </w:rPr>
              <w:t xml:space="preserve">yashil</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0"/>
              </w:rPr>
              <w:t xml:space="preserve">«Ipoteka-bank» ATB</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3,6</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19,7</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5,56</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3,38</w:t>
            </w:r>
          </w:p>
        </w:tc>
        <w:tc>
          <w:tcPr>
            <w:tcW w:type="dxa" w:w="1020"/>
          </w:tcPr>
          <w:p>
            <w:pPr>
              <w:pStyle w:val="Compact"/>
              <w:spacing w:line="240" w:lineRule="auto"/>
              <w:ind w:firstLine="0"/>
              <w:jc w:val="left"/>
            </w:pPr>
            <w:r>
              <w:rPr>
                <w:rFonts w:ascii="Times New Roman" w:hAnsi="Times New Roman" w:cs="Times New Roman" w:eastAsia="Times New Roman"/>
                <w:sz w:val="20"/>
              </w:rPr>
              <w:t xml:space="preserve">3,11</w:t>
            </w:r>
          </w:p>
        </w:tc>
        <w:tc>
          <w:tcPr>
            <w:tcW w:type="dxa" w:w="1077"/>
          </w:tcPr>
          <w:p>
            <w:pPr>
              <w:pStyle w:val="Compact"/>
              <w:spacing w:line="240" w:lineRule="auto"/>
              <w:ind w:firstLine="0"/>
              <w:jc w:val="left"/>
            </w:pPr>
            <w:r>
              <w:rPr>
                <w:rFonts w:ascii="Times New Roman" w:hAnsi="Times New Roman" w:cs="Times New Roman" w:eastAsia="Times New Roman"/>
                <w:sz w:val="20"/>
              </w:rPr>
              <w:t xml:space="preserve">yashil</w:t>
            </w:r>
          </w:p>
        </w:tc>
        <w:tc>
          <w:tcPr>
            <w:tcW w:type="dxa" w:w="1134"/>
          </w:tcPr>
          <w:p>
            <w:pPr>
              <w:pStyle w:val="Compact"/>
              <w:spacing w:line="240" w:lineRule="auto"/>
              <w:ind w:firstLine="0"/>
              <w:jc w:val="left"/>
            </w:pPr>
            <w:r>
              <w:rPr>
                <w:rFonts w:ascii="Times New Roman" w:hAnsi="Times New Roman" w:cs="Times New Roman" w:eastAsia="Times New Roman"/>
                <w:sz w:val="20"/>
              </w:rPr>
              <w:t xml:space="preserve">sariq</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MHXS ma’lumotlariga o‘tish beshta bankdan uchtasining erta ogohlantirish zonasini yomon tomonga o‘zgartiradi: «O‘zsanoatqurilishbank» ATB va «Ipoteka-bank» ATB yashil zonadan sariq zonaga, «Mikrokreditbank» ATB esa sariq zonadan qizil zonaga o‘tadi. Yashirin kredit riski koeffitsiyenti banklar o‘rtasida keskin farq qiladi: «Xalq banki» ATB va «Biznesni rivojlantirish banki» ATB da u 1,7–1,8 ni tashkil etib, FSAP tomonidan tizim uchun aniqlangan ikki barobarlik farqdan past, «Ipoteka-bank» ATB da esa 5,6 ga yetadi. Bu koeffitsiyentni tizim bo‘yicha yagona qiymat sifatida emas, balki har bir bank uchun alohida hisoblash zarurligini ko‘rsatadi. Shu bilan birga, «Biznesni rivojlantirish banki» ATB da MHXS asosidagi indeks milliy indeksdan biroz yuqori: 3-bosqich kreditlari ulushi yuqori bo‘lsa-da, 2-bosqich kreditlari ulushi nisbatan past (11,0 foiz), MHXS bo‘yicha kapital rentabelligi 16,3 foizni tashkil etib, milliy hisobotdagi 9,6 foizdan yuqori, valyuta riski bloki esa yuqori ball (3,96) olgan. Demak, MHXS ma’lumotlariga o‘tish faqat aktivlar sifatini emas, balki barcha bloklarni o‘zgartiradi va uning ta’siri har bir bank uchun alohida baholanishi lozim.</w:t>
      </w:r>
    </w:p>
    <w:p>
      <w:pPr>
        <w:pStyle w:val="BodyText"/>
        <w:spacing w:line="360" w:lineRule="auto" w:before="0" w:after="0"/>
        <w:ind w:firstLine="709"/>
        <w:jc w:val="both"/>
      </w:pPr>
      <w:r>
        <w:rPr>
          <w:rFonts w:ascii="Times New Roman" w:hAnsi="Times New Roman" w:cs="Times New Roman" w:eastAsia="Times New Roman"/>
          <w:sz w:val="28"/>
        </w:rPr>
        <w:t xml:space="preserve">To‘rtinchi taklif oshkoralikni kengaytirishdan iborat. FSAP aktivlar tasnifi, zaxiralar, qayta tuzilgan va imtiyozli kreditlar bo‘yicha ma’lumotlar bo‘shliqlarini bartaraf etish tizimli risklarni chuqurroq tahlil qilish uchun zarurligini ta’kidlagan</w:t>
      </w:r>
      <w:r>
        <w:rPr>
          <w:rStyle w:val="FootnoteReference"/>
        </w:rPr>
        <w:footnoteReference w:id="33"/>
      </w:r>
      <w:r>
        <w:rPr>
          <w:rFonts w:ascii="Times New Roman" w:hAnsi="Times New Roman" w:cs="Times New Roman" w:eastAsia="Times New Roman"/>
          <w:sz w:val="28"/>
        </w:rPr>
        <w:t xml:space="preserve">. Dissertatsiya davomida bu muammo amaliy jihatdan tasdiqlandi: ochiq ma’lumotlarda bank kesimidagi kapital monandligi koeffitsiyentlari, likvidlik me’yorlari va valyuta tarkibi mavjud emas, MHXS 9 bosqichlari va milliy tasnif o‘rtasidagi bog‘liqlik esa faqat ayrim banklarning yillik hisobotlarida oshkor qilinadi. Shu sababli «yo‘l xaritasi» doirasida ishlab chiqiladigan oshkor qilish talablariga quyidagilarni kiritish tavsiya etiladi: milliy tasnif toifalari va MHXS 9 bosqichlari kesishma jadvali; bank kesimida asosiy prudensial koeffitsiyentlarning choraklik qiymatlari; qayta tuzilgan va imtiyozli kreditlar ulushi.</w:t>
      </w:r>
    </w:p>
    <w:p>
      <w:pPr>
        <w:pStyle w:val="BodyText"/>
        <w:spacing w:line="360" w:lineRule="auto" w:before="0" w:after="0"/>
        <w:ind w:firstLine="709"/>
        <w:jc w:val="both"/>
      </w:pPr>
      <w:r>
        <w:rPr>
          <w:rFonts w:ascii="Times New Roman" w:hAnsi="Times New Roman" w:cs="Times New Roman" w:eastAsia="Times New Roman"/>
          <w:sz w:val="28"/>
        </w:rPr>
        <w:t xml:space="preserve">Beshinchi taklif stress-test amaliyotini takomillashtirishga qaratilgan. 4.2-paragrafda ko‘rsatilganidek, milliy hisobot ma’lumotlari asosidagi stress-test bankning bardoshliligini sezilarli oshirib ko‘rsatadi: «O‘zsanoatqurilishbank» ATB keskin salbiy ssenariyda milliy hisobot bo‘yicha yashil zonada qolsa, MHXS bo‘yicha qizil zonaga tushadi. FSAP ham kapital to‘liq aks ettirilmagan muammoli kreditlarga tuzatilganda stress natijalari ancha yomonlashishini ko‘rsatgan</w:t>
      </w:r>
      <w:r>
        <w:rPr>
          <w:rStyle w:val="FootnoteReference"/>
        </w:rPr>
        <w:footnoteReference w:id="34"/>
      </w:r>
      <w:r>
        <w:rPr>
          <w:rFonts w:ascii="Times New Roman" w:hAnsi="Times New Roman" w:cs="Times New Roman" w:eastAsia="Times New Roman"/>
          <w:sz w:val="28"/>
        </w:rPr>
        <w:t xml:space="preserve">. Shu sababli Markaziy bankning makro stress-testlarida va banklarning ICAAP doirasidagi stress-testlarida MHXS 9 bosqichlari asosidagi ma’lumotlardan foydalanish, natijalarni esa erta ogohlantirish zonalari ko‘rinishida ifodalash tavsiya etiladi. Bu stress-test natijalarini bevosita nazorat choralari bilan bog‘lash imkonini beradi. Xuddi shu ssenariy metodikasidan «yo‘l xaritasi»da nazarda tutilgan bank biznes-rejasining uch yillik asosiy va stress ssenariylar bo‘yicha prognozini baholashda ham foydalanish mumkin.</w:t>
      </w:r>
    </w:p>
    <w:p>
      <w:pPr>
        <w:pStyle w:val="BodyText"/>
        <w:spacing w:line="360" w:lineRule="auto" w:before="0" w:after="0"/>
        <w:ind w:firstLine="709"/>
        <w:jc w:val="both"/>
      </w:pPr>
      <w:r>
        <w:rPr>
          <w:rFonts w:ascii="Times New Roman" w:hAnsi="Times New Roman" w:cs="Times New Roman" w:eastAsia="Times New Roman"/>
          <w:sz w:val="28"/>
        </w:rPr>
        <w:t xml:space="preserve">Oltinchi taklif kreditlar o‘sishini bank darajasida kuzatishdan iborat. 3.3-paragrafda kreditlarning jadal o‘sishi bir yildan keyin bankning Z-score ko‘rsatkichini pasaytirishi, biroq milliy muammoli kreditlar ko‘rsatkichida aks etmasligi aniqlangan, 4.1-paragrafda esa integral indeks o‘tkazib yuborgan yagona yirik muammo hodisasi kredit portfeli tez kengaygan bank bilan bog‘liq bo‘lgan. Shu sababli erta ogohlantirish tizimida integral indeks bilan bir qatorda kreditlar yillik o‘sish sur‘atining tizim o‘rtachasidan sezilarli darajada oshishi qo‘shimcha kuzatuv belgisi sifatida qo‘llanishi, bunday banklarga nisbatan esa kredit portfeli sifatini tekshirish va ikkinchi ustun doirasida qo‘shimcha kapital talablarini qo‘llash maqsadga muvofiq.</w:t>
      </w:r>
    </w:p>
    <w:p>
      <w:pPr>
        <w:pStyle w:val="BodyText"/>
        <w:spacing w:line="360" w:lineRule="auto" w:before="0" w:after="0"/>
        <w:ind w:firstLine="709"/>
        <w:jc w:val="both"/>
      </w:pPr>
      <w:r>
        <w:rPr>
          <w:rFonts w:ascii="Times New Roman" w:hAnsi="Times New Roman" w:cs="Times New Roman" w:eastAsia="Times New Roman"/>
          <w:sz w:val="28"/>
        </w:rPr>
        <w:t xml:space="preserve">Davlat ishtirokidagi banklar va hukumat uchun takliflar FSAP ning davlat banklarini xususiylashtirishni tezlashtirish hamda yo‘naltirilgan va imtiyozli kreditlashni bosqichma-bosqich qisqartirish bo‘yicha yuqori ustuvorlikdagi tavsiyalariga tayanadi</w:t>
      </w:r>
      <w:r>
        <w:rPr>
          <w:rStyle w:val="FootnoteReference"/>
        </w:rPr>
        <w:footnoteReference w:id="35"/>
      </w:r>
      <w:r>
        <w:rPr>
          <w:rFonts w:ascii="Times New Roman" w:hAnsi="Times New Roman" w:cs="Times New Roman" w:eastAsia="Times New Roman"/>
          <w:sz w:val="28"/>
        </w:rPr>
        <w:t xml:space="preserve">. Birinchidan, davlat banklari uchun integral indeks ikki variantda – amaldagi va davlat ko‘magisiz – hisoblanishi va ikkinchisi davlat aksiyadori tomonidan qayta kapitallashtirish to‘g‘risida qaror qabul qilishda hisobga olinishi lozim. 3.2-paragrafda «Mikrokreditbank» ATB ning davlat ko‘magisiz bahosi 1,72 ballni, ya’ni nobarqaror sinfni tashkil etgani aniqlangan. Qayta kapitallashtirish bankning restrukturizatsiya rejasi va integral indeks bloklari bo‘yicha aniq maqsadli ko‘rsatkichlarga bog‘lanishi kerak. Ikkinchidan, 3.3-paragraf natijalariga ko‘ra, davlat banklari integral indeksining past bo‘lishi qariyb yarmiga ularning moliyalashtirish modeli – depozit bazasining torligi va imtiyozli kreditlarning past foiz marjasi bilan izohlanadi, depozitlar ulushining 10 foiz punktga oshishi esa indeksni uzoq muddatda 0,17 ballga oshiradi. Shu sababli davlat dasturlari bo‘yicha imtiyozli kreditlashni alohida rivojlanish institutiga o‘tkazish, davlat banklarining resurs bazasini esa chakana va korporativ depozitlar hisobiga diversifikatsiya qilish ularning moliyaviy barqarorligini oshirishning asosiy yo‘li hisoblanadi.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uchun asosiy taklif integral indeksni kapital yetarliligini ichki baholash jarayoniga (ICAAP) va risk-appetit tizimiga kiritishdan iborat. «Yo‘l xaritasi»ga ko‘ra, ICAAP tizimli ahamiyatga molik banklar uchun majburiy bo‘ladi</w:t>
      </w:r>
      <w:r>
        <w:rPr>
          <w:rStyle w:val="FootnoteReference"/>
        </w:rPr>
        <w:footnoteReference w:id="36"/>
      </w:r>
      <w:r>
        <w:rPr>
          <w:rFonts w:ascii="Times New Roman" w:hAnsi="Times New Roman" w:cs="Times New Roman" w:eastAsia="Times New Roman"/>
          <w:sz w:val="28"/>
        </w:rPr>
        <w:t xml:space="preserve">. Bunda bank integral indeks bloklari bo‘yicha ichki maqsadli darajalar va limitlar belgilashi, ularni har chorakda monitoring qilishi va indeks sariq zonaga yaqinlashganda tuzatish choralarini ko‘rishi mumkin. Tahlil natijalariga ko‘ra, banklarning, ayniqsa davlat banklarining eng zaif tomoni likvidlik bloki bo‘lib, kreditlarning depozitlarga nisbati ayrim banklarda 200–400 foizni tashkil etadi. Shu sababli bu ko‘rsatkich bo‘yicha ichki limit belgilash va uni bosqichma-bosqich pasaytirish ICAAP ning muhim elementi bo‘lishi lozim.</w:t>
      </w:r>
    </w:p>
    <w:p>
      <w:pPr>
        <w:pStyle w:val="BodyText"/>
        <w:spacing w:line="360" w:lineRule="auto" w:before="0" w:after="0"/>
        <w:ind w:firstLine="709"/>
        <w:jc w:val="both"/>
      </w:pPr>
      <w:r>
        <w:rPr>
          <w:rFonts w:ascii="Times New Roman" w:hAnsi="Times New Roman" w:cs="Times New Roman" w:eastAsia="Times New Roman"/>
          <w:sz w:val="28"/>
        </w:rPr>
        <w:t xml:space="preserve">Reyting agentliklari va axborot iste’molchilari uchun taklif banklar reytingida milliy hisobot ko‘rsatkichlari bilan bir qatorda MHXS ko‘rsatkichlari va davlat ko‘magisiz bahoni alohida aks ettirishdan iborat. 4.1-paragrafda an’anaviy Z-score ko‘rsatkichi O‘zbekiston sharoitida muammolarni bashorat qilmasligi, chunki davlat ko‘magi davlat banklarining daromadliligini barqarorlashtirishi aniqlangan. Xalqaro reyting agentliklari ham davlat banklarining reytingini davlatning qo‘llab-quvvatlash ehtimoli hisobiga oshiradi. Shu sababli investorlar va omonatchilar uchun bankning o‘z moliyaviy barqarorligini ko‘rsatuvchi, davlat ko‘magini hisobga olmagan baho alohida e’lon qilinishi muhim.</w:t>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chora-tadbirlar amaldagi baholash amaliyotini bir qator jihatlar bo‘yicha o‘zgartiradi (4.3.3-jadval).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Tijorat banklari moliyaviy barqarorligini baholashning amaldagi va taklif etilayotgan tizimi qiyosi</w:t>
      </w:r>
      <w:r>
        <w:rPr>
          <w:rStyle w:val="FootnoteReference"/>
        </w:rPr>
        <w:footnoteReference w:id="37"/>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742"/>
        <w:gridCol w:w="3855"/>
      </w:tblGrid>
      <w:tr>
        <w:trPr>
          <w:tblHeader w:val="true"/>
          <w:cantSplit/>
          <w:tblHeader/>
        </w:trPr>
        <w:tc>
          <w:tcPr>
            <w:tcW w:type="dxa" w:w="1701"/>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Jihat</w:t>
            </w:r>
          </w:p>
        </w:tc>
        <w:tc>
          <w:tcPr>
            <w:tcW w:type="dxa" w:w="3742"/>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Amaldagi amaliyot</w:t>
            </w:r>
          </w:p>
        </w:tc>
        <w:tc>
          <w:tcPr>
            <w:tcW w:type="dxa" w:w="3855"/>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Taklif etilayotgan tizim</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Baholash asosi</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Prudensial normativlarga rioya qilish va kuratorlarning asoslangan mulohazasi</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Besh blok va 13 ko‘rsatkichdan iborat integral indeks, mulohaza bilan to‘ldiriladi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Aktivlar sifati</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Milliy tasnif bo‘yicha muammoli kreditlar</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MHXS 9 bo‘yicha 3-bosqich kreditlari yoki yashirin kredit riski koeffitsiyenti bilan tuzatilgan milliy ko‘rsatkich</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Davlat ko‘magi</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Alohida baholanmaydi</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Davlat banklari uchun davlat ko‘magisiz indeks</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Signal va choralar</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Choralar asosan normativ buzilgandan keyin qo‘llanadi</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Uch zonali erta ogohlantirish tizimi, choralar normativ buzilishidan oldin</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Bashorat elementi</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Tizim darajasidagi stress-test</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Bank darajasida integral indeksning ssenariy prognozi, natijalar zonalarda</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Empirik tekshiruv</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Natijalar e’lon qilinmaydi</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Indeksning bashorat kuchi (AUC) va chegaralar muntazam qayta tekshiriladi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0"/>
              </w:rPr>
              <w:t xml:space="preserve">Oshkoralik</w:t>
            </w:r>
          </w:p>
        </w:tc>
        <w:tc>
          <w:tcPr>
            <w:tcW w:type="dxa" w:w="3742"/>
          </w:tcPr>
          <w:p>
            <w:pPr>
              <w:pStyle w:val="Compact"/>
              <w:spacing w:line="240" w:lineRule="auto"/>
              <w:ind w:firstLine="0"/>
              <w:jc w:val="left"/>
            </w:pPr>
            <w:r>
              <w:rPr>
                <w:rFonts w:ascii="Times New Roman" w:hAnsi="Times New Roman" w:cs="Times New Roman" w:eastAsia="Times New Roman"/>
                <w:sz w:val="20"/>
              </w:rPr>
              <w:t xml:space="preserve">Bank kesimida cheklangan ko‘rsatkichlar</w:t>
            </w:r>
          </w:p>
        </w:tc>
        <w:tc>
          <w:tcPr>
            <w:tcW w:type="dxa" w:w="3855"/>
          </w:tcPr>
          <w:p>
            <w:pPr>
              <w:pStyle w:val="Compact"/>
              <w:spacing w:line="240" w:lineRule="auto"/>
              <w:ind w:firstLine="0"/>
              <w:jc w:val="left"/>
            </w:pPr>
            <w:r>
              <w:rPr>
                <w:rFonts w:ascii="Times New Roman" w:hAnsi="Times New Roman" w:cs="Times New Roman" w:eastAsia="Times New Roman"/>
                <w:sz w:val="20"/>
              </w:rPr>
              <w:t xml:space="preserve">Kesishma jadvali va asosiy prudensial koeffitsiyentlar choraklik e’lon qilinadi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taklif etilayotgan tizim amaldagi amaliyotni bekor qilmaydi, balki uni to‘ldiradi. Asosiy farq uchta jihatda namoyon bo‘ladi: birinchidan, baholash alohida normativlarga emas, balki moliyaviy barqarorlikning barcha bloklarini qamraydigan yagona ko‘rsatkichga tayanadi; ikkinchidan, aktivlar sifati xalqaro standartlar asosida aks ettiriladi va davlat ko‘magi bankning o‘z barqarorligidan ajratiladi; uchinchidan, tizim bashorat elementiga ega bo‘lib, uning aniqligi empirik jihatdan tekshiriladi. Bu FSAP tomonidan ta’kidlangan risk profilini baholashni takomillashtirish va tizimli risklarni tahlil qilishni kuchaytirish talablariga javob beradi</w:t>
      </w:r>
      <w:r>
        <w:rPr>
          <w:rStyle w:val="FootnoteReference"/>
        </w:rPr>
        <w:footnoteReference w:id="38"/>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chora-tadbirlar birgalikda yagona baholash tizimini tashkil etadi. Uning tuzilishi 4.3.1-rasmda ko‘rsatilgan.</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76000" cy="2304000"/>
                <wp:effectExtent l="0" t="0" r="0" b="0"/>
                <wp:docPr id="1001" name="4.3.1-rasm"/>
                <wp:cNvGraphicFramePr/>
                <a:graphic>
                  <a:graphicData uri="http://schemas.microsoft.com/office/word/2010/wordprocessingGroup">
                    <wpg:wgp>
                      <wpg:cNvGrpSpPr/>
                      <wpg:grpSpPr>
                        <a:xfrm>
                          <a:off x="0" y="0"/>
                          <a:ext cx="5976000" cy="2304000"/>
                          <a:chOff x="0" y="0"/>
                          <a:chExt cx="5976000" cy="2304000"/>
                        </a:xfrm>
                      </wpg:grpSpPr>
                      <wps:wsp>
                        <wps:cNvPr id="2" name="Shape 2"/>
                        <wps:cNvSpPr/>
                        <wps:spPr>
                          <a:xfrm>
                            <a:off x="36000" y="36000"/>
                            <a:ext cx="1350000" cy="27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1. Ma’lumotlar</w:t>
                              </w:r>
                            </w:p>
                          </w:txbxContent>
                        </wps:txbx>
                        <wps:bodyPr rot="0" vert="horz" wrap="square" lIns="36000" tIns="18000" rIns="36000" bIns="18000" anchor="ctr" anchorCtr="0">
                          <a:noAutofit/>
                        </wps:bodyPr>
                      </wps:wsp>
                      <wps:wsp>
                        <wps:cNvPr id="3" name="Shape 3"/>
                        <wps:cNvSpPr/>
                        <wps:spPr>
                          <a:xfrm>
                            <a:off x="36000" y="378000"/>
                            <a:ext cx="1350000" cy="360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Milliy prudensial hisobot (choraklik)</w:t>
                              </w:r>
                            </w:p>
                          </w:txbxContent>
                        </wps:txbx>
                        <wps:bodyPr rot="0" vert="horz" wrap="square" lIns="36000" tIns="18000" rIns="36000" bIns="18000" anchor="ctr" anchorCtr="0">
                          <a:noAutofit/>
                        </wps:bodyPr>
                      </wps:wsp>
                      <wps:wsp>
                        <wps:cNvPr id="4" name="Shape 4"/>
                        <wps:cNvSpPr/>
                        <wps:spPr>
                          <a:xfrm>
                            <a:off x="36000" y="792000"/>
                            <a:ext cx="1350000" cy="360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MHXS hisoboti (yillik)</w:t>
                              </w:r>
                            </w:p>
                          </w:txbxContent>
                        </wps:txbx>
                        <wps:bodyPr rot="0" vert="horz" wrap="square" lIns="36000" tIns="18000" rIns="36000" bIns="18000" anchor="ctr" anchorCtr="0">
                          <a:noAutofit/>
                        </wps:bodyPr>
                      </wps:wsp>
                      <wps:wsp>
                        <wps:cNvPr id="5" name="Shape 5"/>
                        <wps:cNvSpPr/>
                        <wps:spPr>
                          <a:xfrm>
                            <a:off x="36000" y="1206000"/>
                            <a:ext cx="1350000" cy="450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Yashirin kredit riski koeffitsiyenti bilan tuzatish</w:t>
                              </w:r>
                            </w:p>
                          </w:txbxContent>
                        </wps:txbx>
                        <wps:bodyPr rot="0" vert="horz" wrap="square" lIns="36000" tIns="18000" rIns="36000" bIns="18000" anchor="ctr" anchorCtr="0">
                          <a:noAutofit/>
                        </wps:bodyPr>
                      </wps:wsp>
                      <wps:wsp>
                        <wps:cNvPr id="6" name="Connector 6"/>
                        <wps:cNvCnPr/>
                        <wps:spPr>
                          <a:xfrm>
                            <a:off x="1396800" y="169200"/>
                            <a:ext cx="129600" cy="0"/>
                          </a:xfrm>
                          <a:prstGeom prst="straightConnector1">
                            <a:avLst/>
                          </a:prstGeom>
                          <a:ln w="19050">
                            <a:solidFill>
                              <a:srgbClr val="404040"/>
                            </a:solidFill>
                            <a:tailEnd type="triangle" w="med" len="med"/>
                          </a:ln>
                        </wps:spPr>
                        <wps:bodyPr/>
                      </wps:wsp>
                      <wps:wsp>
                        <wps:cNvPr id="7" name="Shape 7"/>
                        <wps:cNvSpPr/>
                        <wps:spPr>
                          <a:xfrm>
                            <a:off x="1537200" y="36000"/>
                            <a:ext cx="1350000" cy="27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2. Baholash</w:t>
                              </w:r>
                            </w:p>
                          </w:txbxContent>
                        </wps:txbx>
                        <wps:bodyPr rot="0" vert="horz" wrap="square" lIns="36000" tIns="18000" rIns="36000" bIns="18000" anchor="ctr" anchorCtr="0">
                          <a:noAutofit/>
                        </wps:bodyPr>
                      </wps:wsp>
                      <wps:wsp>
                        <wps:cNvPr id="8" name="Shape 8"/>
                        <wps:cNvSpPr/>
                        <wps:spPr>
                          <a:xfrm>
                            <a:off x="1537200" y="378000"/>
                            <a:ext cx="1350000" cy="360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Integral indeks: 5 blok, 13 ko‘rsatkich</w:t>
                              </w:r>
                            </w:p>
                          </w:txbxContent>
                        </wps:txbx>
                        <wps:bodyPr rot="0" vert="horz" wrap="square" lIns="36000" tIns="18000" rIns="36000" bIns="18000" anchor="ctr" anchorCtr="0">
                          <a:noAutofit/>
                        </wps:bodyPr>
                      </wps:wsp>
                      <wps:wsp>
                        <wps:cNvPr id="9" name="Shape 9"/>
                        <wps:cNvSpPr/>
                        <wps:spPr>
                          <a:xfrm>
                            <a:off x="1537200" y="792000"/>
                            <a:ext cx="1350000" cy="450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Davlat ko‘magisiz indeks (davlat banklari)</w:t>
                              </w:r>
                            </w:p>
                          </w:txbxContent>
                        </wps:txbx>
                        <wps:bodyPr rot="0" vert="horz" wrap="square" lIns="36000" tIns="18000" rIns="36000" bIns="18000" anchor="ctr" anchorCtr="0">
                          <a:noAutofit/>
                        </wps:bodyPr>
                      </wps:wsp>
                      <wps:wsp>
                        <wps:cNvPr id="10" name="Shape 10"/>
                        <wps:cNvSpPr/>
                        <wps:spPr>
                          <a:xfrm>
                            <a:off x="1537200" y="1296000"/>
                            <a:ext cx="1350000" cy="360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MHXS va milliy indekslar farqi (ΔMBII)</w:t>
                              </w:r>
                            </w:p>
                          </w:txbxContent>
                        </wps:txbx>
                        <wps:bodyPr rot="0" vert="horz" wrap="square" lIns="36000" tIns="18000" rIns="36000" bIns="18000" anchor="ctr" anchorCtr="0">
                          <a:noAutofit/>
                        </wps:bodyPr>
                      </wps:wsp>
                      <wps:wsp>
                        <wps:cNvPr id="11" name="Connector 11"/>
                        <wps:cNvCnPr/>
                        <wps:spPr>
                          <a:xfrm>
                            <a:off x="2898000" y="169200"/>
                            <a:ext cx="129600" cy="0"/>
                          </a:xfrm>
                          <a:prstGeom prst="straightConnector1">
                            <a:avLst/>
                          </a:prstGeom>
                          <a:ln w="19050">
                            <a:solidFill>
                              <a:srgbClr val="404040"/>
                            </a:solidFill>
                            <a:tailEnd type="triangle" w="med" len="med"/>
                          </a:ln>
                        </wps:spPr>
                        <wps:bodyPr/>
                      </wps:wsp>
                      <wps:wsp>
                        <wps:cNvPr id="12" name="Shape 12"/>
                        <wps:cNvSpPr/>
                        <wps:spPr>
                          <a:xfrm>
                            <a:off x="3038400" y="36000"/>
                            <a:ext cx="1350000" cy="270000"/>
                          </a:xfrm>
                          <a:prstGeom prst="roundRect">
                            <a:avLst>
                              <a:gd name="adj" fmla="val 10000"/>
                            </a:avLst>
                          </a:prstGeom>
                          <a:solidFill>
                            <a:srgbClr val="C55A11"/>
                          </a:solidFill>
                          <a:ln w="12700">
                            <a:solidFill>
                              <a:srgbClr val="C55A11"/>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3. Signal</w:t>
                              </w:r>
                            </w:p>
                          </w:txbxContent>
                        </wps:txbx>
                        <wps:bodyPr rot="0" vert="horz" wrap="square" lIns="36000" tIns="18000" rIns="36000" bIns="18000" anchor="ctr" anchorCtr="0">
                          <a:noAutofit/>
                        </wps:bodyPr>
                      </wps:wsp>
                      <wps:wsp>
                        <wps:cNvPr id="13" name="Shape 13"/>
                        <wps:cNvSpPr/>
                        <wps:spPr>
                          <a:xfrm>
                            <a:off x="3038400" y="378000"/>
                            <a:ext cx="1350000" cy="450000"/>
                          </a:xfrm>
                          <a:prstGeom prst="roundRect">
                            <a:avLst>
                              <a:gd name="adj" fmla="val 10000"/>
                            </a:avLst>
                          </a:prstGeom>
                          <a:solidFill>
                            <a:srgbClr val="F2F2F2"/>
                          </a:solidFill>
                          <a:ln w="12700">
                            <a:solidFill>
                              <a:srgbClr val="C55A11"/>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Erta ogohlantirish zonalari: yashil ≥ 3,25; sariq 2,75–3,25; qizil &lt; 2,75</w:t>
                              </w:r>
                            </w:p>
                          </w:txbxContent>
                        </wps:txbx>
                        <wps:bodyPr rot="0" vert="horz" wrap="square" lIns="36000" tIns="18000" rIns="36000" bIns="18000" anchor="ctr" anchorCtr="0">
                          <a:noAutofit/>
                        </wps:bodyPr>
                      </wps:wsp>
                      <wps:wsp>
                        <wps:cNvPr id="14" name="Shape 14"/>
                        <wps:cNvSpPr/>
                        <wps:spPr>
                          <a:xfrm>
                            <a:off x="3038400" y="882000"/>
                            <a:ext cx="1350000" cy="360000"/>
                          </a:xfrm>
                          <a:prstGeom prst="roundRect">
                            <a:avLst>
                              <a:gd name="adj" fmla="val 10000"/>
                            </a:avLst>
                          </a:prstGeom>
                          <a:solidFill>
                            <a:srgbClr val="F2F2F2"/>
                          </a:solidFill>
                          <a:ln w="12700">
                            <a:solidFill>
                              <a:srgbClr val="C55A11"/>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Stress-test natijalari zonalarda</w:t>
                              </w:r>
                            </w:p>
                          </w:txbxContent>
                        </wps:txbx>
                        <wps:bodyPr rot="0" vert="horz" wrap="square" lIns="36000" tIns="18000" rIns="36000" bIns="18000" anchor="ctr" anchorCtr="0">
                          <a:noAutofit/>
                        </wps:bodyPr>
                      </wps:wsp>
                      <wps:wsp>
                        <wps:cNvPr id="15" name="Connector 15"/>
                        <wps:cNvCnPr/>
                        <wps:spPr>
                          <a:xfrm>
                            <a:off x="4399200" y="169200"/>
                            <a:ext cx="129600" cy="0"/>
                          </a:xfrm>
                          <a:prstGeom prst="straightConnector1">
                            <a:avLst/>
                          </a:prstGeom>
                          <a:ln w="19050">
                            <a:solidFill>
                              <a:srgbClr val="404040"/>
                            </a:solidFill>
                            <a:tailEnd type="triangle" w="med" len="med"/>
                          </a:ln>
                        </wps:spPr>
                        <wps:bodyPr/>
                      </wps:wsp>
                      <wps:wsp>
                        <wps:cNvPr id="16" name="Shape 16"/>
                        <wps:cNvSpPr/>
                        <wps:spPr>
                          <a:xfrm>
                            <a:off x="4539600" y="36000"/>
                            <a:ext cx="1350000" cy="270000"/>
                          </a:xfrm>
                          <a:prstGeom prst="roundRect">
                            <a:avLst>
                              <a:gd name="adj" fmla="val 10000"/>
                            </a:avLst>
                          </a:prstGeom>
                          <a:solidFill>
                            <a:srgbClr val="7F6000"/>
                          </a:solidFill>
                          <a:ln w="12700">
                            <a:solidFill>
                              <a:srgbClr val="7F600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4. Choralar</w:t>
                              </w:r>
                            </w:p>
                          </w:txbxContent>
                        </wps:txbx>
                        <wps:bodyPr rot="0" vert="horz" wrap="square" lIns="36000" tIns="18000" rIns="36000" bIns="18000" anchor="ctr" anchorCtr="0">
                          <a:noAutofit/>
                        </wps:bodyPr>
                      </wps:wsp>
                      <wps:wsp>
                        <wps:cNvPr id="17" name="Shape 17"/>
                        <wps:cNvSpPr/>
                        <wps:spPr>
                          <a:xfrm>
                            <a:off x="4539600" y="378000"/>
                            <a:ext cx="1350000" cy="360000"/>
                          </a:xfrm>
                          <a:prstGeom prst="roundRect">
                            <a:avLst>
                              <a:gd name="adj" fmla="val 10000"/>
                            </a:avLst>
                          </a:prstGeom>
                          <a:solidFill>
                            <a:srgbClr val="F2F2F2"/>
                          </a:solidFill>
                          <a:ln w="12700">
                            <a:solidFill>
                              <a:srgbClr val="7F6000"/>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Yashil: odatiy monitoring</w:t>
                              </w:r>
                            </w:p>
                          </w:txbxContent>
                        </wps:txbx>
                        <wps:bodyPr rot="0" vert="horz" wrap="square" lIns="36000" tIns="18000" rIns="36000" bIns="18000" anchor="ctr" anchorCtr="0">
                          <a:noAutofit/>
                        </wps:bodyPr>
                      </wps:wsp>
                      <wps:wsp>
                        <wps:cNvPr id="18" name="Shape 18"/>
                        <wps:cNvSpPr/>
                        <wps:spPr>
                          <a:xfrm>
                            <a:off x="4539600" y="792000"/>
                            <a:ext cx="1350000" cy="450000"/>
                          </a:xfrm>
                          <a:prstGeom prst="roundRect">
                            <a:avLst>
                              <a:gd name="adj" fmla="val 10000"/>
                            </a:avLst>
                          </a:prstGeom>
                          <a:solidFill>
                            <a:srgbClr val="F2F2F2"/>
                          </a:solidFill>
                          <a:ln w="12700">
                            <a:solidFill>
                              <a:srgbClr val="7F6000"/>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Sariq: kuchaytirilgan monitoring, tuzatish rejasi</w:t>
                              </w:r>
                            </w:p>
                          </w:txbxContent>
                        </wps:txbx>
                        <wps:bodyPr rot="0" vert="horz" wrap="square" lIns="36000" tIns="18000" rIns="36000" bIns="18000" anchor="ctr" anchorCtr="0">
                          <a:noAutofit/>
                        </wps:bodyPr>
                      </wps:wsp>
                      <wps:wsp>
                        <wps:cNvPr id="19" name="Shape 19"/>
                        <wps:cNvSpPr/>
                        <wps:spPr>
                          <a:xfrm>
                            <a:off x="4539600" y="1296000"/>
                            <a:ext cx="1350000" cy="450000"/>
                          </a:xfrm>
                          <a:prstGeom prst="roundRect">
                            <a:avLst>
                              <a:gd name="adj" fmla="val 10000"/>
                            </a:avLst>
                          </a:prstGeom>
                          <a:solidFill>
                            <a:srgbClr val="F2F2F2"/>
                          </a:solidFill>
                          <a:ln w="12700">
                            <a:solidFill>
                              <a:srgbClr val="7F6000"/>
                            </a:solidFill>
                          </a:ln>
                        </wps:spPr>
                        <wps:txbx>
                          <w:txbxContent>
                            <w:p>
                              <w:pPr>
                                <w:spacing w:before="0" w:after="0" w:line="228" w:lineRule="auto"/>
                                <w:jc w:val="center"/>
                                <w:ind w:firstLine="0"/>
                              </w:pPr>
                              <w:r>
                                <w:rPr>
                                  <w:rFonts w:ascii="Times New Roman" w:hAnsi="Times New Roman" w:cs="Times New Roman"/>
                                  <w:color w:val="000000"/>
                                  <w:sz w:val="17"/>
                                  <w:szCs w:val="17"/>
                                </w:rPr>
                                <w:t xml:space="preserve">Qizil: maqsadli tekshiruv, kapitalni tiklash, dividend cheklovi</w:t>
                              </w:r>
                            </w:p>
                          </w:txbxContent>
                        </wps:txbx>
                        <wps:bodyPr rot="0" vert="horz" wrap="square" lIns="36000" tIns="18000" rIns="36000" bIns="18000" anchor="ctr" anchorCtr="0">
                          <a:noAutofit/>
                        </wps:bodyPr>
                      </wps:wsp>
                      <wps:wsp>
                        <wps:cNvPr id="20" name="Shape 20"/>
                        <wps:cNvSpPr/>
                        <wps:spPr>
                          <a:xfrm>
                            <a:off x="36000" y="1998000"/>
                            <a:ext cx="5853600" cy="252000"/>
                          </a:xfrm>
                          <a:prstGeom prst="rect">
                            <a:avLst/>
                          </a:prstGeom>
                          <a:solidFill>
                            <a:srgbClr val="FFFFFF"/>
                          </a:solidFill>
                          <a:ln w="12700">
                            <a:solidFill>
                              <a:srgbClr val="404040"/>
                            </a:solidFill>
                          </a:ln>
                        </wps:spPr>
                        <wps:txbx>
                          <w:txbxContent>
                            <w:p>
                              <w:pPr>
                                <w:spacing w:before="0" w:after="0" w:line="228" w:lineRule="auto"/>
                                <w:jc w:val="center"/>
                                <w:ind w:firstLine="0"/>
                              </w:pPr>
                              <w:r>
                                <w:rPr>
                                  <w:rFonts w:ascii="Times New Roman" w:hAnsi="Times New Roman" w:cs="Times New Roman"/>
                                  <w:i/>
                                  <w:color w:val="000000"/>
                                  <w:sz w:val="17"/>
                                  <w:szCs w:val="17"/>
                                </w:rPr>
                                <w:t xml:space="preserve">Keyingi chorakda indeks qayta hisoblanadi: choralar samaradorligi baholanadi (yopiq sikl)</w:t>
                              </w:r>
                            </w:p>
                          </w:txbxContent>
                        </wps:txbx>
                        <wps:bodyPr rot="0" vert="horz" wrap="square" lIns="36000" tIns="18000" rIns="36000" bIns="18000" anchor="ctr" anchorCtr="0">
                          <a:noAutofit/>
                        </wps:bodyPr>
                      </wps:wsp>
                      <wps:wsp>
                        <wps:cNvPr id="21" name="Connector 21"/>
                        <wps:cNvCnPr/>
                        <wps:spPr>
                          <a:xfrm>
                            <a:off x="5214600" y="1890000"/>
                            <a:ext cx="0" cy="100800"/>
                          </a:xfrm>
                          <a:prstGeom prst="straightConnector1">
                            <a:avLst/>
                          </a:prstGeom>
                          <a:ln w="15875">
                            <a:solidFill>
                              <a:srgbClr val="404040"/>
                            </a:solidFill>
                            <a:tailEnd type="triangle" w="med" len="med"/>
                          </a:ln>
                        </wps:spPr>
                        <wps:bodyPr/>
                      </wps:wsp>
                      <wps:wsp>
                        <wps:cNvPr id="22" name="Connector 22"/>
                        <wps:cNvCnPr/>
                        <wps:spPr>
                          <a:xfrm flipV="1">
                            <a:off x="711000" y="1890000"/>
                            <a:ext cx="0" cy="100800"/>
                          </a:xfrm>
                          <a:prstGeom prst="straightConnector1">
                            <a:avLst/>
                          </a:prstGeom>
                          <a:ln w="15875">
                            <a:solidFill>
                              <a:srgbClr val="404040"/>
                            </a:solidFill>
                            <a:tailEnd type="triangle" w="med" len="med"/>
                          </a:ln>
                        </wps:spPr>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4.3.1-rasm. Tijorat banklari moliyaviy barqarorligini xalqaro standartlar asosida baholashning taklif etilayotgan tizimi</w:t>
      </w:r>
      <w:r>
        <w:rPr>
          <w:rStyle w:val="FootnoteReference"/>
        </w:rPr>
        <w:footnoteReference w:id="39"/>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taklif etilayotgan tizim to‘rt bosqichdan iborat. Birinchi bosqichda milliy prudensial hisobot va MHXS ma’lumotlari yig‘iladi, milliy ma’lumotlar esa yashirin kredit riski koeffitsiyenti orqali xalqaro standartlar darajasiga keltiriladi. Ikkinchi bosqichda besh blok bo‘yicha integral indeks, davlat banklari uchun esa qo‘shimcha ravishda davlat ko‘magisiz indeks hisoblanadi. Uchinchi bosqichda indeks qiymati asosida bank erta ogohlantirish zonalaridan biriga kiritiladi va stress-test natijalari ham shu zonalar ko‘rinishida ifodalanadi. To‘rtinchi bosqichda zonaga mos nazorat choralari qo‘llanadi, ularning natijasi esa keyingi chorakdagi indeks qiymati orqali baholanadi. Shunday qilib, tizim yopiq sikl ko‘rinishida ishlaydi va nazorat choralarining samaradorligini miqdoriy jihatdan kuzatish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Takliflarni amalga oshirish «yo‘l xaritasi» choralari bilan muvofiqlashtirilgan holda uch bosqichda amalga oshirilishi maqsadga muvofiq (4.3.4-jadval).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4.3.4-jadval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Takliflarni amalga oshirish bosqichlari</w:t>
      </w:r>
      <w:r>
        <w:rPr>
          <w:rStyle w:val="FootnoteReference"/>
        </w:rPr>
        <w:footnoteReference w:id="4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247"/>
        <w:gridCol w:w="3175"/>
        <w:gridCol w:w="1360"/>
        <w:gridCol w:w="1360"/>
        <w:gridCol w:w="2154"/>
      </w:tblGrid>
      <w:tr>
        <w:trPr>
          <w:tblHeader w:val="true"/>
          <w:cantSplit/>
          <w:tblHeader/>
        </w:trPr>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Bosqich</w:t>
            </w:r>
          </w:p>
        </w:tc>
        <w:tc>
          <w:tcPr>
            <w:tcW w:type="dxa" w:w="3175"/>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Chora-tadbirlar</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Mas’ul</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«Yo‘l xaritasi»dagi bog‘liq chora</w:t>
            </w:r>
          </w:p>
        </w:tc>
        <w:tc>
          <w:tcPr>
            <w:tcW w:type="dxa" w:w="215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Natija ko‘rsatkichi</w:t>
            </w:r>
          </w:p>
        </w:tc>
      </w:tr>
      <w:tr>
        <w:trPr>
          <w:cantSplit/>
        </w:trPr>
        <w:tc>
          <w:tcPr>
            <w:tcW w:type="dxa" w:w="1247"/>
          </w:tcPr>
          <w:p>
            <w:pPr>
              <w:pStyle w:val="Compact"/>
              <w:spacing w:line="240" w:lineRule="auto"/>
              <w:ind w:firstLine="0"/>
              <w:jc w:val="left"/>
            </w:pPr>
            <w:r>
              <w:rPr>
                <w:rFonts w:ascii="Times New Roman" w:hAnsi="Times New Roman" w:cs="Times New Roman" w:eastAsia="Times New Roman"/>
                <w:sz w:val="20"/>
              </w:rPr>
              <w:t xml:space="preserve">I bosqich (2026-yil)</w:t>
            </w:r>
          </w:p>
        </w:tc>
        <w:tc>
          <w:tcPr>
            <w:tcW w:type="dxa" w:w="3175"/>
          </w:tcPr>
          <w:p>
            <w:pPr>
              <w:pStyle w:val="Compact"/>
              <w:spacing w:line="240" w:lineRule="auto"/>
              <w:ind w:firstLine="0"/>
              <w:jc w:val="left"/>
            </w:pPr>
            <w:r>
              <w:rPr>
                <w:rFonts w:ascii="Times New Roman" w:hAnsi="Times New Roman" w:cs="Times New Roman" w:eastAsia="Times New Roman"/>
                <w:sz w:val="20"/>
              </w:rPr>
              <w:t xml:space="preserve">Integral indeksni prudensial hisobotlar asosida sinov tariqasida hisoblash; milliy ko‘rsatkichlarni yashirin kredit riski koeffitsiyenti bilan tuzatish; oshkor qilish talablariga kesishma jadvalini kiritish</w:t>
            </w:r>
          </w:p>
        </w:tc>
        <w:tc>
          <w:tcPr>
            <w:tcW w:type="dxa" w:w="1361"/>
          </w:tcPr>
          <w:p>
            <w:pPr>
              <w:pStyle w:val="Compact"/>
              <w:spacing w:line="240" w:lineRule="auto"/>
              <w:ind w:firstLine="0"/>
              <w:jc w:val="left"/>
            </w:pPr>
            <w:r>
              <w:rPr>
                <w:rFonts w:ascii="Times New Roman" w:hAnsi="Times New Roman" w:cs="Times New Roman" w:eastAsia="Times New Roman"/>
                <w:sz w:val="20"/>
              </w:rPr>
              <w:t xml:space="preserve">Markaziy bank</w:t>
            </w:r>
          </w:p>
        </w:tc>
        <w:tc>
          <w:tcPr>
            <w:tcW w:type="dxa" w:w="1361"/>
          </w:tcPr>
          <w:p>
            <w:pPr>
              <w:pStyle w:val="Compact"/>
              <w:spacing w:line="240" w:lineRule="auto"/>
              <w:ind w:firstLine="0"/>
              <w:jc w:val="left"/>
            </w:pPr>
            <w:r>
              <w:rPr>
                <w:rFonts w:ascii="Times New Roman" w:hAnsi="Times New Roman" w:cs="Times New Roman" w:eastAsia="Times New Roman"/>
                <w:sz w:val="20"/>
              </w:rPr>
              <w:t xml:space="preserve">3, 5, 18, 19-choralar</w:t>
            </w:r>
          </w:p>
        </w:tc>
        <w:tc>
          <w:tcPr>
            <w:tcW w:type="dxa" w:w="2154"/>
          </w:tcPr>
          <w:p>
            <w:pPr>
              <w:pStyle w:val="Compact"/>
              <w:spacing w:line="240" w:lineRule="auto"/>
              <w:ind w:firstLine="0"/>
              <w:jc w:val="left"/>
            </w:pPr>
            <w:r>
              <w:rPr>
                <w:rFonts w:ascii="Times New Roman" w:hAnsi="Times New Roman" w:cs="Times New Roman" w:eastAsia="Times New Roman"/>
                <w:sz w:val="20"/>
              </w:rPr>
              <w:t xml:space="preserve">Barcha banklar uchun choraklik indeks qiymatlari; kesishma jadvallari e’lon qilinishi</w:t>
            </w:r>
          </w:p>
        </w:tc>
      </w:tr>
      <w:tr>
        <w:trPr>
          <w:cantSplit/>
        </w:trPr>
        <w:tc>
          <w:tcPr>
            <w:tcW w:type="dxa" w:w="1247"/>
          </w:tcPr>
          <w:p>
            <w:pPr>
              <w:pStyle w:val="Compact"/>
              <w:spacing w:line="240" w:lineRule="auto"/>
              <w:ind w:firstLine="0"/>
              <w:jc w:val="left"/>
            </w:pPr>
            <w:r>
              <w:rPr>
                <w:rFonts w:ascii="Times New Roman" w:hAnsi="Times New Roman" w:cs="Times New Roman" w:eastAsia="Times New Roman"/>
                <w:sz w:val="20"/>
              </w:rPr>
              <w:t xml:space="preserve">II bosqich (2027-yil)</w:t>
            </w:r>
          </w:p>
        </w:tc>
        <w:tc>
          <w:tcPr>
            <w:tcW w:type="dxa" w:w="3175"/>
          </w:tcPr>
          <w:p>
            <w:pPr>
              <w:pStyle w:val="Compact"/>
              <w:spacing w:line="240" w:lineRule="auto"/>
              <w:ind w:firstLine="0"/>
              <w:jc w:val="left"/>
            </w:pPr>
            <w:r>
              <w:rPr>
                <w:rFonts w:ascii="Times New Roman" w:hAnsi="Times New Roman" w:cs="Times New Roman" w:eastAsia="Times New Roman"/>
                <w:sz w:val="20"/>
              </w:rPr>
              <w:t xml:space="preserve">Uch zonali erta ogohlantirish tizimini va tezkor tuzatish choralarini joriy etish; stress-testlarni MHXS asosidagi indeks bilan o‘tkazish; davlat banklari uchun davlat ko‘magisiz bahoni joriy etish; ICAAP ga indeks bloklarini kiritish</w:t>
            </w:r>
          </w:p>
        </w:tc>
        <w:tc>
          <w:tcPr>
            <w:tcW w:type="dxa" w:w="1361"/>
          </w:tcPr>
          <w:p>
            <w:pPr>
              <w:pStyle w:val="Compact"/>
              <w:spacing w:line="240" w:lineRule="auto"/>
              <w:ind w:firstLine="0"/>
              <w:jc w:val="left"/>
            </w:pPr>
            <w:r>
              <w:rPr>
                <w:rFonts w:ascii="Times New Roman" w:hAnsi="Times New Roman" w:cs="Times New Roman" w:eastAsia="Times New Roman"/>
                <w:sz w:val="20"/>
              </w:rPr>
              <w:t xml:space="preserve">Markaziy bank, Iqtisodiyot va moliya vazirligi, banklar</w:t>
            </w:r>
          </w:p>
        </w:tc>
        <w:tc>
          <w:tcPr>
            <w:tcW w:type="dxa" w:w="1361"/>
          </w:tcPr>
          <w:p>
            <w:pPr>
              <w:pStyle w:val="Compact"/>
              <w:spacing w:line="240" w:lineRule="auto"/>
              <w:ind w:firstLine="0"/>
              <w:jc w:val="left"/>
            </w:pPr>
            <w:r>
              <w:rPr>
                <w:rFonts w:ascii="Times New Roman" w:hAnsi="Times New Roman" w:cs="Times New Roman" w:eastAsia="Times New Roman"/>
                <w:sz w:val="20"/>
              </w:rPr>
              <w:t xml:space="preserve">7, 9, 12, 17-choralar</w:t>
            </w:r>
          </w:p>
        </w:tc>
        <w:tc>
          <w:tcPr>
            <w:tcW w:type="dxa" w:w="2154"/>
          </w:tcPr>
          <w:p>
            <w:pPr>
              <w:pStyle w:val="Compact"/>
              <w:spacing w:line="240" w:lineRule="auto"/>
              <w:ind w:firstLine="0"/>
              <w:jc w:val="left"/>
            </w:pPr>
            <w:r>
              <w:rPr>
                <w:rFonts w:ascii="Times New Roman" w:hAnsi="Times New Roman" w:cs="Times New Roman" w:eastAsia="Times New Roman"/>
                <w:sz w:val="20"/>
              </w:rPr>
              <w:t xml:space="preserve">Zonalar bo‘yicha banklar taqsimoti; sariq va qizil zonadagi banklar uchun tuzatish rejalari</w:t>
            </w:r>
          </w:p>
        </w:tc>
      </w:tr>
      <w:tr>
        <w:trPr>
          <w:cantSplit/>
        </w:trPr>
        <w:tc>
          <w:tcPr>
            <w:tcW w:type="dxa" w:w="1247"/>
          </w:tcPr>
          <w:p>
            <w:pPr>
              <w:pStyle w:val="Compact"/>
              <w:spacing w:line="240" w:lineRule="auto"/>
              <w:ind w:firstLine="0"/>
              <w:jc w:val="left"/>
            </w:pPr>
            <w:r>
              <w:rPr>
                <w:rFonts w:ascii="Times New Roman" w:hAnsi="Times New Roman" w:cs="Times New Roman" w:eastAsia="Times New Roman"/>
                <w:sz w:val="20"/>
              </w:rPr>
              <w:t xml:space="preserve">III bosqich (2028-yil)</w:t>
            </w:r>
          </w:p>
        </w:tc>
        <w:tc>
          <w:tcPr>
            <w:tcW w:type="dxa" w:w="3175"/>
          </w:tcPr>
          <w:p>
            <w:pPr>
              <w:pStyle w:val="Compact"/>
              <w:spacing w:line="240" w:lineRule="auto"/>
              <w:ind w:firstLine="0"/>
              <w:jc w:val="left"/>
            </w:pPr>
            <w:r>
              <w:rPr>
                <w:rFonts w:ascii="Times New Roman" w:hAnsi="Times New Roman" w:cs="Times New Roman" w:eastAsia="Times New Roman"/>
                <w:sz w:val="20"/>
              </w:rPr>
              <w:t xml:space="preserve">Indeksni to‘liq MHXS ma’lumotlariga o‘tkazish; zonalar chegaralarini yangi ma’lumotlar asosida qayta kalibrlash; indeks natijalarini moliyaviy barqarorlik sharhida e’lon qilish</w:t>
            </w:r>
          </w:p>
        </w:tc>
        <w:tc>
          <w:tcPr>
            <w:tcW w:type="dxa" w:w="1361"/>
          </w:tcPr>
          <w:p>
            <w:pPr>
              <w:pStyle w:val="Compact"/>
              <w:spacing w:line="240" w:lineRule="auto"/>
              <w:ind w:firstLine="0"/>
              <w:jc w:val="left"/>
            </w:pPr>
            <w:r>
              <w:rPr>
                <w:rFonts w:ascii="Times New Roman" w:hAnsi="Times New Roman" w:cs="Times New Roman" w:eastAsia="Times New Roman"/>
                <w:sz w:val="20"/>
              </w:rPr>
              <w:t xml:space="preserve">Markaziy bank</w:t>
            </w:r>
          </w:p>
        </w:tc>
        <w:tc>
          <w:tcPr>
            <w:tcW w:type="dxa" w:w="1361"/>
          </w:tcPr>
          <w:p>
            <w:pPr>
              <w:pStyle w:val="Compact"/>
              <w:spacing w:line="240" w:lineRule="auto"/>
              <w:ind w:firstLine="0"/>
              <w:jc w:val="left"/>
            </w:pPr>
            <w:r>
              <w:rPr>
                <w:rFonts w:ascii="Times New Roman" w:hAnsi="Times New Roman" w:cs="Times New Roman" w:eastAsia="Times New Roman"/>
                <w:sz w:val="20"/>
              </w:rPr>
              <w:t xml:space="preserve">5, 19-choralar</w:t>
            </w:r>
          </w:p>
        </w:tc>
        <w:tc>
          <w:tcPr>
            <w:tcW w:type="dxa" w:w="2154"/>
          </w:tcPr>
          <w:p>
            <w:pPr>
              <w:pStyle w:val="Compact"/>
              <w:spacing w:line="240" w:lineRule="auto"/>
              <w:ind w:firstLine="0"/>
              <w:jc w:val="left"/>
            </w:pPr>
            <w:r>
              <w:rPr>
                <w:rFonts w:ascii="Times New Roman" w:hAnsi="Times New Roman" w:cs="Times New Roman" w:eastAsia="Times New Roman"/>
                <w:sz w:val="20"/>
              </w:rPr>
              <w:t xml:space="preserve">Yashirin kredit riski koeffitsiyentining birga yaqinlashishi; chegaralar bashorat kuchining qayta tekshiruvi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takliflar «yo‘l xaritasi»ni almashtirmaydi, balki uning choralarini amaliy metodika bilan ta’minlaydi. Birinchi bosqichda qo‘shimcha normativ hujjatlar talab qilinmaydi, chunki indeks Markaziy bankda mavjud prudensial hisobotlar asosida hisoblanishi mumkin. Ikkinchi bosqich «yo‘l xaritasi»da nazarda tutilgan erta ogohlantirish tizimi va ICAAP talablarini joriy etish bilan bir vaqtda amalga oshiriladi. Uchinchi bosqichda esa aktivlarni tasniflashning yangi qoidalari amalda qo‘llana boshlagach, indeks to‘liq MHXS ma’lumotlariga o‘tkaziladi va uning chegaralari to‘plangan tajriba asosida qayta kalibrlanadi. Natija ko‘rsatkichlari sifatida yashirin kredit riski koeffitsiyentining birga yaqinlashishi muhim ahamiyatga ega, chunki u milliy va xalqaro standartlar o‘rtasidagi tafovut bartaraf etilganini miqdoriy jihatdan tasdiqlaydi.</w:t>
      </w:r>
    </w:p>
    <w:p>
      <w:pPr>
        <w:pStyle w:val="BodyText"/>
        <w:spacing w:line="360" w:lineRule="auto" w:before="0" w:after="0"/>
        <w:ind w:firstLine="709"/>
        <w:jc w:val="both"/>
      </w:pPr>
      <w:r>
        <w:rPr>
          <w:rFonts w:ascii="Times New Roman" w:hAnsi="Times New Roman" w:cs="Times New Roman" w:eastAsia="Times New Roman"/>
          <w:sz w:val="28"/>
        </w:rPr>
        <w:t xml:space="preserve">Shunday qilib, dissertatsiyada ishlab chiqilgan takliflar FSAP tavsiyalari va Markaziy bankning 2025–2028-yillarga mo‘ljallangan «yo‘l xaritasi» bilan to‘liq muvofiq bo‘lib, ularni amaliy metodika bilan ta’minlaydi. Ularning asosiy mazmuni quyidagilardan iborat: integral indeksni masofaviy monitoringga joriy etish va uning asosida erta ogohlantirish hamda tezkor tuzatish choralari tizimini shakllantirish; o‘tish davrida milliy ko‘rsatkichlarni yashirin kredit riski koeffitsiyenti bilan tuzatish; oshkoralikni kengaytirish; stress-testlarni MHXS ma’lumotlari asosida o‘tkazish; davlat banklari uchun davlat ko‘magisiz bahoni joriy etish va ularning resurs bazasini diversifikatsiya qilish; banklarning ichki baholash jarayonlarida indeks bloklaridan foydalanish. Bu choralarning amalga oshirilishi bank tizimida yashirin risklarni o‘z vaqtida aniqlash, davlat ko‘magiga bog‘liqlikni kamaytirish va moliyaviy barqarorlikni baholashni xalqaro standartlarga to‘liq muvofiqlashtirish imkonini beradi.</w:t>
      </w:r>
    </w:p>
    <w:bookmarkEnd w:id="41"/>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1.</w:t>
      </w:r>
    </w:p>
  </w:footnote>
  <w:footnote w:id="21">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20.</w:t>
      </w:r>
    </w:p>
  </w:footnote>
  <w:footnote w:id="22">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24.</w:t>
      </w:r>
    </w:p>
  </w:footnote>
  <w:footnote w:id="23">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24.</w:t>
      </w:r>
    </w:p>
  </w:footnote>
  <w:footnote w:id="24">
    <w:p>
      <w:pPr>
        <w:pStyle w:val="FootnoteText"/>
      </w:pPr>
      <w:r>
        <w:rPr>
          <w:rStyle w:val="FootnoteReference"/>
        </w:rPr>
        <w:footnoteRef/>
      </w:r>
      <w:r>
        <w:t xml:space="preserve"> </w:t>
      </w:r>
      <w:r>
        <w:t xml:space="preserve">The Central Bank of the Republic of Uzbekistan. «Roadmap» aimed at further improving the bank regulation and supervision system in 2025–2028. – Tashkent, 17 November 2025.</w:t>
      </w:r>
    </w:p>
  </w:footnote>
  <w:footnote w:id="25">
    <w:p>
      <w:pPr>
        <w:pStyle w:val="FootnoteText"/>
      </w:pPr>
      <w:r>
        <w:rPr>
          <w:rStyle w:val="FootnoteReference"/>
        </w:rPr>
        <w:footnoteRef/>
      </w:r>
      <w:r>
        <w:t xml:space="preserve"> </w:t>
      </w:r>
      <w:r>
        <w:t xml:space="preserve">The Central Bank of the Republic of Uzbekistan. «Roadmap» aimed at further improving the bank regulation and supervision system in 2025–2028. – Tashkent, 17 November 2025.</w:t>
      </w:r>
    </w:p>
  </w:footnote>
  <w:footnote w:id="26">
    <w:p>
      <w:pPr>
        <w:pStyle w:val="FootnoteText"/>
      </w:pPr>
      <w:r>
        <w:rPr>
          <w:rStyle w:val="FootnoteReference"/>
        </w:rPr>
        <w:footnoteRef/>
      </w:r>
      <w:r>
        <w:t xml:space="preserve"> </w:t>
      </w:r>
      <w:r>
        <w:t xml:space="preserve">Tadqiqot natijasida muallif tomonidan quyidagi manbalar asosida ishlab chiqildi: International Monetary Fund. Republic of Uzbekistan: Financial Sector Assessment Program – Financial System Stability Assessment. IMF Country Report No. 25/145. – Washington, DC: IMF, 2025. – P. 1, 8, 20, 24, 28–29; The Central Bank of the Republic of Uzbekistan. «Roadmap» aimed at further improving the bank regulation and supervision system in 2025–2028. – Tashkent, 17 November 2025; dissertatsiyaning 2.3, 3.1–3.3, 4.1, 4.2-paragraflari natijalari.</w:t>
      </w:r>
    </w:p>
  </w:footnote>
  <w:footnote w:id="27">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8.</w:t>
      </w:r>
    </w:p>
  </w:footnote>
  <w:footnote w:id="28">
    <w:p>
      <w:pPr>
        <w:pStyle w:val="FootnoteText"/>
      </w:pPr>
      <w:r>
        <w:rPr>
          <w:rStyle w:val="FootnoteReference"/>
        </w:rPr>
        <w:footnoteRef/>
      </w:r>
      <w:r>
        <w:t xml:space="preserve"> </w:t>
      </w:r>
      <w:r>
        <w:t xml:space="preserve">The Central Bank of the Republic of Uzbekistan. «Roadmap» aimed at further improving the bank regulation and supervision system in 2025–2028. – Tashkent, 17 November 2025.</w:t>
      </w:r>
    </w:p>
  </w:footnote>
  <w:footnote w:id="29">
    <w:p>
      <w:pPr>
        <w:pStyle w:val="FootnoteText"/>
      </w:pPr>
      <w:r>
        <w:rPr>
          <w:rStyle w:val="FootnoteReference"/>
        </w:rPr>
        <w:footnoteRef/>
      </w:r>
      <w:r>
        <w:t xml:space="preserve"> </w:t>
      </w:r>
      <w:r>
        <w:t xml:space="preserve">Federal Deposit Insurance Corporation Improvement Act of 1991, Section 131: Prompt Corrective Action (12 U.S.C. § 1831o). – Washington, DC: U.S. Congress, 1991.</w:t>
      </w:r>
    </w:p>
  </w:footnote>
  <w:footnote w:id="30">
    <w:p>
      <w:pPr>
        <w:pStyle w:val="FootnoteText"/>
      </w:pPr>
      <w:r>
        <w:rPr>
          <w:rStyle w:val="FootnoteReference"/>
        </w:rPr>
        <w:footnoteRef/>
      </w:r>
      <w:r>
        <w:t xml:space="preserve"> </w:t>
      </w:r>
      <w:r>
        <w:t xml:space="preserve">European Banking Authority. Guidelines on common procedures and methodologies for the supervisory review and evaluation process (SREP) and supervisory stress testing (EBA/GL/2022/03). – Paris: EBA, 18 March 2022.</w:t>
      </w:r>
    </w:p>
  </w:footnote>
  <w:footnote w:id="31">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8, 24.</w:t>
      </w:r>
    </w:p>
  </w:footnote>
  <w:footnote w:id="32">
    <w:p>
      <w:pPr>
        <w:pStyle w:val="FootnoteText"/>
      </w:pPr>
      <w:r>
        <w:rPr>
          <w:rStyle w:val="FootnoteReference"/>
        </w:rPr>
        <w:footnoteRef/>
      </w:r>
      <w:r>
        <w:t xml:space="preserve"> </w:t>
      </w:r>
      <w:r>
        <w:t xml:space="preserve">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33">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28.</w:t>
      </w:r>
    </w:p>
  </w:footnote>
  <w:footnote w:id="34">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24.</w:t>
      </w:r>
    </w:p>
  </w:footnote>
  <w:footnote w:id="35">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8.</w:t>
      </w:r>
    </w:p>
  </w:footnote>
  <w:footnote w:id="36">
    <w:p>
      <w:pPr>
        <w:pStyle w:val="FootnoteText"/>
      </w:pPr>
      <w:r>
        <w:rPr>
          <w:rStyle w:val="FootnoteReference"/>
        </w:rPr>
        <w:footnoteRef/>
      </w:r>
      <w:r>
        <w:t xml:space="preserve"> </w:t>
      </w:r>
      <w:r>
        <w:t xml:space="preserve">The Central Bank of the Republic of Uzbekistan. «Roadmap» aimed at further improving the bank regulation and supervision system in 2025–2028. – Tashkent, 17 November 2025.</w:t>
      </w:r>
    </w:p>
  </w:footnote>
  <w:footnote w:id="37">
    <w:p>
      <w:pPr>
        <w:pStyle w:val="FootnoteText"/>
      </w:pPr>
      <w:r>
        <w:rPr>
          <w:rStyle w:val="FootnoteReference"/>
        </w:rPr>
        <w:footnoteRef/>
      </w:r>
      <w:r>
        <w:t xml:space="preserve"> </w:t>
      </w:r>
      <w:r>
        <w:t xml:space="preserve">Tadqiqot natijasida muallif tomonidan quyidagi manbalar asosida ishlab chiqildi: International Monetary Fund. Republic of Uzbekistan: Financial Sector Assessment Program – Financial System Stability Assessment. IMF Country Report No. 25/145. – Washington, DC: IMF, 2025. – P. 8, 28; International Monetary Fund. Republic of Uzbekistan: Financial Sector Assessment Program – Detailed Assessment of Observance – Basel Core Principles for Effective Banking Supervision. IMF Country Report No. 25/227. – Washington, DC: IMF, 2025; The Central Bank of the Republic of Uzbekistan. «Roadmap» aimed at further improving the bank regulation and supervision system in 2025–2028. – Tashkent, 17 November 2025; dissertatsiyaning 2.1, 3.1–3.3, 4.1, 4.2-paragraflari natijalari.</w:t>
      </w:r>
    </w:p>
  </w:footnote>
  <w:footnote w:id="38">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 – P. 8, 28.</w:t>
      </w:r>
    </w:p>
  </w:footnote>
  <w:footnote w:id="39">
    <w:p>
      <w:pPr>
        <w:pStyle w:val="FootnoteText"/>
      </w:pPr>
      <w:r>
        <w:rPr>
          <w:rStyle w:val="FootnoteReference"/>
        </w:rPr>
        <w:footnoteRef/>
      </w:r>
      <w:r>
        <w:t xml:space="preserve"> </w:t>
      </w:r>
      <w:r>
        <w:t xml:space="preserve">Tadqiqot natijasida muallif tomonidan ishlab chiqildi.</w:t>
      </w:r>
    </w:p>
  </w:footnote>
  <w:footnote w:id="40">
    <w:p>
      <w:pPr>
        <w:pStyle w:val="FootnoteText"/>
      </w:pPr>
      <w:r>
        <w:rPr>
          <w:rStyle w:val="FootnoteReference"/>
        </w:rPr>
        <w:footnoteRef/>
      </w:r>
      <w:r>
        <w:t xml:space="preserve"> </w:t>
      </w:r>
      <w:r>
        <w:t xml:space="preserve">Tadqiqot natijasida muallif tomonidan quyidagi manbalar asosida ishlab chiqildi: The Central Bank of the Republic of Uzbekistan. «Roadmap» aimed at further improving the bank regulation and supervision system in 2025–2028. – Tashkent, 17 November 2025; dissertatsiyaning 4.1, 4.2-paragraflari natijalari.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2026-10-11T21:26:05Z</dcterms:created>
  <dcterms:modified xsi:type="dcterms:W3CDTF">2026-10-11T21:26:05Z</dcterms:modified>
</cp:coreProperties>
</file>

<file path=docProps/custom.xml><?xml version="1.0" encoding="utf-8"?>
<Properties xmlns="http://schemas.openxmlformats.org/officeDocument/2006/custom-properties" xmlns:vt="http://schemas.openxmlformats.org/officeDocument/2006/docPropsVTypes"/>
</file>